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F139B"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附件</w:t>
      </w:r>
    </w:p>
    <w:p w14:paraId="6416CBFF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  <w:t>嵩明县城镇土地定级与基准地价测算成果</w:t>
      </w:r>
    </w:p>
    <w:p w14:paraId="3638D91D">
      <w:pPr>
        <w:ind w:firstLine="480"/>
        <w:rPr>
          <w:rFonts w:hint="default" w:ascii="Times New Roman" w:hAnsi="Times New Roman" w:eastAsia="黑体" w:cs="Times New Roman"/>
        </w:rPr>
      </w:pPr>
    </w:p>
    <w:p w14:paraId="346C8242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、基准地价内涵</w:t>
      </w:r>
    </w:p>
    <w:p w14:paraId="1DCFA86C">
      <w:pPr>
        <w:spacing w:line="360" w:lineRule="auto"/>
        <w:ind w:firstLine="482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eastAsia="zh-CN"/>
        </w:rPr>
        <w:t>估价期日</w:t>
      </w:r>
    </w:p>
    <w:p w14:paraId="6D9043AC">
      <w:pPr>
        <w:spacing w:line="360" w:lineRule="auto"/>
        <w:ind w:firstLine="48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基准地价的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估价期日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为：202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年1月1日。</w:t>
      </w:r>
    </w:p>
    <w:p w14:paraId="2A5B50ED">
      <w:pPr>
        <w:numPr>
          <w:ilvl w:val="0"/>
          <w:numId w:val="0"/>
        </w:numPr>
        <w:spacing w:line="360" w:lineRule="auto"/>
        <w:ind w:left="0" w:leftChars="0" w:firstLine="480" w:firstLineChars="200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土地开发程度</w:t>
      </w:r>
    </w:p>
    <w:p w14:paraId="1AC151F6">
      <w:pPr>
        <w:snapToGrid w:val="0"/>
        <w:spacing w:line="36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 xml:space="preserve">1 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嵩明县城镇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基准地价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土地开发程度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设定条件表</w:t>
      </w:r>
    </w:p>
    <w:tbl>
      <w:tblPr>
        <w:tblStyle w:val="3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14"/>
        <w:gridCol w:w="1095"/>
        <w:gridCol w:w="5145"/>
        <w:gridCol w:w="2"/>
      </w:tblGrid>
      <w:tr w14:paraId="34BFF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  <w:jc w:val="center"/>
        </w:trPr>
        <w:tc>
          <w:tcPr>
            <w:tcW w:w="510" w:type="pct"/>
            <w:noWrap w:val="0"/>
            <w:vAlign w:val="center"/>
          </w:tcPr>
          <w:p w14:paraId="5F3E2878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区域</w:t>
            </w:r>
          </w:p>
        </w:tc>
        <w:tc>
          <w:tcPr>
            <w:tcW w:w="829" w:type="pct"/>
            <w:noWrap w:val="0"/>
            <w:vAlign w:val="center"/>
          </w:tcPr>
          <w:p w14:paraId="1E683CE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用地类型</w:t>
            </w:r>
          </w:p>
        </w:tc>
        <w:tc>
          <w:tcPr>
            <w:tcW w:w="642" w:type="pct"/>
            <w:noWrap w:val="0"/>
            <w:vAlign w:val="center"/>
          </w:tcPr>
          <w:p w14:paraId="7E518AE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土地级别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0E520B2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开发程度</w:t>
            </w:r>
          </w:p>
        </w:tc>
      </w:tr>
      <w:tr w14:paraId="2FC71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restart"/>
            <w:noWrap w:val="0"/>
            <w:vAlign w:val="center"/>
          </w:tcPr>
          <w:p w14:paraId="1F61283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中心城区</w:t>
            </w:r>
          </w:p>
        </w:tc>
        <w:tc>
          <w:tcPr>
            <w:tcW w:w="829" w:type="pct"/>
            <w:vMerge w:val="restart"/>
            <w:noWrap w:val="0"/>
            <w:vAlign w:val="center"/>
          </w:tcPr>
          <w:p w14:paraId="1FC1CE46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商服、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居住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、公共管理与公共服务用地</w:t>
            </w:r>
          </w:p>
        </w:tc>
        <w:tc>
          <w:tcPr>
            <w:tcW w:w="642" w:type="pct"/>
            <w:noWrap w:val="0"/>
            <w:vAlign w:val="center"/>
          </w:tcPr>
          <w:p w14:paraId="3F721DA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37ECED5A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六通一平：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通供水、通排水、通供气、通路、通电、通讯、宗地内场地平整</w:t>
            </w:r>
          </w:p>
        </w:tc>
      </w:tr>
      <w:tr w14:paraId="60D96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77EEC9B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5768475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6A268937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10A50D1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五通一平：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通供水、通排水、通路、通电、通讯、宗地内场地平整</w:t>
            </w:r>
          </w:p>
        </w:tc>
      </w:tr>
      <w:tr w14:paraId="3C73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046C24C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454912C6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270AE89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Ⅲ级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5C513C9A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三通一平：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通路、通电、通讯、宗地内场地平整</w:t>
            </w:r>
          </w:p>
        </w:tc>
      </w:tr>
      <w:tr w14:paraId="4C1B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08A2284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9" w:type="pct"/>
            <w:vMerge w:val="restart"/>
            <w:noWrap w:val="0"/>
            <w:vAlign w:val="center"/>
          </w:tcPr>
          <w:p w14:paraId="5E91E52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工矿、仓储用地</w:t>
            </w:r>
          </w:p>
        </w:tc>
        <w:tc>
          <w:tcPr>
            <w:tcW w:w="642" w:type="pct"/>
            <w:noWrap w:val="0"/>
            <w:vAlign w:val="center"/>
          </w:tcPr>
          <w:p w14:paraId="645BA8C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规划限制区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7BE5C41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六通一平：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通供水、通排水、通供气、通路、通电、通讯、宗地内场地平整</w:t>
            </w:r>
          </w:p>
        </w:tc>
      </w:tr>
      <w:tr w14:paraId="7986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469A0FA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2888DCF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3FE991FA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6C77677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五通一平：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通供水、通排水、通路、通电、通讯、宗地内场地平整</w:t>
            </w:r>
          </w:p>
        </w:tc>
      </w:tr>
      <w:tr w14:paraId="07FCD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71C4F9F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5BE878F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48D2B42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3018" w:type="pct"/>
            <w:gridSpan w:val="2"/>
            <w:noWrap w:val="0"/>
            <w:vAlign w:val="center"/>
          </w:tcPr>
          <w:p w14:paraId="1D6EF57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三通一平：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通路、通电、通讯、宗地内场地平整</w:t>
            </w:r>
          </w:p>
        </w:tc>
      </w:tr>
      <w:tr w14:paraId="39AAA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610" w:hRule="atLeast"/>
          <w:jc w:val="center"/>
        </w:trPr>
        <w:tc>
          <w:tcPr>
            <w:tcW w:w="510" w:type="pct"/>
            <w:vMerge w:val="restart"/>
            <w:noWrap w:val="0"/>
            <w:vAlign w:val="center"/>
          </w:tcPr>
          <w:p w14:paraId="28837653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职教新城、杨林经开区</w:t>
            </w:r>
          </w:p>
        </w:tc>
        <w:tc>
          <w:tcPr>
            <w:tcW w:w="829" w:type="pct"/>
            <w:vMerge w:val="restart"/>
            <w:noWrap w:val="0"/>
            <w:vAlign w:val="center"/>
          </w:tcPr>
          <w:p w14:paraId="2E9A5B73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商服、居住、工矿、仓储、公共管理与公共服务用地</w:t>
            </w:r>
          </w:p>
        </w:tc>
        <w:tc>
          <w:tcPr>
            <w:tcW w:w="642" w:type="pct"/>
            <w:noWrap w:val="0"/>
            <w:vAlign w:val="center"/>
          </w:tcPr>
          <w:p w14:paraId="540D47B7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Ⅰ级</w:t>
            </w:r>
          </w:p>
        </w:tc>
        <w:tc>
          <w:tcPr>
            <w:tcW w:w="3017" w:type="pct"/>
            <w:noWrap w:val="0"/>
            <w:vAlign w:val="center"/>
          </w:tcPr>
          <w:p w14:paraId="0229A4F2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通供水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通排水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通供气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  <w:tr w14:paraId="6250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401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3F78F135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0932F9B9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noWrap w:val="0"/>
            <w:vAlign w:val="center"/>
          </w:tcPr>
          <w:p w14:paraId="74029322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Ⅱ级</w:t>
            </w:r>
          </w:p>
        </w:tc>
        <w:tc>
          <w:tcPr>
            <w:tcW w:w="3017" w:type="pct"/>
            <w:noWrap w:val="0"/>
            <w:vAlign w:val="center"/>
          </w:tcPr>
          <w:p w14:paraId="4D93F0E4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通供水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通排水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  <w:tr w14:paraId="6AD22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401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1931F8C9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3C7C65DE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noWrap w:val="0"/>
            <w:vAlign w:val="center"/>
          </w:tcPr>
          <w:p w14:paraId="29D986B9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Ⅲ级</w:t>
            </w:r>
          </w:p>
        </w:tc>
        <w:tc>
          <w:tcPr>
            <w:tcW w:w="3017" w:type="pct"/>
            <w:noWrap w:val="0"/>
            <w:vAlign w:val="center"/>
          </w:tcPr>
          <w:p w14:paraId="2F274CDB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  <w:tr w14:paraId="25873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401" w:hRule="atLeast"/>
          <w:jc w:val="center"/>
        </w:trPr>
        <w:tc>
          <w:tcPr>
            <w:tcW w:w="510" w:type="pct"/>
            <w:vMerge w:val="restart"/>
            <w:noWrap w:val="0"/>
            <w:vAlign w:val="center"/>
          </w:tcPr>
          <w:p w14:paraId="1332090F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杨桥街道、杨林镇、小街镇、牛栏江镇</w:t>
            </w:r>
          </w:p>
        </w:tc>
        <w:tc>
          <w:tcPr>
            <w:tcW w:w="829" w:type="pct"/>
            <w:vMerge w:val="continue"/>
            <w:noWrap w:val="0"/>
            <w:vAlign w:val="center"/>
          </w:tcPr>
          <w:p w14:paraId="0331EF73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noWrap w:val="0"/>
            <w:vAlign w:val="center"/>
          </w:tcPr>
          <w:p w14:paraId="6E91D601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Ⅰ级</w:t>
            </w:r>
          </w:p>
        </w:tc>
        <w:tc>
          <w:tcPr>
            <w:tcW w:w="3017" w:type="pct"/>
            <w:noWrap w:val="0"/>
            <w:vAlign w:val="center"/>
          </w:tcPr>
          <w:p w14:paraId="39AE4520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通供水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通排水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  <w:tr w14:paraId="3BCC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430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498A5BE8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  <w:vMerge w:val="continue"/>
            <w:noWrap w:val="0"/>
            <w:vAlign w:val="center"/>
          </w:tcPr>
          <w:p w14:paraId="48F97570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noWrap w:val="0"/>
            <w:vAlign w:val="center"/>
          </w:tcPr>
          <w:p w14:paraId="6155F0DD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Ⅱ级</w:t>
            </w:r>
          </w:p>
        </w:tc>
        <w:tc>
          <w:tcPr>
            <w:tcW w:w="3017" w:type="pct"/>
            <w:noWrap w:val="0"/>
            <w:vAlign w:val="center"/>
          </w:tcPr>
          <w:p w14:paraId="1373D38E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通供水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  <w:tr w14:paraId="1A1E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90" w:hRule="atLeast"/>
          <w:jc w:val="center"/>
        </w:trPr>
        <w:tc>
          <w:tcPr>
            <w:tcW w:w="510" w:type="pct"/>
            <w:noWrap w:val="0"/>
            <w:vAlign w:val="center"/>
          </w:tcPr>
          <w:p w14:paraId="0B0AE9CF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农业园区</w:t>
            </w:r>
          </w:p>
        </w:tc>
        <w:tc>
          <w:tcPr>
            <w:tcW w:w="829" w:type="pct"/>
            <w:vMerge w:val="continue"/>
            <w:noWrap w:val="0"/>
            <w:vAlign w:val="center"/>
          </w:tcPr>
          <w:p w14:paraId="783A2B41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59" w:type="pct"/>
            <w:gridSpan w:val="2"/>
            <w:noWrap w:val="0"/>
            <w:vAlign w:val="center"/>
          </w:tcPr>
          <w:p w14:paraId="13F996F8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三通一平：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bookmarkStart w:id="2" w:name="_GoBack"/>
            <w:bookmarkEnd w:id="2"/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宗地内场地平整</w:t>
            </w:r>
          </w:p>
        </w:tc>
      </w:tr>
    </w:tbl>
    <w:p w14:paraId="236B577B">
      <w:pPr>
        <w:widowControl/>
        <w:overflowPunct w:val="0"/>
        <w:autoSpaceDE w:val="0"/>
        <w:autoSpaceDN w:val="0"/>
        <w:adjustRightInd w:val="0"/>
        <w:spacing w:line="240" w:lineRule="auto"/>
        <w:ind w:firstLine="36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备注：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highlight w:val="none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因各用地类型不同级别的土地开发程度客观存在设定不统一的情况，建议进行宗地评估时，结合具体宗地现状、参照区域所设定的开发程度及区间值进行相应增减修正；</w:t>
      </w:r>
    </w:p>
    <w:p w14:paraId="3446C7D0">
      <w:pPr>
        <w:widowControl/>
        <w:overflowPunct w:val="0"/>
        <w:autoSpaceDE w:val="0"/>
        <w:autoSpaceDN w:val="0"/>
        <w:adjustRightInd w:val="0"/>
        <w:spacing w:line="240" w:lineRule="auto"/>
        <w:ind w:firstLine="1200" w:firstLineChars="50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highlight w:val="none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涉及不同用地类型（商服、居住及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工矿、仓储用地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）开发程度重叠区域，建议参照较高级别区域开发程度标准。</w:t>
      </w:r>
    </w:p>
    <w:p w14:paraId="74649D7F">
      <w:pPr>
        <w:spacing w:line="360" w:lineRule="auto"/>
        <w:ind w:firstLine="482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使用年期</w:t>
      </w:r>
    </w:p>
    <w:p w14:paraId="720B267E">
      <w:pPr>
        <w:spacing w:line="360" w:lineRule="auto"/>
        <w:ind w:firstLine="48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根据《中华人民共和国城镇国有土地使用权出让和转让暂行条例》（修订）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GB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十二条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GB"/>
        </w:rPr>
        <w:t>规定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土地使用权出让最高年限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并结合本次基准地价各类用地，分别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按下列用途确定：</w:t>
      </w:r>
    </w:p>
    <w:p w14:paraId="767028A4">
      <w:pPr>
        <w:snapToGrid w:val="0"/>
        <w:spacing w:line="36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 xml:space="preserve">2 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嵩明县城镇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基准地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价土地使用权出让最高年限设定条件表</w:t>
      </w:r>
    </w:p>
    <w:tbl>
      <w:tblPr>
        <w:tblStyle w:val="3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1516"/>
        <w:gridCol w:w="1844"/>
        <w:gridCol w:w="1661"/>
      </w:tblGrid>
      <w:tr w14:paraId="4A833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tblHeader/>
          <w:jc w:val="center"/>
        </w:trPr>
        <w:tc>
          <w:tcPr>
            <w:tcW w:w="2055" w:type="pct"/>
            <w:noWrap w:val="0"/>
            <w:vAlign w:val="center"/>
          </w:tcPr>
          <w:p w14:paraId="2F0F99F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《暂行条例》用地</w:t>
            </w:r>
          </w:p>
        </w:tc>
        <w:tc>
          <w:tcPr>
            <w:tcW w:w="889" w:type="pct"/>
            <w:noWrap w:val="0"/>
            <w:vAlign w:val="center"/>
          </w:tcPr>
          <w:p w14:paraId="6295937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法定最高年限</w:t>
            </w:r>
          </w:p>
        </w:tc>
        <w:tc>
          <w:tcPr>
            <w:tcW w:w="1081" w:type="pct"/>
            <w:noWrap w:val="0"/>
            <w:vAlign w:val="center"/>
          </w:tcPr>
          <w:p w14:paraId="697DF28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对应本次基准地价用地</w:t>
            </w:r>
          </w:p>
        </w:tc>
        <w:tc>
          <w:tcPr>
            <w:tcW w:w="974" w:type="pct"/>
            <w:noWrap w:val="0"/>
            <w:vAlign w:val="center"/>
          </w:tcPr>
          <w:p w14:paraId="60CA6BF6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土地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使用权最高出让年期</w:t>
            </w:r>
          </w:p>
        </w:tc>
      </w:tr>
      <w:tr w14:paraId="1A24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055" w:type="pct"/>
            <w:noWrap w:val="0"/>
            <w:vAlign w:val="center"/>
          </w:tcPr>
          <w:p w14:paraId="407BA5B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商业、旅游、娱乐用地</w:t>
            </w:r>
          </w:p>
        </w:tc>
        <w:tc>
          <w:tcPr>
            <w:tcW w:w="889" w:type="pct"/>
            <w:noWrap w:val="0"/>
            <w:vAlign w:val="center"/>
          </w:tcPr>
          <w:p w14:paraId="2F8656D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四十年</w:t>
            </w:r>
          </w:p>
        </w:tc>
        <w:tc>
          <w:tcPr>
            <w:tcW w:w="1081" w:type="pct"/>
            <w:noWrap w:val="0"/>
            <w:vAlign w:val="center"/>
          </w:tcPr>
          <w:p w14:paraId="16C36CC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商服用地</w:t>
            </w:r>
          </w:p>
        </w:tc>
        <w:tc>
          <w:tcPr>
            <w:tcW w:w="974" w:type="pct"/>
            <w:noWrap w:val="0"/>
            <w:vAlign w:val="center"/>
          </w:tcPr>
          <w:p w14:paraId="62272A0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年</w:t>
            </w:r>
          </w:p>
        </w:tc>
      </w:tr>
      <w:tr w14:paraId="65B8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055" w:type="pct"/>
            <w:noWrap w:val="0"/>
            <w:vAlign w:val="center"/>
          </w:tcPr>
          <w:p w14:paraId="7DE01E54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居住用地</w:t>
            </w:r>
          </w:p>
        </w:tc>
        <w:tc>
          <w:tcPr>
            <w:tcW w:w="889" w:type="pct"/>
            <w:noWrap w:val="0"/>
            <w:vAlign w:val="center"/>
          </w:tcPr>
          <w:p w14:paraId="69426DB7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七十年</w:t>
            </w:r>
          </w:p>
        </w:tc>
        <w:tc>
          <w:tcPr>
            <w:tcW w:w="1081" w:type="pct"/>
            <w:noWrap w:val="0"/>
            <w:vAlign w:val="center"/>
          </w:tcPr>
          <w:p w14:paraId="43B4B3A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居住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用地</w:t>
            </w:r>
          </w:p>
        </w:tc>
        <w:tc>
          <w:tcPr>
            <w:tcW w:w="974" w:type="pct"/>
            <w:noWrap w:val="0"/>
            <w:vAlign w:val="center"/>
          </w:tcPr>
          <w:p w14:paraId="639B3E8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70年</w:t>
            </w:r>
          </w:p>
        </w:tc>
      </w:tr>
      <w:tr w14:paraId="0EF5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055" w:type="pct"/>
            <w:noWrap w:val="0"/>
            <w:vAlign w:val="center"/>
          </w:tcPr>
          <w:p w14:paraId="74733786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工业用地</w:t>
            </w:r>
          </w:p>
        </w:tc>
        <w:tc>
          <w:tcPr>
            <w:tcW w:w="889" w:type="pct"/>
            <w:noWrap w:val="0"/>
            <w:vAlign w:val="center"/>
          </w:tcPr>
          <w:p w14:paraId="48B99EC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五十年</w:t>
            </w:r>
          </w:p>
        </w:tc>
        <w:tc>
          <w:tcPr>
            <w:tcW w:w="1081" w:type="pct"/>
            <w:noWrap w:val="0"/>
            <w:vAlign w:val="center"/>
          </w:tcPr>
          <w:p w14:paraId="4F66CFF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工矿、仓储用地</w:t>
            </w:r>
          </w:p>
        </w:tc>
        <w:tc>
          <w:tcPr>
            <w:tcW w:w="974" w:type="pct"/>
            <w:noWrap w:val="0"/>
            <w:vAlign w:val="center"/>
          </w:tcPr>
          <w:p w14:paraId="55258A7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50年</w:t>
            </w:r>
          </w:p>
        </w:tc>
      </w:tr>
      <w:tr w14:paraId="11D4A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055" w:type="pct"/>
            <w:noWrap w:val="0"/>
            <w:vAlign w:val="center"/>
          </w:tcPr>
          <w:p w14:paraId="05FCCAD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教育、科技、文化、卫生、体育用地</w:t>
            </w:r>
          </w:p>
        </w:tc>
        <w:tc>
          <w:tcPr>
            <w:tcW w:w="889" w:type="pct"/>
            <w:noWrap w:val="0"/>
            <w:vAlign w:val="center"/>
          </w:tcPr>
          <w:p w14:paraId="2E2242C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五十年</w:t>
            </w:r>
          </w:p>
        </w:tc>
        <w:tc>
          <w:tcPr>
            <w:tcW w:w="1081" w:type="pct"/>
            <w:vMerge w:val="restart"/>
            <w:noWrap w:val="0"/>
            <w:vAlign w:val="center"/>
          </w:tcPr>
          <w:p w14:paraId="2564756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公共管理与公共服务用地</w:t>
            </w:r>
          </w:p>
        </w:tc>
        <w:tc>
          <w:tcPr>
            <w:tcW w:w="974" w:type="pct"/>
            <w:vMerge w:val="restart"/>
            <w:noWrap w:val="0"/>
            <w:vAlign w:val="center"/>
          </w:tcPr>
          <w:p w14:paraId="062CD038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50年</w:t>
            </w:r>
          </w:p>
        </w:tc>
      </w:tr>
      <w:tr w14:paraId="4E2B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055" w:type="pct"/>
            <w:noWrap w:val="0"/>
            <w:vAlign w:val="center"/>
          </w:tcPr>
          <w:p w14:paraId="38F37AE7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综合或者其他用地</w:t>
            </w:r>
          </w:p>
        </w:tc>
        <w:tc>
          <w:tcPr>
            <w:tcW w:w="889" w:type="pct"/>
            <w:noWrap w:val="0"/>
            <w:vAlign w:val="center"/>
          </w:tcPr>
          <w:p w14:paraId="61D0889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  <w:t>五十年</w:t>
            </w:r>
          </w:p>
        </w:tc>
        <w:tc>
          <w:tcPr>
            <w:tcW w:w="1081" w:type="pct"/>
            <w:vMerge w:val="continue"/>
            <w:noWrap w:val="0"/>
            <w:vAlign w:val="center"/>
          </w:tcPr>
          <w:p w14:paraId="5DD4D7EC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74" w:type="pct"/>
            <w:vMerge w:val="continue"/>
            <w:noWrap w:val="0"/>
            <w:vAlign w:val="center"/>
          </w:tcPr>
          <w:p w14:paraId="52FF12D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5D4C7FF3">
      <w:pPr>
        <w:spacing w:line="360" w:lineRule="auto"/>
        <w:ind w:firstLine="482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平均容积率</w:t>
      </w:r>
    </w:p>
    <w:p w14:paraId="51998FBB">
      <w:pPr>
        <w:spacing w:line="360" w:lineRule="auto"/>
        <w:ind w:firstLine="480"/>
        <w:jc w:val="center"/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表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US" w:eastAsia="zh-CN"/>
        </w:rPr>
        <w:t xml:space="preserve">3 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 w:eastAsia="zh-CN"/>
        </w:rPr>
        <w:t>嵩明县城镇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级别设定平均容积率</w:t>
      </w:r>
    </w:p>
    <w:tbl>
      <w:tblPr>
        <w:tblStyle w:val="3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1133"/>
        <w:gridCol w:w="1199"/>
        <w:gridCol w:w="1250"/>
        <w:gridCol w:w="1718"/>
        <w:gridCol w:w="1253"/>
      </w:tblGrid>
      <w:tr w14:paraId="77027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156" w:type="pct"/>
            <w:noWrap w:val="0"/>
            <w:vAlign w:val="center"/>
          </w:tcPr>
          <w:p w14:paraId="0805422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区域</w:t>
            </w:r>
          </w:p>
        </w:tc>
        <w:tc>
          <w:tcPr>
            <w:tcW w:w="664" w:type="pct"/>
            <w:noWrap w:val="0"/>
            <w:vAlign w:val="center"/>
          </w:tcPr>
          <w:p w14:paraId="584400B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级别</w:t>
            </w:r>
          </w:p>
        </w:tc>
        <w:tc>
          <w:tcPr>
            <w:tcW w:w="703" w:type="pct"/>
            <w:noWrap w:val="0"/>
            <w:vAlign w:val="center"/>
          </w:tcPr>
          <w:p w14:paraId="5F27B27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商服用地</w:t>
            </w:r>
          </w:p>
        </w:tc>
        <w:tc>
          <w:tcPr>
            <w:tcW w:w="733" w:type="pct"/>
            <w:noWrap w:val="0"/>
            <w:vAlign w:val="center"/>
          </w:tcPr>
          <w:p w14:paraId="53604EE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007" w:type="pct"/>
            <w:noWrap w:val="0"/>
            <w:vAlign w:val="center"/>
          </w:tcPr>
          <w:p w14:paraId="254CDEF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734" w:type="pct"/>
            <w:noWrap w:val="0"/>
            <w:vAlign w:val="center"/>
          </w:tcPr>
          <w:p w14:paraId="01288D2C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工矿、仓储用地</w:t>
            </w:r>
          </w:p>
        </w:tc>
      </w:tr>
      <w:tr w14:paraId="48E0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restart"/>
            <w:noWrap w:val="0"/>
            <w:vAlign w:val="center"/>
          </w:tcPr>
          <w:p w14:paraId="1682C174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中心城区</w:t>
            </w:r>
          </w:p>
        </w:tc>
        <w:tc>
          <w:tcPr>
            <w:tcW w:w="664" w:type="pct"/>
            <w:noWrap w:val="0"/>
            <w:vAlign w:val="center"/>
          </w:tcPr>
          <w:p w14:paraId="1AE2487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703" w:type="pct"/>
            <w:noWrap w:val="0"/>
            <w:vAlign w:val="center"/>
          </w:tcPr>
          <w:p w14:paraId="4616147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3" w:type="pct"/>
            <w:noWrap w:val="0"/>
            <w:vAlign w:val="center"/>
          </w:tcPr>
          <w:p w14:paraId="6C41C83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2.2</w:t>
            </w:r>
          </w:p>
        </w:tc>
        <w:tc>
          <w:tcPr>
            <w:tcW w:w="1007" w:type="pct"/>
            <w:vMerge w:val="restart"/>
            <w:noWrap w:val="0"/>
            <w:vAlign w:val="center"/>
          </w:tcPr>
          <w:p w14:paraId="296EA13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1.4</w:t>
            </w:r>
          </w:p>
        </w:tc>
        <w:tc>
          <w:tcPr>
            <w:tcW w:w="734" w:type="pct"/>
            <w:vMerge w:val="restart"/>
            <w:noWrap w:val="0"/>
            <w:vAlign w:val="center"/>
          </w:tcPr>
          <w:p w14:paraId="399F5FC0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1.0</w:t>
            </w:r>
          </w:p>
        </w:tc>
      </w:tr>
      <w:tr w14:paraId="5E011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continue"/>
            <w:noWrap w:val="0"/>
            <w:vAlign w:val="center"/>
          </w:tcPr>
          <w:p w14:paraId="6CC97DF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4E9D229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703" w:type="pct"/>
            <w:noWrap w:val="0"/>
            <w:vAlign w:val="center"/>
          </w:tcPr>
          <w:p w14:paraId="5810352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1.8</w:t>
            </w:r>
          </w:p>
        </w:tc>
        <w:tc>
          <w:tcPr>
            <w:tcW w:w="733" w:type="pct"/>
            <w:noWrap w:val="0"/>
            <w:vAlign w:val="center"/>
          </w:tcPr>
          <w:p w14:paraId="44F2F3B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07" w:type="pct"/>
            <w:vMerge w:val="continue"/>
            <w:noWrap w:val="0"/>
            <w:vAlign w:val="center"/>
          </w:tcPr>
          <w:p w14:paraId="5E5A299B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  <w:tc>
          <w:tcPr>
            <w:tcW w:w="734" w:type="pct"/>
            <w:vMerge w:val="continue"/>
            <w:noWrap w:val="0"/>
            <w:vAlign w:val="center"/>
          </w:tcPr>
          <w:p w14:paraId="79377F3C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</w:tr>
      <w:tr w14:paraId="1B64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continue"/>
            <w:noWrap w:val="0"/>
            <w:vAlign w:val="center"/>
          </w:tcPr>
          <w:p w14:paraId="6AD58F7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7324B5C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Ⅲ级</w:t>
            </w:r>
          </w:p>
        </w:tc>
        <w:tc>
          <w:tcPr>
            <w:tcW w:w="703" w:type="pct"/>
            <w:noWrap w:val="0"/>
            <w:vAlign w:val="center"/>
          </w:tcPr>
          <w:p w14:paraId="24EC6A3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1.6</w:t>
            </w:r>
          </w:p>
        </w:tc>
        <w:tc>
          <w:tcPr>
            <w:tcW w:w="733" w:type="pct"/>
            <w:noWrap w:val="0"/>
            <w:vAlign w:val="center"/>
          </w:tcPr>
          <w:p w14:paraId="169E4B3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1.8</w:t>
            </w:r>
          </w:p>
        </w:tc>
        <w:tc>
          <w:tcPr>
            <w:tcW w:w="1007" w:type="pct"/>
            <w:vMerge w:val="continue"/>
            <w:noWrap w:val="0"/>
            <w:vAlign w:val="center"/>
          </w:tcPr>
          <w:p w14:paraId="1E90B6C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  <w:tc>
          <w:tcPr>
            <w:tcW w:w="734" w:type="pct"/>
            <w:vMerge w:val="continue"/>
            <w:noWrap w:val="0"/>
            <w:vAlign w:val="center"/>
          </w:tcPr>
          <w:p w14:paraId="0D83194E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</w:tr>
      <w:tr w14:paraId="6B86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restart"/>
            <w:noWrap w:val="0"/>
            <w:vAlign w:val="center"/>
          </w:tcPr>
          <w:p w14:paraId="4D25876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职教新城、杨林经开区</w:t>
            </w:r>
          </w:p>
        </w:tc>
        <w:tc>
          <w:tcPr>
            <w:tcW w:w="664" w:type="pct"/>
            <w:noWrap w:val="0"/>
            <w:vAlign w:val="center"/>
          </w:tcPr>
          <w:p w14:paraId="5414782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703" w:type="pct"/>
            <w:noWrap w:val="0"/>
            <w:vAlign w:val="center"/>
          </w:tcPr>
          <w:p w14:paraId="134BB904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3" w:type="pct"/>
            <w:noWrap w:val="0"/>
            <w:vAlign w:val="center"/>
          </w:tcPr>
          <w:p w14:paraId="325D5447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2.2</w:t>
            </w:r>
          </w:p>
        </w:tc>
        <w:tc>
          <w:tcPr>
            <w:tcW w:w="1007" w:type="pct"/>
            <w:vMerge w:val="restart"/>
            <w:noWrap w:val="0"/>
            <w:vAlign w:val="center"/>
          </w:tcPr>
          <w:p w14:paraId="7843072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1.4</w:t>
            </w:r>
          </w:p>
        </w:tc>
        <w:tc>
          <w:tcPr>
            <w:tcW w:w="734" w:type="pct"/>
            <w:vMerge w:val="restart"/>
            <w:noWrap w:val="0"/>
            <w:vAlign w:val="center"/>
          </w:tcPr>
          <w:p w14:paraId="2A5BE3FA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1.0</w:t>
            </w:r>
          </w:p>
        </w:tc>
      </w:tr>
      <w:tr w14:paraId="27450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continue"/>
            <w:noWrap w:val="0"/>
            <w:vAlign w:val="center"/>
          </w:tcPr>
          <w:p w14:paraId="245D69E7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6575BD4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703" w:type="pct"/>
            <w:noWrap w:val="0"/>
            <w:vAlign w:val="center"/>
          </w:tcPr>
          <w:p w14:paraId="5072960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1.8</w:t>
            </w:r>
          </w:p>
        </w:tc>
        <w:tc>
          <w:tcPr>
            <w:tcW w:w="733" w:type="pct"/>
            <w:noWrap w:val="0"/>
            <w:vAlign w:val="center"/>
          </w:tcPr>
          <w:p w14:paraId="1A4AA6B1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07" w:type="pct"/>
            <w:vMerge w:val="continue"/>
            <w:noWrap w:val="0"/>
            <w:vAlign w:val="center"/>
          </w:tcPr>
          <w:p w14:paraId="37F3F788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  <w:tc>
          <w:tcPr>
            <w:tcW w:w="734" w:type="pct"/>
            <w:vMerge w:val="continue"/>
            <w:noWrap w:val="0"/>
            <w:vAlign w:val="center"/>
          </w:tcPr>
          <w:p w14:paraId="454D7BC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</w:tr>
      <w:tr w14:paraId="460CA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vMerge w:val="continue"/>
            <w:noWrap w:val="0"/>
            <w:vAlign w:val="center"/>
          </w:tcPr>
          <w:p w14:paraId="1494508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69BEFC2F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Ⅲ级</w:t>
            </w:r>
          </w:p>
        </w:tc>
        <w:tc>
          <w:tcPr>
            <w:tcW w:w="703" w:type="pct"/>
            <w:noWrap w:val="0"/>
            <w:vAlign w:val="center"/>
          </w:tcPr>
          <w:p w14:paraId="28A67E82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1.6</w:t>
            </w:r>
          </w:p>
        </w:tc>
        <w:tc>
          <w:tcPr>
            <w:tcW w:w="733" w:type="pct"/>
            <w:noWrap w:val="0"/>
            <w:vAlign w:val="center"/>
          </w:tcPr>
          <w:p w14:paraId="2E741B7C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1.8</w:t>
            </w:r>
          </w:p>
        </w:tc>
        <w:tc>
          <w:tcPr>
            <w:tcW w:w="1007" w:type="pct"/>
            <w:vMerge w:val="continue"/>
            <w:noWrap w:val="0"/>
            <w:vAlign w:val="center"/>
          </w:tcPr>
          <w:p w14:paraId="50EB0F4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  <w:tc>
          <w:tcPr>
            <w:tcW w:w="734" w:type="pct"/>
            <w:vMerge w:val="continue"/>
            <w:noWrap w:val="0"/>
            <w:vAlign w:val="center"/>
          </w:tcPr>
          <w:p w14:paraId="7DFEAA35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</w:p>
        </w:tc>
      </w:tr>
      <w:tr w14:paraId="622F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6" w:type="pct"/>
            <w:noWrap w:val="0"/>
            <w:vAlign w:val="center"/>
          </w:tcPr>
          <w:p w14:paraId="354D235F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杨桥街道、杨林镇、小街镇、牛栏江镇、农业园区</w:t>
            </w:r>
          </w:p>
        </w:tc>
        <w:tc>
          <w:tcPr>
            <w:tcW w:w="664" w:type="pct"/>
            <w:noWrap w:val="0"/>
            <w:vAlign w:val="center"/>
          </w:tcPr>
          <w:p w14:paraId="55AE4CD1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</w:t>
            </w:r>
          </w:p>
        </w:tc>
        <w:tc>
          <w:tcPr>
            <w:tcW w:w="703" w:type="pct"/>
            <w:noWrap w:val="0"/>
            <w:vAlign w:val="center"/>
          </w:tcPr>
          <w:p w14:paraId="154D225A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733" w:type="pct"/>
            <w:noWrap w:val="0"/>
            <w:vAlign w:val="center"/>
          </w:tcPr>
          <w:p w14:paraId="6B39B5F0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  <w:tc>
          <w:tcPr>
            <w:tcW w:w="1007" w:type="pct"/>
            <w:noWrap w:val="0"/>
            <w:vAlign w:val="center"/>
          </w:tcPr>
          <w:p w14:paraId="6D2AC96E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</w:tc>
        <w:tc>
          <w:tcPr>
            <w:tcW w:w="734" w:type="pct"/>
            <w:noWrap w:val="0"/>
            <w:vAlign w:val="center"/>
          </w:tcPr>
          <w:p w14:paraId="6D887482">
            <w:pPr>
              <w:autoSpaceDE w:val="0"/>
              <w:autoSpaceDN w:val="0"/>
              <w:adjustRightIn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GB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</w:tr>
    </w:tbl>
    <w:p w14:paraId="52B2D706">
      <w:pPr>
        <w:spacing w:before="67" w:beforeLines="20" w:after="67" w:afterLines="20" w:line="360" w:lineRule="auto"/>
        <w:ind w:firstLine="482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地价表现形式</w:t>
      </w:r>
    </w:p>
    <w:p w14:paraId="56E7A490">
      <w:pPr>
        <w:spacing w:line="360" w:lineRule="auto"/>
        <w:ind w:firstLine="0" w:firstLineChars="0"/>
        <w:jc w:val="center"/>
        <w:rPr>
          <w:rFonts w:hint="default" w:ascii="Times New Roman" w:hAnsi="Times New Roman" w:eastAsia="仿宋_GB2312" w:cs="Times New Roman"/>
          <w:bCs/>
          <w:color w:val="auto"/>
          <w:kern w:val="28"/>
          <w:sz w:val="24"/>
          <w:szCs w:val="24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8"/>
          <w:sz w:val="24"/>
          <w:szCs w:val="24"/>
          <w:highlight w:val="none"/>
          <w:lang w:val="en-GB"/>
        </w:rPr>
        <w:t>表</w:t>
      </w:r>
      <w:r>
        <w:rPr>
          <w:rFonts w:hint="default" w:ascii="Times New Roman" w:hAnsi="Times New Roman" w:eastAsia="仿宋_GB2312" w:cs="Times New Roman"/>
          <w:bCs/>
          <w:color w:val="auto"/>
          <w:kern w:val="28"/>
          <w:sz w:val="24"/>
          <w:szCs w:val="24"/>
          <w:highlight w:val="none"/>
          <w:lang w:val="en-US" w:eastAsia="zh-CN"/>
        </w:rPr>
        <w:t xml:space="preserve">4 </w:t>
      </w:r>
      <w:r>
        <w:rPr>
          <w:rFonts w:hint="default" w:ascii="Times New Roman" w:hAnsi="Times New Roman" w:eastAsia="仿宋_GB2312" w:cs="Times New Roman"/>
          <w:bCs/>
          <w:color w:val="auto"/>
          <w:kern w:val="28"/>
          <w:sz w:val="24"/>
          <w:szCs w:val="24"/>
          <w:highlight w:val="none"/>
          <w:lang w:val="en-GB" w:eastAsia="zh-CN"/>
        </w:rPr>
        <w:t>嵩明县中心城区</w:t>
      </w:r>
      <w:r>
        <w:rPr>
          <w:rFonts w:hint="default" w:ascii="Times New Roman" w:hAnsi="Times New Roman" w:eastAsia="仿宋_GB2312" w:cs="Times New Roman"/>
          <w:bCs/>
          <w:color w:val="auto"/>
          <w:kern w:val="28"/>
          <w:sz w:val="24"/>
          <w:szCs w:val="24"/>
          <w:highlight w:val="none"/>
          <w:lang w:val="en-GB"/>
        </w:rPr>
        <w:t>基准地价表现形式</w:t>
      </w:r>
    </w:p>
    <w:tbl>
      <w:tblPr>
        <w:tblStyle w:val="3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9"/>
        <w:gridCol w:w="4164"/>
      </w:tblGrid>
      <w:tr w14:paraId="5558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pct"/>
            <w:noWrap w:val="0"/>
            <w:vAlign w:val="center"/>
          </w:tcPr>
          <w:p w14:paraId="6AFA702D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用地类型</w:t>
            </w:r>
          </w:p>
        </w:tc>
        <w:tc>
          <w:tcPr>
            <w:tcW w:w="2442" w:type="pct"/>
            <w:noWrap w:val="0"/>
            <w:vAlign w:val="center"/>
          </w:tcPr>
          <w:p w14:paraId="1B022D99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表现形式</w:t>
            </w:r>
          </w:p>
        </w:tc>
      </w:tr>
      <w:tr w14:paraId="07A11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pct"/>
            <w:noWrap w:val="0"/>
            <w:vAlign w:val="center"/>
          </w:tcPr>
          <w:p w14:paraId="0D8068CA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商服、居住用地</w:t>
            </w:r>
          </w:p>
        </w:tc>
        <w:tc>
          <w:tcPr>
            <w:tcW w:w="2442" w:type="pct"/>
            <w:noWrap w:val="0"/>
            <w:vAlign w:val="center"/>
          </w:tcPr>
          <w:p w14:paraId="58E417DC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楼面价/地面价</w:t>
            </w:r>
          </w:p>
        </w:tc>
      </w:tr>
      <w:tr w14:paraId="47C2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pct"/>
            <w:noWrap w:val="0"/>
            <w:vAlign w:val="center"/>
          </w:tcPr>
          <w:p w14:paraId="056974E3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工矿、仓储用地、公共管理与公共服务用地</w:t>
            </w:r>
          </w:p>
        </w:tc>
        <w:tc>
          <w:tcPr>
            <w:tcW w:w="2442" w:type="pct"/>
            <w:noWrap w:val="0"/>
            <w:vAlign w:val="center"/>
          </w:tcPr>
          <w:p w14:paraId="1F3916E4">
            <w:pPr>
              <w:keepNext w:val="0"/>
              <w:keepLines w:val="0"/>
              <w:suppressLineNumbers w:val="0"/>
              <w:tabs>
                <w:tab w:val="left" w:pos="720"/>
              </w:tabs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地面价</w:t>
            </w:r>
          </w:p>
        </w:tc>
      </w:tr>
    </w:tbl>
    <w:p w14:paraId="56853C1D">
      <w:pPr>
        <w:spacing w:before="67" w:beforeLines="20" w:after="67" w:afterLines="20" w:line="360" w:lineRule="auto"/>
        <w:ind w:firstLine="482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土地权益状况</w:t>
      </w:r>
    </w:p>
    <w:p w14:paraId="23B0C954">
      <w:pPr>
        <w:spacing w:line="360" w:lineRule="auto"/>
        <w:ind w:firstLine="48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有偿使用（出让，租赁，作价入股），无他项权利限制下的土地使用权价格。</w:t>
      </w:r>
    </w:p>
    <w:p w14:paraId="6A5FF4F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二、土地级别分布</w:t>
      </w:r>
    </w:p>
    <w:p w14:paraId="5270B484">
      <w:pPr>
        <w:spacing w:line="360" w:lineRule="auto"/>
        <w:ind w:firstLine="480"/>
        <w:jc w:val="center"/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表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US" w:eastAsia="zh-CN"/>
        </w:rPr>
        <w:t>5 嵩明县中心城区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各定级类型土地级别分布范围及面积表</w:t>
      </w:r>
    </w:p>
    <w:tbl>
      <w:tblPr>
        <w:tblStyle w:val="3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805"/>
        <w:gridCol w:w="1115"/>
        <w:gridCol w:w="5691"/>
      </w:tblGrid>
      <w:tr w14:paraId="7E1BC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  <w:jc w:val="center"/>
        </w:trPr>
        <w:tc>
          <w:tcPr>
            <w:tcW w:w="536" w:type="pct"/>
            <w:noWrap w:val="0"/>
            <w:vAlign w:val="center"/>
          </w:tcPr>
          <w:p w14:paraId="60F69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定级</w:t>
            </w:r>
          </w:p>
          <w:p w14:paraId="643B5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类型</w:t>
            </w:r>
          </w:p>
        </w:tc>
        <w:tc>
          <w:tcPr>
            <w:tcW w:w="472" w:type="pct"/>
            <w:noWrap w:val="0"/>
            <w:vAlign w:val="center"/>
          </w:tcPr>
          <w:p w14:paraId="5A5E0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土地</w:t>
            </w:r>
          </w:p>
          <w:p w14:paraId="0FE48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级别</w:t>
            </w:r>
          </w:p>
        </w:tc>
        <w:tc>
          <w:tcPr>
            <w:tcW w:w="654" w:type="pct"/>
            <w:noWrap w:val="0"/>
            <w:vAlign w:val="center"/>
          </w:tcPr>
          <w:p w14:paraId="19F70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面积</w:t>
            </w:r>
          </w:p>
          <w:p w14:paraId="51CA3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（公顷）</w:t>
            </w:r>
          </w:p>
        </w:tc>
        <w:tc>
          <w:tcPr>
            <w:tcW w:w="3337" w:type="pct"/>
            <w:noWrap w:val="0"/>
            <w:vAlign w:val="center"/>
          </w:tcPr>
          <w:p w14:paraId="3A55D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主要分布范围</w:t>
            </w:r>
          </w:p>
        </w:tc>
      </w:tr>
      <w:tr w14:paraId="258AB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6" w:type="pct"/>
            <w:vMerge w:val="restart"/>
            <w:noWrap w:val="0"/>
            <w:vAlign w:val="center"/>
          </w:tcPr>
          <w:p w14:paraId="3F7D7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0" w:name="_Hlk414981593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商服、居住、公共管理与公共服务用地定级</w:t>
            </w:r>
          </w:p>
        </w:tc>
        <w:tc>
          <w:tcPr>
            <w:tcW w:w="472" w:type="pct"/>
            <w:noWrap w:val="0"/>
            <w:vAlign w:val="center"/>
          </w:tcPr>
          <w:p w14:paraId="26EA5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Ⅰ级</w:t>
            </w:r>
          </w:p>
        </w:tc>
        <w:tc>
          <w:tcPr>
            <w:tcW w:w="654" w:type="pct"/>
            <w:noWrap w:val="0"/>
            <w:vAlign w:val="center"/>
          </w:tcPr>
          <w:p w14:paraId="44EB0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430.70</w:t>
            </w:r>
          </w:p>
        </w:tc>
        <w:tc>
          <w:tcPr>
            <w:tcW w:w="3337" w:type="pct"/>
            <w:noWrap w:val="0"/>
            <w:vAlign w:val="center"/>
          </w:tcPr>
          <w:p w14:paraId="105B9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嵩阳一中、黄龙山小学、教体局、金地花园、滨河苑、安居小区、城东小区、人民医院、龙安苑、交通运输局、发改局、交警大队、民政局、妇幼保健院、兰茂广场、嵩阳一小、县政府、万年花城、金叶花园小区、祥和家园等周边区域</w:t>
            </w:r>
          </w:p>
        </w:tc>
      </w:tr>
      <w:tr w14:paraId="010A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6" w:type="pct"/>
            <w:vMerge w:val="continue"/>
            <w:noWrap w:val="0"/>
            <w:vAlign w:val="center"/>
          </w:tcPr>
          <w:p w14:paraId="390AC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72" w:type="pct"/>
            <w:noWrap w:val="0"/>
            <w:vAlign w:val="center"/>
          </w:tcPr>
          <w:p w14:paraId="2D9C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Ⅱ级</w:t>
            </w:r>
          </w:p>
        </w:tc>
        <w:tc>
          <w:tcPr>
            <w:tcW w:w="654" w:type="pct"/>
            <w:noWrap w:val="0"/>
            <w:vAlign w:val="center"/>
          </w:tcPr>
          <w:p w14:paraId="7E47C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448.74</w:t>
            </w:r>
          </w:p>
        </w:tc>
        <w:tc>
          <w:tcPr>
            <w:tcW w:w="3337" w:type="pct"/>
            <w:noWrap w:val="0"/>
            <w:vAlign w:val="center"/>
          </w:tcPr>
          <w:p w14:paraId="3EA30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嵩明一中、中医院、下墩、客运站、民康园、林草局、人民法院、公安局、汉人屯、嵩阳二中、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职业高级中学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、龙泉社区、银杏广场、碧桂园、王家村骨科医院、玉明花园、嵩阳社区居民委员会、嵩阳三小等周边区域</w:t>
            </w:r>
          </w:p>
        </w:tc>
      </w:tr>
      <w:tr w14:paraId="0DE2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536" w:type="pct"/>
            <w:vMerge w:val="continue"/>
            <w:noWrap w:val="0"/>
            <w:vAlign w:val="center"/>
          </w:tcPr>
          <w:p w14:paraId="7E351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72" w:type="pct"/>
            <w:noWrap w:val="0"/>
            <w:vAlign w:val="center"/>
          </w:tcPr>
          <w:p w14:paraId="542CC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Ⅲ级</w:t>
            </w:r>
          </w:p>
        </w:tc>
        <w:tc>
          <w:tcPr>
            <w:tcW w:w="654" w:type="pct"/>
            <w:noWrap w:val="0"/>
            <w:vAlign w:val="center"/>
          </w:tcPr>
          <w:p w14:paraId="52537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114.04</w:t>
            </w:r>
          </w:p>
        </w:tc>
        <w:tc>
          <w:tcPr>
            <w:tcW w:w="3337" w:type="pct"/>
            <w:noWrap w:val="0"/>
            <w:vAlign w:val="center"/>
          </w:tcPr>
          <w:p w14:paraId="1C6CE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定级范围内除Ⅰ、Ⅱ级的其他区域</w:t>
            </w:r>
          </w:p>
        </w:tc>
      </w:tr>
      <w:tr w14:paraId="09FD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5" w:hRule="atLeast"/>
          <w:jc w:val="center"/>
        </w:trPr>
        <w:tc>
          <w:tcPr>
            <w:tcW w:w="536" w:type="pct"/>
            <w:vMerge w:val="restart"/>
            <w:noWrap w:val="0"/>
            <w:vAlign w:val="center"/>
          </w:tcPr>
          <w:p w14:paraId="0BEF8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1" w:name="_Hlk403033118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工矿、仓储用地定级</w:t>
            </w:r>
          </w:p>
        </w:tc>
        <w:tc>
          <w:tcPr>
            <w:tcW w:w="472" w:type="pct"/>
            <w:noWrap w:val="0"/>
            <w:vAlign w:val="center"/>
          </w:tcPr>
          <w:p w14:paraId="2715F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规划限制区</w:t>
            </w:r>
          </w:p>
        </w:tc>
        <w:tc>
          <w:tcPr>
            <w:tcW w:w="654" w:type="pct"/>
            <w:noWrap w:val="0"/>
            <w:vAlign w:val="center"/>
          </w:tcPr>
          <w:p w14:paraId="3B03B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290.84</w:t>
            </w:r>
          </w:p>
        </w:tc>
        <w:tc>
          <w:tcPr>
            <w:tcW w:w="3337" w:type="pct"/>
            <w:noWrap w:val="0"/>
            <w:vAlign w:val="center"/>
          </w:tcPr>
          <w:p w14:paraId="1FE7D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金地花园、滨河苑、安居小区、城东小区、人民医院、龙安苑、交警大队、民政局、妇幼保健院、兰茂广场、嵩阳一小、县政府、万年花城、金叶花园小区、祥和家园、民康园、林草局、人民法院、公安局、碧桂园等周边区域</w:t>
            </w:r>
          </w:p>
        </w:tc>
      </w:tr>
      <w:bookmarkEnd w:id="0"/>
      <w:tr w14:paraId="19816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536" w:type="pct"/>
            <w:vMerge w:val="continue"/>
            <w:noWrap w:val="0"/>
            <w:vAlign w:val="center"/>
          </w:tcPr>
          <w:p w14:paraId="576C6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72" w:type="pct"/>
            <w:noWrap w:val="0"/>
            <w:vAlign w:val="center"/>
          </w:tcPr>
          <w:p w14:paraId="1E156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Ⅰ级</w:t>
            </w:r>
          </w:p>
        </w:tc>
        <w:tc>
          <w:tcPr>
            <w:tcW w:w="654" w:type="pct"/>
            <w:noWrap w:val="0"/>
            <w:vAlign w:val="center"/>
          </w:tcPr>
          <w:p w14:paraId="356E6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588.59</w:t>
            </w:r>
          </w:p>
        </w:tc>
        <w:tc>
          <w:tcPr>
            <w:tcW w:w="3337" w:type="pct"/>
            <w:noWrap w:val="0"/>
            <w:vAlign w:val="center"/>
          </w:tcPr>
          <w:p w14:paraId="6F350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嵩阳一中、中医院、下墩、客运站、黄龙山小学、教体局、交运局、发改局、汉人屯、嵩阳二中、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职业高级中学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、龙泉社区居民委员会、银杏广场、王家村骨科医院、玉明花园、嵩阳社区居民委员会等周边区域</w:t>
            </w:r>
          </w:p>
        </w:tc>
      </w:tr>
      <w:tr w14:paraId="5288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36" w:type="pct"/>
            <w:vMerge w:val="continue"/>
            <w:noWrap w:val="0"/>
            <w:vAlign w:val="center"/>
          </w:tcPr>
          <w:p w14:paraId="51E98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72" w:type="pct"/>
            <w:noWrap w:val="0"/>
            <w:vAlign w:val="center"/>
          </w:tcPr>
          <w:p w14:paraId="327D2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Ⅱ级</w:t>
            </w:r>
          </w:p>
        </w:tc>
        <w:tc>
          <w:tcPr>
            <w:tcW w:w="654" w:type="pct"/>
            <w:noWrap w:val="0"/>
            <w:vAlign w:val="center"/>
          </w:tcPr>
          <w:p w14:paraId="348C1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114.04</w:t>
            </w:r>
          </w:p>
        </w:tc>
        <w:tc>
          <w:tcPr>
            <w:tcW w:w="3337" w:type="pct"/>
            <w:noWrap w:val="0"/>
            <w:vAlign w:val="center"/>
          </w:tcPr>
          <w:p w14:paraId="115DA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定级范围内除规划限制区、Ⅰ级的其他区域</w:t>
            </w:r>
          </w:p>
        </w:tc>
      </w:tr>
      <w:tr w14:paraId="1A92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008" w:type="pct"/>
            <w:gridSpan w:val="2"/>
            <w:noWrap w:val="0"/>
            <w:vAlign w:val="center"/>
          </w:tcPr>
          <w:p w14:paraId="240D6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汇总面积</w:t>
            </w:r>
          </w:p>
        </w:tc>
        <w:tc>
          <w:tcPr>
            <w:tcW w:w="3991" w:type="pct"/>
            <w:gridSpan w:val="2"/>
            <w:noWrap w:val="0"/>
            <w:vAlign w:val="center"/>
          </w:tcPr>
          <w:p w14:paraId="612F5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993.48公顷</w:t>
            </w:r>
          </w:p>
        </w:tc>
      </w:tr>
      <w:bookmarkEnd w:id="1"/>
    </w:tbl>
    <w:p w14:paraId="275D5520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 xml:space="preserve">6 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职教新城、杨林经开区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土地综合定级土地级别分布范围及面积表</w:t>
      </w:r>
    </w:p>
    <w:tbl>
      <w:tblPr>
        <w:tblStyle w:val="35"/>
        <w:tblW w:w="4998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711"/>
        <w:gridCol w:w="1158"/>
        <w:gridCol w:w="5329"/>
      </w:tblGrid>
      <w:tr w14:paraId="4511DC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78" w:type="pct"/>
            <w:noWrap w:val="0"/>
            <w:vAlign w:val="center"/>
          </w:tcPr>
          <w:p w14:paraId="45FC09F6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片区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17" w:type="pct"/>
            <w:noWrap w:val="0"/>
            <w:vAlign w:val="center"/>
          </w:tcPr>
          <w:p w14:paraId="59FBE9D8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土地</w:t>
            </w:r>
          </w:p>
          <w:p w14:paraId="18929D52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级别</w:t>
            </w:r>
          </w:p>
        </w:tc>
        <w:tc>
          <w:tcPr>
            <w:tcW w:w="679" w:type="pct"/>
            <w:noWrap w:val="0"/>
            <w:vAlign w:val="center"/>
          </w:tcPr>
          <w:p w14:paraId="22C5D6F9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面积</w:t>
            </w:r>
          </w:p>
          <w:p w14:paraId="60912E54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（公顷）</w:t>
            </w:r>
          </w:p>
        </w:tc>
        <w:tc>
          <w:tcPr>
            <w:tcW w:w="3125" w:type="pct"/>
            <w:noWrap w:val="0"/>
            <w:vAlign w:val="center"/>
          </w:tcPr>
          <w:p w14:paraId="674023D8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主要分布范围</w:t>
            </w:r>
          </w:p>
        </w:tc>
      </w:tr>
      <w:tr w14:paraId="1DFF18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778" w:type="pct"/>
            <w:vMerge w:val="restart"/>
            <w:noWrap w:val="0"/>
            <w:vAlign w:val="center"/>
          </w:tcPr>
          <w:p w14:paraId="32107C2B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职教新城、杨林经开区</w:t>
            </w:r>
          </w:p>
        </w:tc>
        <w:tc>
          <w:tcPr>
            <w:tcW w:w="417" w:type="pct"/>
            <w:noWrap w:val="0"/>
            <w:vAlign w:val="center"/>
          </w:tcPr>
          <w:p w14:paraId="4F393D16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679" w:type="pct"/>
            <w:noWrap w:val="0"/>
            <w:vAlign w:val="center"/>
          </w:tcPr>
          <w:p w14:paraId="47999C26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1401.86</w:t>
            </w:r>
          </w:p>
        </w:tc>
        <w:tc>
          <w:tcPr>
            <w:tcW w:w="3125" w:type="pct"/>
            <w:noWrap w:val="0"/>
            <w:vAlign w:val="center"/>
          </w:tcPr>
          <w:p w14:paraId="159747B2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得胜空港温泉度假公园、中骏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云谷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、滇池学院、云南外事外语职业学院、龙保小学、俊发空港城、燕京啤酒、康师傅饮品、泰佳鑫标准厂房、伊利乳业、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昆明长鸿实验中学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、黄家坡、杨林工业园区公租房等周边区域</w:t>
            </w:r>
          </w:p>
        </w:tc>
      </w:tr>
      <w:tr w14:paraId="631B13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778" w:type="pct"/>
            <w:vMerge w:val="continue"/>
            <w:noWrap w:val="0"/>
            <w:vAlign w:val="center"/>
          </w:tcPr>
          <w:p w14:paraId="004E1487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7" w:type="pct"/>
            <w:noWrap w:val="0"/>
            <w:vAlign w:val="center"/>
          </w:tcPr>
          <w:p w14:paraId="6B8CB628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679" w:type="pct"/>
            <w:noWrap w:val="0"/>
            <w:vAlign w:val="center"/>
          </w:tcPr>
          <w:p w14:paraId="27F7B831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1987.14</w:t>
            </w:r>
          </w:p>
        </w:tc>
        <w:tc>
          <w:tcPr>
            <w:tcW w:w="3125" w:type="pct"/>
            <w:noWrap w:val="0"/>
            <w:vAlign w:val="center"/>
          </w:tcPr>
          <w:p w14:paraId="1028B80C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恒大阳光半岛、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标十里蓝山、御景新城、恒大文化旅游城、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建投钢结构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昆机、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北汽云南瑞丽汽车有限公司、土主寺、云南万达纸业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、恒宸工业园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等周边区域</w:t>
            </w:r>
          </w:p>
        </w:tc>
      </w:tr>
      <w:tr w14:paraId="486497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78" w:type="pct"/>
            <w:vMerge w:val="continue"/>
            <w:noWrap w:val="0"/>
            <w:vAlign w:val="center"/>
          </w:tcPr>
          <w:p w14:paraId="7462F49E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7" w:type="pct"/>
            <w:noWrap w:val="0"/>
            <w:vAlign w:val="center"/>
          </w:tcPr>
          <w:p w14:paraId="7552D72A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Ⅲ级</w:t>
            </w:r>
          </w:p>
        </w:tc>
        <w:tc>
          <w:tcPr>
            <w:tcW w:w="679" w:type="pct"/>
            <w:noWrap w:val="0"/>
            <w:vAlign w:val="center"/>
          </w:tcPr>
          <w:p w14:paraId="0B4753C0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1205.55</w:t>
            </w:r>
          </w:p>
        </w:tc>
        <w:tc>
          <w:tcPr>
            <w:tcW w:w="3125" w:type="pct"/>
            <w:noWrap w:val="0"/>
            <w:vAlign w:val="center"/>
          </w:tcPr>
          <w:p w14:paraId="5562045B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定级范围内除Ⅰ、Ⅱ级区域以外的其他区域</w:t>
            </w:r>
          </w:p>
        </w:tc>
      </w:tr>
    </w:tbl>
    <w:p w14:paraId="193C57D5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7 农业园区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土地综合定级土地级别分布范围及面积表</w:t>
      </w:r>
    </w:p>
    <w:tbl>
      <w:tblPr>
        <w:tblStyle w:val="35"/>
        <w:tblW w:w="4998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1204"/>
        <w:gridCol w:w="5295"/>
      </w:tblGrid>
      <w:tr w14:paraId="2777D1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188" w:type="pct"/>
            <w:noWrap w:val="0"/>
            <w:vAlign w:val="center"/>
          </w:tcPr>
          <w:p w14:paraId="320C4C01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乡镇名称</w:t>
            </w:r>
          </w:p>
        </w:tc>
        <w:tc>
          <w:tcPr>
            <w:tcW w:w="706" w:type="pct"/>
            <w:noWrap w:val="0"/>
            <w:vAlign w:val="center"/>
          </w:tcPr>
          <w:p w14:paraId="7A78C096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面积</w:t>
            </w:r>
          </w:p>
          <w:p w14:paraId="0C64D5D4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（公顷）</w:t>
            </w:r>
          </w:p>
        </w:tc>
        <w:tc>
          <w:tcPr>
            <w:tcW w:w="3104" w:type="pct"/>
            <w:noWrap w:val="0"/>
            <w:vAlign w:val="center"/>
          </w:tcPr>
          <w:p w14:paraId="4CCFDD9E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主要分布范围</w:t>
            </w:r>
          </w:p>
        </w:tc>
      </w:tr>
      <w:tr w14:paraId="13C0E7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188" w:type="pct"/>
            <w:noWrap w:val="0"/>
            <w:vAlign w:val="center"/>
          </w:tcPr>
          <w:p w14:paraId="2C9739DB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农业园区</w:t>
            </w:r>
          </w:p>
        </w:tc>
        <w:tc>
          <w:tcPr>
            <w:tcW w:w="706" w:type="pct"/>
            <w:noWrap w:val="0"/>
            <w:vAlign w:val="center"/>
          </w:tcPr>
          <w:p w14:paraId="5006FD0B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111.89</w:t>
            </w:r>
          </w:p>
        </w:tc>
        <w:tc>
          <w:tcPr>
            <w:tcW w:w="3104" w:type="pct"/>
            <w:noWrap w:val="0"/>
            <w:vAlign w:val="center"/>
          </w:tcPr>
          <w:p w14:paraId="56896DDF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定级范围内全部区域</w:t>
            </w:r>
          </w:p>
        </w:tc>
      </w:tr>
    </w:tbl>
    <w:p w14:paraId="503B89FA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8 杨桥街道中心镇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区土地综合定级土地级别分布范围及面积表</w:t>
      </w:r>
    </w:p>
    <w:tbl>
      <w:tblPr>
        <w:tblStyle w:val="35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189"/>
        <w:gridCol w:w="1158"/>
        <w:gridCol w:w="5112"/>
      </w:tblGrid>
      <w:tr w14:paraId="4E8510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24" w:type="pct"/>
            <w:noWrap w:val="0"/>
            <w:vAlign w:val="center"/>
          </w:tcPr>
          <w:p w14:paraId="41EB580B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乡镇名称</w:t>
            </w:r>
          </w:p>
        </w:tc>
        <w:tc>
          <w:tcPr>
            <w:tcW w:w="697" w:type="pct"/>
            <w:noWrap w:val="0"/>
            <w:vAlign w:val="center"/>
          </w:tcPr>
          <w:p w14:paraId="3919628D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679" w:type="pct"/>
            <w:noWrap w:val="0"/>
            <w:vAlign w:val="center"/>
          </w:tcPr>
          <w:p w14:paraId="381CC252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面积</w:t>
            </w:r>
          </w:p>
          <w:p w14:paraId="2316D991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（公顷）</w:t>
            </w:r>
          </w:p>
        </w:tc>
        <w:tc>
          <w:tcPr>
            <w:tcW w:w="2998" w:type="pct"/>
            <w:noWrap w:val="0"/>
            <w:vAlign w:val="center"/>
          </w:tcPr>
          <w:p w14:paraId="1C2BDE38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主要分布范围</w:t>
            </w:r>
          </w:p>
        </w:tc>
      </w:tr>
      <w:tr w14:paraId="764A54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624" w:type="pct"/>
            <w:vMerge w:val="restart"/>
            <w:noWrap w:val="0"/>
            <w:vAlign w:val="center"/>
          </w:tcPr>
          <w:p w14:paraId="56446A8B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杨桥街道</w:t>
            </w:r>
          </w:p>
        </w:tc>
        <w:tc>
          <w:tcPr>
            <w:tcW w:w="697" w:type="pct"/>
            <w:noWrap w:val="0"/>
            <w:vAlign w:val="center"/>
          </w:tcPr>
          <w:p w14:paraId="78A98D41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679" w:type="pct"/>
            <w:noWrap w:val="0"/>
            <w:vAlign w:val="center"/>
          </w:tcPr>
          <w:p w14:paraId="17F4336C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92.59</w:t>
            </w:r>
          </w:p>
        </w:tc>
        <w:tc>
          <w:tcPr>
            <w:tcW w:w="2998" w:type="pct"/>
            <w:noWrap w:val="0"/>
            <w:vAlign w:val="center"/>
          </w:tcPr>
          <w:p w14:paraId="1D9AC29F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杨桥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小学、中心幼儿园、派出所、政府、崧灵路以西30-370米辐射范围等周边区域</w:t>
            </w:r>
          </w:p>
        </w:tc>
      </w:tr>
      <w:tr w14:paraId="6ACBDE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24" w:type="pct"/>
            <w:vMerge w:val="continue"/>
            <w:noWrap w:val="0"/>
            <w:vAlign w:val="center"/>
          </w:tcPr>
          <w:p w14:paraId="43FA9C19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97" w:type="pct"/>
            <w:noWrap w:val="0"/>
            <w:vAlign w:val="center"/>
          </w:tcPr>
          <w:p w14:paraId="2B961EFE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679" w:type="pct"/>
            <w:noWrap w:val="0"/>
            <w:vAlign w:val="center"/>
          </w:tcPr>
          <w:p w14:paraId="40355535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25.30</w:t>
            </w:r>
          </w:p>
        </w:tc>
        <w:tc>
          <w:tcPr>
            <w:tcW w:w="2998" w:type="pct"/>
            <w:noWrap w:val="0"/>
            <w:vAlign w:val="center"/>
          </w:tcPr>
          <w:p w14:paraId="0C5D2E99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定级范围内除Ⅰ级区域以外的其他区域</w:t>
            </w:r>
          </w:p>
        </w:tc>
      </w:tr>
    </w:tbl>
    <w:p w14:paraId="3AEC8624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9 杨林镇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土地综合定级土地级别分布范围及面积表</w:t>
      </w:r>
    </w:p>
    <w:tbl>
      <w:tblPr>
        <w:tblStyle w:val="35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25"/>
        <w:gridCol w:w="1132"/>
        <w:gridCol w:w="5126"/>
      </w:tblGrid>
      <w:tr w14:paraId="596376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40" w:type="dxa"/>
            <w:noWrap w:val="0"/>
            <w:vAlign w:val="center"/>
          </w:tcPr>
          <w:p w14:paraId="21F4559B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乡镇名称</w:t>
            </w:r>
          </w:p>
        </w:tc>
        <w:tc>
          <w:tcPr>
            <w:tcW w:w="1125" w:type="dxa"/>
            <w:noWrap w:val="0"/>
            <w:vAlign w:val="center"/>
          </w:tcPr>
          <w:p w14:paraId="15AFC1C6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1132" w:type="dxa"/>
            <w:noWrap w:val="0"/>
            <w:vAlign w:val="center"/>
          </w:tcPr>
          <w:p w14:paraId="7916F483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面积</w:t>
            </w:r>
          </w:p>
          <w:p w14:paraId="7CD9B2D1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（公顷）</w:t>
            </w:r>
          </w:p>
        </w:tc>
        <w:tc>
          <w:tcPr>
            <w:tcW w:w="5126" w:type="dxa"/>
            <w:noWrap w:val="0"/>
            <w:vAlign w:val="center"/>
          </w:tcPr>
          <w:p w14:paraId="2D14F1AC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主要分布范围</w:t>
            </w:r>
          </w:p>
        </w:tc>
      </w:tr>
      <w:tr w14:paraId="79D552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1140" w:type="dxa"/>
            <w:vMerge w:val="restart"/>
            <w:noWrap w:val="0"/>
            <w:vAlign w:val="center"/>
          </w:tcPr>
          <w:p w14:paraId="7F5A2576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杨林镇</w:t>
            </w:r>
          </w:p>
        </w:tc>
        <w:tc>
          <w:tcPr>
            <w:tcW w:w="1125" w:type="dxa"/>
            <w:noWrap w:val="0"/>
            <w:vAlign w:val="center"/>
          </w:tcPr>
          <w:p w14:paraId="0527D657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1132" w:type="dxa"/>
            <w:noWrap w:val="0"/>
            <w:vAlign w:val="center"/>
          </w:tcPr>
          <w:p w14:paraId="440FA23A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257.85</w:t>
            </w:r>
          </w:p>
        </w:tc>
        <w:tc>
          <w:tcPr>
            <w:tcW w:w="5126" w:type="dxa"/>
            <w:noWrap w:val="0"/>
            <w:vAlign w:val="center"/>
          </w:tcPr>
          <w:p w14:paraId="6E045C02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东北区域嘉丽泽片区包括昆明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嘉丽泽恒大养生谷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嘉丽泽湿地、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云南省马术协会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，西南区域包括客运站、公路管理所、政府、杨林镇第一初级中学、窑上、贝特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阳光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幼儿园等周边区域</w:t>
            </w:r>
          </w:p>
        </w:tc>
      </w:tr>
      <w:tr w14:paraId="24EFCC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140" w:type="dxa"/>
            <w:vMerge w:val="continue"/>
            <w:noWrap w:val="0"/>
            <w:vAlign w:val="center"/>
          </w:tcPr>
          <w:p w14:paraId="3EEABC0B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2B75ED19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1132" w:type="dxa"/>
            <w:noWrap w:val="0"/>
            <w:vAlign w:val="center"/>
          </w:tcPr>
          <w:p w14:paraId="5F2A239A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51.13</w:t>
            </w:r>
          </w:p>
        </w:tc>
        <w:tc>
          <w:tcPr>
            <w:tcW w:w="5126" w:type="dxa"/>
            <w:noWrap w:val="0"/>
            <w:vAlign w:val="center"/>
          </w:tcPr>
          <w:p w14:paraId="222F373E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定级范围内除Ⅰ级区域以外的其他区域</w:t>
            </w:r>
          </w:p>
        </w:tc>
      </w:tr>
    </w:tbl>
    <w:p w14:paraId="3F5CA136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10 小街镇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土地综合定级土地级别分布范围及面积表</w:t>
      </w:r>
    </w:p>
    <w:tbl>
      <w:tblPr>
        <w:tblStyle w:val="35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25"/>
        <w:gridCol w:w="1117"/>
        <w:gridCol w:w="5141"/>
      </w:tblGrid>
      <w:tr w14:paraId="6057D4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35" w:hRule="atLeast"/>
        </w:trPr>
        <w:tc>
          <w:tcPr>
            <w:tcW w:w="1140" w:type="dxa"/>
            <w:noWrap w:val="0"/>
            <w:vAlign w:val="center"/>
          </w:tcPr>
          <w:p w14:paraId="1472ADC7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乡镇名称</w:t>
            </w:r>
          </w:p>
        </w:tc>
        <w:tc>
          <w:tcPr>
            <w:tcW w:w="1125" w:type="dxa"/>
            <w:noWrap w:val="0"/>
            <w:vAlign w:val="center"/>
          </w:tcPr>
          <w:p w14:paraId="2E161DA0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1117" w:type="dxa"/>
            <w:noWrap w:val="0"/>
            <w:vAlign w:val="center"/>
          </w:tcPr>
          <w:p w14:paraId="3979A83C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面积</w:t>
            </w:r>
          </w:p>
          <w:p w14:paraId="385FE58F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（公顷）</w:t>
            </w:r>
          </w:p>
        </w:tc>
        <w:tc>
          <w:tcPr>
            <w:tcW w:w="5141" w:type="dxa"/>
            <w:noWrap w:val="0"/>
            <w:vAlign w:val="center"/>
          </w:tcPr>
          <w:p w14:paraId="41F4E1DF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主要分布范围</w:t>
            </w:r>
          </w:p>
        </w:tc>
      </w:tr>
      <w:tr w14:paraId="5A102C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40" w:type="dxa"/>
            <w:vMerge w:val="restart"/>
            <w:noWrap w:val="0"/>
            <w:vAlign w:val="center"/>
          </w:tcPr>
          <w:p w14:paraId="66DC79DD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小街镇</w:t>
            </w:r>
          </w:p>
        </w:tc>
        <w:tc>
          <w:tcPr>
            <w:tcW w:w="1125" w:type="dxa"/>
            <w:noWrap w:val="0"/>
            <w:vAlign w:val="center"/>
          </w:tcPr>
          <w:p w14:paraId="597710FD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1117" w:type="dxa"/>
            <w:noWrap w:val="0"/>
            <w:vAlign w:val="center"/>
          </w:tcPr>
          <w:p w14:paraId="19CDE81B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125.83</w:t>
            </w:r>
          </w:p>
        </w:tc>
        <w:tc>
          <w:tcPr>
            <w:tcW w:w="5141" w:type="dxa"/>
            <w:noWrap w:val="0"/>
            <w:vAlign w:val="center"/>
          </w:tcPr>
          <w:p w14:paraId="63F9E64E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中心幼儿园、派出所、客运站、政府、嘉玲小学、得子村、王家村等周边区域</w:t>
            </w:r>
          </w:p>
        </w:tc>
      </w:tr>
      <w:tr w14:paraId="0E5A26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140" w:type="dxa"/>
            <w:vMerge w:val="continue"/>
            <w:noWrap w:val="0"/>
            <w:vAlign w:val="center"/>
          </w:tcPr>
          <w:p w14:paraId="2F03CF02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4CE54C07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1117" w:type="dxa"/>
            <w:noWrap w:val="0"/>
            <w:vAlign w:val="center"/>
          </w:tcPr>
          <w:p w14:paraId="7141DCF4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148.54</w:t>
            </w:r>
          </w:p>
        </w:tc>
        <w:tc>
          <w:tcPr>
            <w:tcW w:w="5141" w:type="dxa"/>
            <w:noWrap w:val="0"/>
            <w:vAlign w:val="center"/>
          </w:tcPr>
          <w:p w14:paraId="02C53C26">
            <w:pPr>
              <w:pStyle w:val="17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定级范围内除Ⅰ级区域以外的其他区域</w:t>
            </w:r>
          </w:p>
        </w:tc>
      </w:tr>
    </w:tbl>
    <w:p w14:paraId="26CC9CC0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11 牛栏江镇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土地综合定级土地级别分布范围及面积表</w:t>
      </w:r>
    </w:p>
    <w:tbl>
      <w:tblPr>
        <w:tblStyle w:val="35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100"/>
        <w:gridCol w:w="1159"/>
        <w:gridCol w:w="5111"/>
      </w:tblGrid>
      <w:tr w14:paraId="2135A6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35" w:hRule="atLeast"/>
        </w:trPr>
        <w:tc>
          <w:tcPr>
            <w:tcW w:w="1153" w:type="dxa"/>
            <w:noWrap w:val="0"/>
            <w:vAlign w:val="center"/>
          </w:tcPr>
          <w:p w14:paraId="6982489B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乡镇名称</w:t>
            </w:r>
          </w:p>
        </w:tc>
        <w:tc>
          <w:tcPr>
            <w:tcW w:w="1100" w:type="dxa"/>
            <w:noWrap w:val="0"/>
            <w:vAlign w:val="center"/>
          </w:tcPr>
          <w:p w14:paraId="5907DE83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1159" w:type="dxa"/>
            <w:noWrap w:val="0"/>
            <w:vAlign w:val="center"/>
          </w:tcPr>
          <w:p w14:paraId="41B43039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面积</w:t>
            </w:r>
          </w:p>
          <w:p w14:paraId="501A7EF0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（公顷）</w:t>
            </w:r>
          </w:p>
        </w:tc>
        <w:tc>
          <w:tcPr>
            <w:tcW w:w="5111" w:type="dxa"/>
            <w:noWrap w:val="0"/>
            <w:vAlign w:val="center"/>
          </w:tcPr>
          <w:p w14:paraId="15A28D98">
            <w:pPr>
              <w:pStyle w:val="176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主要分布范围</w:t>
            </w:r>
          </w:p>
        </w:tc>
      </w:tr>
      <w:tr w14:paraId="46BC07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153" w:type="dxa"/>
            <w:vMerge w:val="restart"/>
            <w:noWrap w:val="0"/>
            <w:vAlign w:val="center"/>
          </w:tcPr>
          <w:p w14:paraId="7D715150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牛栏江镇</w:t>
            </w:r>
          </w:p>
        </w:tc>
        <w:tc>
          <w:tcPr>
            <w:tcW w:w="1100" w:type="dxa"/>
            <w:noWrap w:val="0"/>
            <w:vAlign w:val="center"/>
          </w:tcPr>
          <w:p w14:paraId="4A965BBD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1159" w:type="dxa"/>
            <w:noWrap w:val="0"/>
            <w:vAlign w:val="center"/>
          </w:tcPr>
          <w:p w14:paraId="7C78E32B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26.52</w:t>
            </w:r>
          </w:p>
        </w:tc>
        <w:tc>
          <w:tcPr>
            <w:tcW w:w="5111" w:type="dxa"/>
            <w:noWrap w:val="0"/>
            <w:vAlign w:val="center"/>
          </w:tcPr>
          <w:p w14:paraId="4832760B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新营小学、财政所、政府、牛栏江休闲文化广场、中心幼儿园等周边区域</w:t>
            </w:r>
          </w:p>
        </w:tc>
      </w:tr>
      <w:tr w14:paraId="2112DC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53" w:type="dxa"/>
            <w:vMerge w:val="continue"/>
            <w:noWrap w:val="0"/>
            <w:vAlign w:val="center"/>
          </w:tcPr>
          <w:p w14:paraId="23BF0EF9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DDDCEC0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1159" w:type="dxa"/>
            <w:noWrap w:val="0"/>
            <w:vAlign w:val="center"/>
          </w:tcPr>
          <w:p w14:paraId="2E3A91DA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67.33</w:t>
            </w:r>
          </w:p>
        </w:tc>
        <w:tc>
          <w:tcPr>
            <w:tcW w:w="5111" w:type="dxa"/>
            <w:noWrap w:val="0"/>
            <w:vAlign w:val="center"/>
          </w:tcPr>
          <w:p w14:paraId="044E0AAF">
            <w:pPr>
              <w:pStyle w:val="176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定级范围内除Ⅰ级区域以外的其他区域</w:t>
            </w:r>
          </w:p>
        </w:tc>
      </w:tr>
    </w:tbl>
    <w:p w14:paraId="27CF0E2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三、价格公示</w:t>
      </w:r>
    </w:p>
    <w:p w14:paraId="675879E8">
      <w:pPr>
        <w:spacing w:line="360" w:lineRule="auto"/>
        <w:ind w:firstLine="480"/>
        <w:jc w:val="center"/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表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US" w:eastAsia="zh-CN"/>
        </w:rPr>
        <w:t xml:space="preserve">12 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 w:eastAsia="zh-CN"/>
        </w:rPr>
        <w:t>嵩明县中心城区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土地定级与基准地价测算结果表</w:t>
      </w:r>
    </w:p>
    <w:tbl>
      <w:tblPr>
        <w:tblStyle w:val="35"/>
        <w:tblW w:w="530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958"/>
        <w:gridCol w:w="1007"/>
        <w:gridCol w:w="780"/>
        <w:gridCol w:w="810"/>
        <w:gridCol w:w="1052"/>
        <w:gridCol w:w="763"/>
        <w:gridCol w:w="945"/>
        <w:gridCol w:w="810"/>
        <w:gridCol w:w="1004"/>
      </w:tblGrid>
      <w:tr w14:paraId="36DD20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50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4005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定级类型</w:t>
            </w:r>
          </w:p>
        </w:tc>
        <w:tc>
          <w:tcPr>
            <w:tcW w:w="4490" w:type="pct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C16F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土地类型</w:t>
            </w:r>
          </w:p>
        </w:tc>
      </w:tr>
      <w:tr w14:paraId="7AB788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0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4CB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16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FFD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商业服务业用地</w:t>
            </w:r>
          </w:p>
        </w:tc>
        <w:tc>
          <w:tcPr>
            <w:tcW w:w="14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4B4A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居住用地</w:t>
            </w:r>
          </w:p>
        </w:tc>
        <w:tc>
          <w:tcPr>
            <w:tcW w:w="1523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3C9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工业用地</w:t>
            </w:r>
          </w:p>
        </w:tc>
      </w:tr>
      <w:tr w14:paraId="3E3617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7CA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土地级别</w:t>
            </w:r>
          </w:p>
        </w:tc>
        <w:tc>
          <w:tcPr>
            <w:tcW w:w="108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360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地面地价</w:t>
            </w:r>
          </w:p>
        </w:tc>
        <w:tc>
          <w:tcPr>
            <w:tcW w:w="430" w:type="pct"/>
            <w:tcBorders>
              <w:tl2br w:val="nil"/>
              <w:tr2bl w:val="nil"/>
            </w:tcBorders>
            <w:noWrap w:val="0"/>
            <w:vAlign w:val="center"/>
          </w:tcPr>
          <w:p w14:paraId="5187D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楼面</w:t>
            </w:r>
          </w:p>
          <w:p w14:paraId="55AD0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地价</w:t>
            </w:r>
          </w:p>
        </w:tc>
        <w:tc>
          <w:tcPr>
            <w:tcW w:w="102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40B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地面地价</w:t>
            </w:r>
          </w:p>
        </w:tc>
        <w:tc>
          <w:tcPr>
            <w:tcW w:w="421" w:type="pct"/>
            <w:tcBorders>
              <w:tl2br w:val="nil"/>
              <w:tr2bl w:val="nil"/>
            </w:tcBorders>
            <w:noWrap w:val="0"/>
            <w:vAlign w:val="center"/>
          </w:tcPr>
          <w:p w14:paraId="4BAB9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楼面地价</w:t>
            </w:r>
          </w:p>
        </w:tc>
        <w:tc>
          <w:tcPr>
            <w:tcW w:w="52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4A59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土地级别</w:t>
            </w:r>
          </w:p>
        </w:tc>
        <w:tc>
          <w:tcPr>
            <w:tcW w:w="44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0E64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元/㎡</w:t>
            </w:r>
          </w:p>
        </w:tc>
        <w:tc>
          <w:tcPr>
            <w:tcW w:w="5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83C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万元/亩</w:t>
            </w:r>
          </w:p>
        </w:tc>
      </w:tr>
      <w:tr w14:paraId="64C8A3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50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D8A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l2br w:val="nil"/>
              <w:tr2bl w:val="nil"/>
            </w:tcBorders>
            <w:noWrap w:val="0"/>
            <w:vAlign w:val="center"/>
          </w:tcPr>
          <w:p w14:paraId="253FF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元/㎡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vAlign w:val="center"/>
          </w:tcPr>
          <w:p w14:paraId="1259A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万元/亩</w:t>
            </w:r>
          </w:p>
        </w:tc>
        <w:tc>
          <w:tcPr>
            <w:tcW w:w="430" w:type="pct"/>
            <w:tcBorders>
              <w:tl2br w:val="nil"/>
              <w:tr2bl w:val="nil"/>
            </w:tcBorders>
            <w:noWrap w:val="0"/>
            <w:vAlign w:val="center"/>
          </w:tcPr>
          <w:p w14:paraId="335C6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元/㎡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22895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元/㎡</w:t>
            </w:r>
          </w:p>
        </w:tc>
        <w:tc>
          <w:tcPr>
            <w:tcW w:w="581" w:type="pct"/>
            <w:tcBorders>
              <w:tl2br w:val="nil"/>
              <w:tr2bl w:val="nil"/>
            </w:tcBorders>
            <w:noWrap w:val="0"/>
            <w:vAlign w:val="center"/>
          </w:tcPr>
          <w:p w14:paraId="1C30B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万元/亩</w:t>
            </w:r>
          </w:p>
        </w:tc>
        <w:tc>
          <w:tcPr>
            <w:tcW w:w="421" w:type="pct"/>
            <w:tcBorders>
              <w:tl2br w:val="nil"/>
              <w:tr2bl w:val="nil"/>
            </w:tcBorders>
            <w:noWrap w:val="0"/>
            <w:vAlign w:val="center"/>
          </w:tcPr>
          <w:p w14:paraId="4B7E5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元/㎡</w:t>
            </w:r>
          </w:p>
        </w:tc>
        <w:tc>
          <w:tcPr>
            <w:tcW w:w="52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CFF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4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49C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5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78E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B8450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509" w:type="pct"/>
            <w:tcBorders>
              <w:tl2br w:val="nil"/>
              <w:tr2bl w:val="nil"/>
            </w:tcBorders>
            <w:noWrap w:val="0"/>
            <w:vAlign w:val="center"/>
          </w:tcPr>
          <w:p w14:paraId="64774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Ⅰ级</w:t>
            </w:r>
          </w:p>
        </w:tc>
        <w:tc>
          <w:tcPr>
            <w:tcW w:w="529" w:type="pct"/>
            <w:tcBorders>
              <w:tl2br w:val="nil"/>
              <w:tr2bl w:val="nil"/>
            </w:tcBorders>
            <w:noWrap w:val="0"/>
            <w:vAlign w:val="center"/>
          </w:tcPr>
          <w:p w14:paraId="5C253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1334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vAlign w:val="center"/>
          </w:tcPr>
          <w:p w14:paraId="0B91C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88.93 </w:t>
            </w:r>
          </w:p>
        </w:tc>
        <w:tc>
          <w:tcPr>
            <w:tcW w:w="430" w:type="pct"/>
            <w:tcBorders>
              <w:tl2br w:val="nil"/>
              <w:tr2bl w:val="nil"/>
            </w:tcBorders>
            <w:noWrap w:val="0"/>
            <w:vAlign w:val="center"/>
          </w:tcPr>
          <w:p w14:paraId="29A89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667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2C8A9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1553</w:t>
            </w:r>
          </w:p>
        </w:tc>
        <w:tc>
          <w:tcPr>
            <w:tcW w:w="581" w:type="pct"/>
            <w:tcBorders>
              <w:tl2br w:val="nil"/>
              <w:tr2bl w:val="nil"/>
            </w:tcBorders>
            <w:noWrap w:val="0"/>
            <w:vAlign w:val="center"/>
          </w:tcPr>
          <w:p w14:paraId="6BD98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103.53 </w:t>
            </w:r>
          </w:p>
        </w:tc>
        <w:tc>
          <w:tcPr>
            <w:tcW w:w="421" w:type="pct"/>
            <w:tcBorders>
              <w:tl2br w:val="nil"/>
              <w:tr2bl w:val="nil"/>
            </w:tcBorders>
            <w:noWrap w:val="0"/>
            <w:vAlign w:val="center"/>
          </w:tcPr>
          <w:p w14:paraId="7FF26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706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213F5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规划限制区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2EC19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--</w:t>
            </w: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 w14:paraId="346BE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--</w:t>
            </w:r>
          </w:p>
        </w:tc>
      </w:tr>
      <w:tr w14:paraId="52AD08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509" w:type="pct"/>
            <w:tcBorders>
              <w:tl2br w:val="nil"/>
              <w:tr2bl w:val="nil"/>
            </w:tcBorders>
            <w:noWrap w:val="0"/>
            <w:vAlign w:val="center"/>
          </w:tcPr>
          <w:p w14:paraId="4778F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Ⅱ级</w:t>
            </w:r>
          </w:p>
        </w:tc>
        <w:tc>
          <w:tcPr>
            <w:tcW w:w="529" w:type="pct"/>
            <w:tcBorders>
              <w:tl2br w:val="nil"/>
              <w:tr2bl w:val="nil"/>
            </w:tcBorders>
            <w:noWrap w:val="0"/>
            <w:vAlign w:val="center"/>
          </w:tcPr>
          <w:p w14:paraId="69028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1005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vAlign w:val="center"/>
          </w:tcPr>
          <w:p w14:paraId="2E7C7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67.00 </w:t>
            </w:r>
          </w:p>
        </w:tc>
        <w:tc>
          <w:tcPr>
            <w:tcW w:w="430" w:type="pct"/>
            <w:tcBorders>
              <w:tl2br w:val="nil"/>
              <w:tr2bl w:val="nil"/>
            </w:tcBorders>
            <w:noWrap w:val="0"/>
            <w:vAlign w:val="center"/>
          </w:tcPr>
          <w:p w14:paraId="35160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558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0657C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1198</w:t>
            </w:r>
          </w:p>
        </w:tc>
        <w:tc>
          <w:tcPr>
            <w:tcW w:w="581" w:type="pct"/>
            <w:tcBorders>
              <w:tl2br w:val="nil"/>
              <w:tr2bl w:val="nil"/>
            </w:tcBorders>
            <w:noWrap w:val="0"/>
            <w:vAlign w:val="center"/>
          </w:tcPr>
          <w:p w14:paraId="436A5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79.87 </w:t>
            </w:r>
          </w:p>
        </w:tc>
        <w:tc>
          <w:tcPr>
            <w:tcW w:w="421" w:type="pct"/>
            <w:tcBorders>
              <w:tl2br w:val="nil"/>
              <w:tr2bl w:val="nil"/>
            </w:tcBorders>
            <w:noWrap w:val="0"/>
            <w:vAlign w:val="center"/>
          </w:tcPr>
          <w:p w14:paraId="78ED4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599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57525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Ⅰ级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2BD75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414</w:t>
            </w: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 w14:paraId="13F15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27.60 </w:t>
            </w:r>
          </w:p>
        </w:tc>
      </w:tr>
      <w:tr w14:paraId="0E9B1C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509" w:type="pct"/>
            <w:tcBorders>
              <w:tl2br w:val="nil"/>
              <w:tr2bl w:val="nil"/>
            </w:tcBorders>
            <w:noWrap w:val="0"/>
            <w:vAlign w:val="center"/>
          </w:tcPr>
          <w:p w14:paraId="0BFC8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Ⅲ级</w:t>
            </w:r>
          </w:p>
        </w:tc>
        <w:tc>
          <w:tcPr>
            <w:tcW w:w="529" w:type="pct"/>
            <w:tcBorders>
              <w:tl2br w:val="nil"/>
              <w:tr2bl w:val="nil"/>
            </w:tcBorders>
            <w:noWrap w:val="0"/>
            <w:vAlign w:val="center"/>
          </w:tcPr>
          <w:p w14:paraId="6C077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838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vAlign w:val="center"/>
          </w:tcPr>
          <w:p w14:paraId="09567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55.87 </w:t>
            </w:r>
          </w:p>
        </w:tc>
        <w:tc>
          <w:tcPr>
            <w:tcW w:w="430" w:type="pct"/>
            <w:tcBorders>
              <w:tl2br w:val="nil"/>
              <w:tr2bl w:val="nil"/>
            </w:tcBorders>
            <w:noWrap w:val="0"/>
            <w:vAlign w:val="center"/>
          </w:tcPr>
          <w:p w14:paraId="258F0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524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40ED1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1072</w:t>
            </w:r>
          </w:p>
        </w:tc>
        <w:tc>
          <w:tcPr>
            <w:tcW w:w="581" w:type="pct"/>
            <w:tcBorders>
              <w:tl2br w:val="nil"/>
              <w:tr2bl w:val="nil"/>
            </w:tcBorders>
            <w:noWrap w:val="0"/>
            <w:vAlign w:val="center"/>
          </w:tcPr>
          <w:p w14:paraId="55E8B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71.47 </w:t>
            </w:r>
          </w:p>
        </w:tc>
        <w:tc>
          <w:tcPr>
            <w:tcW w:w="421" w:type="pct"/>
            <w:tcBorders>
              <w:tl2br w:val="nil"/>
              <w:tr2bl w:val="nil"/>
            </w:tcBorders>
            <w:noWrap w:val="0"/>
            <w:vAlign w:val="center"/>
          </w:tcPr>
          <w:p w14:paraId="3C268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596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0DEDF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Ⅱ级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29E34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336</w:t>
            </w: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 w14:paraId="62D41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22.40 </w:t>
            </w:r>
          </w:p>
        </w:tc>
      </w:tr>
    </w:tbl>
    <w:p w14:paraId="5E939E1C">
      <w:pPr>
        <w:adjustRightInd w:val="0"/>
        <w:snapToGrid w:val="0"/>
        <w:spacing w:line="288" w:lineRule="auto"/>
        <w:ind w:firstLine="36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备注：1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采矿用地参照工业用地价格修正，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修正系数为0.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；</w:t>
      </w:r>
    </w:p>
    <w:p w14:paraId="1A45D460">
      <w:pPr>
        <w:adjustRightInd w:val="0"/>
        <w:snapToGrid w:val="0"/>
        <w:spacing w:line="288" w:lineRule="auto"/>
        <w:ind w:firstLine="1200" w:firstLineChars="50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物流仓储用地参照工业用地价格修正，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修正系数为1.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。</w:t>
      </w:r>
    </w:p>
    <w:p w14:paraId="1F43D4CC">
      <w:pPr>
        <w:spacing w:line="360" w:lineRule="auto"/>
        <w:ind w:firstLine="480"/>
        <w:jc w:val="center"/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表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US" w:eastAsia="zh-CN"/>
        </w:rPr>
        <w:t xml:space="preserve">13 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 w:eastAsia="zh-CN"/>
        </w:rPr>
        <w:t>嵩明县中心城区</w:t>
      </w:r>
      <w:r>
        <w:rPr>
          <w:rFonts w:hint="default" w:ascii="Times New Roman" w:hAnsi="Times New Roman" w:eastAsia="仿宋_GB2312" w:cs="Times New Roman"/>
          <w:color w:val="auto"/>
          <w:kern w:val="28"/>
          <w:sz w:val="24"/>
          <w:szCs w:val="24"/>
          <w:highlight w:val="none"/>
          <w:lang w:val="en-GB"/>
        </w:rPr>
        <w:t>公共管理与公共服务用地基准地价测算结果</w:t>
      </w:r>
    </w:p>
    <w:tbl>
      <w:tblPr>
        <w:tblStyle w:val="35"/>
        <w:tblW w:w="516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8"/>
        <w:gridCol w:w="1543"/>
        <w:gridCol w:w="1200"/>
        <w:gridCol w:w="1458"/>
        <w:gridCol w:w="1187"/>
        <w:gridCol w:w="1494"/>
      </w:tblGrid>
      <w:tr w14:paraId="18FC3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439" w:type="pct"/>
            <w:vMerge w:val="restart"/>
            <w:tcBorders>
              <w:tl2br w:val="single" w:color="auto" w:sz="4" w:space="0"/>
            </w:tcBorders>
            <w:vAlign w:val="center"/>
          </w:tcPr>
          <w:p w14:paraId="530B823D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用途</w:t>
            </w:r>
          </w:p>
          <w:p w14:paraId="414EA24A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6E1B717B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6F12A257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级别</w:t>
            </w:r>
          </w:p>
        </w:tc>
        <w:tc>
          <w:tcPr>
            <w:tcW w:w="1528" w:type="pct"/>
            <w:gridSpan w:val="2"/>
            <w:vAlign w:val="center"/>
          </w:tcPr>
          <w:p w14:paraId="144C9DD9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医疗卫生用地、文化用地、体育用地</w:t>
            </w:r>
          </w:p>
        </w:tc>
        <w:tc>
          <w:tcPr>
            <w:tcW w:w="1509" w:type="pct"/>
            <w:gridSpan w:val="2"/>
            <w:vAlign w:val="center"/>
          </w:tcPr>
          <w:p w14:paraId="2473C720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机关团体用地、教育用地、科研用地</w:t>
            </w:r>
          </w:p>
        </w:tc>
        <w:tc>
          <w:tcPr>
            <w:tcW w:w="1522" w:type="pct"/>
            <w:gridSpan w:val="2"/>
            <w:vAlign w:val="center"/>
          </w:tcPr>
          <w:p w14:paraId="45BD7DF0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公共管理与公共服务用地（社会福利用地）、公用设施用地</w:t>
            </w:r>
          </w:p>
        </w:tc>
      </w:tr>
      <w:tr w14:paraId="20BE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439" w:type="pct"/>
            <w:vMerge w:val="continue"/>
            <w:tcBorders>
              <w:tl2br w:val="single" w:color="auto" w:sz="4" w:space="0"/>
            </w:tcBorders>
            <w:vAlign w:val="center"/>
          </w:tcPr>
          <w:p w14:paraId="5E8F0F79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52" w:type="pct"/>
            <w:vAlign w:val="center"/>
          </w:tcPr>
          <w:p w14:paraId="1D40E77F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876" w:type="pct"/>
            <w:vAlign w:val="center"/>
          </w:tcPr>
          <w:p w14:paraId="502BF6E9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681" w:type="pct"/>
            <w:vAlign w:val="center"/>
          </w:tcPr>
          <w:p w14:paraId="76351512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827" w:type="pct"/>
            <w:vAlign w:val="center"/>
          </w:tcPr>
          <w:p w14:paraId="4DC44120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674" w:type="pct"/>
            <w:vAlign w:val="center"/>
          </w:tcPr>
          <w:p w14:paraId="143A3EF5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848" w:type="pct"/>
            <w:vAlign w:val="center"/>
          </w:tcPr>
          <w:p w14:paraId="57059F11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万元/亩</w:t>
            </w:r>
          </w:p>
        </w:tc>
      </w:tr>
      <w:tr w14:paraId="5DE0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  <w:jc w:val="center"/>
        </w:trPr>
        <w:tc>
          <w:tcPr>
            <w:tcW w:w="439" w:type="pct"/>
            <w:vAlign w:val="center"/>
          </w:tcPr>
          <w:p w14:paraId="2A593016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652" w:type="pct"/>
            <w:vAlign w:val="center"/>
          </w:tcPr>
          <w:p w14:paraId="4342DF12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499</w:t>
            </w:r>
          </w:p>
        </w:tc>
        <w:tc>
          <w:tcPr>
            <w:tcW w:w="876" w:type="pct"/>
            <w:vAlign w:val="center"/>
          </w:tcPr>
          <w:p w14:paraId="12699557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33.27 </w:t>
            </w:r>
          </w:p>
        </w:tc>
        <w:tc>
          <w:tcPr>
            <w:tcW w:w="681" w:type="pct"/>
            <w:vAlign w:val="center"/>
          </w:tcPr>
          <w:p w14:paraId="265DEB6C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493</w:t>
            </w:r>
          </w:p>
        </w:tc>
        <w:tc>
          <w:tcPr>
            <w:tcW w:w="827" w:type="pct"/>
            <w:vAlign w:val="center"/>
          </w:tcPr>
          <w:p w14:paraId="1E67E690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32.87 </w:t>
            </w:r>
          </w:p>
        </w:tc>
        <w:tc>
          <w:tcPr>
            <w:tcW w:w="674" w:type="pct"/>
            <w:vAlign w:val="center"/>
          </w:tcPr>
          <w:p w14:paraId="32F27F6D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459</w:t>
            </w:r>
          </w:p>
        </w:tc>
        <w:tc>
          <w:tcPr>
            <w:tcW w:w="848" w:type="pct"/>
            <w:vAlign w:val="center"/>
          </w:tcPr>
          <w:p w14:paraId="3FC68BC5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30.60 </w:t>
            </w:r>
          </w:p>
        </w:tc>
      </w:tr>
      <w:tr w14:paraId="5881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  <w:jc w:val="center"/>
        </w:trPr>
        <w:tc>
          <w:tcPr>
            <w:tcW w:w="439" w:type="pct"/>
            <w:vAlign w:val="center"/>
          </w:tcPr>
          <w:p w14:paraId="533484AA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652" w:type="pct"/>
            <w:vAlign w:val="center"/>
          </w:tcPr>
          <w:p w14:paraId="09504FDF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438</w:t>
            </w:r>
          </w:p>
        </w:tc>
        <w:tc>
          <w:tcPr>
            <w:tcW w:w="876" w:type="pct"/>
            <w:vAlign w:val="center"/>
          </w:tcPr>
          <w:p w14:paraId="30286E2D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29.20 </w:t>
            </w:r>
          </w:p>
        </w:tc>
        <w:tc>
          <w:tcPr>
            <w:tcW w:w="681" w:type="pct"/>
            <w:vAlign w:val="center"/>
          </w:tcPr>
          <w:p w14:paraId="1D7BECB1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432</w:t>
            </w:r>
          </w:p>
        </w:tc>
        <w:tc>
          <w:tcPr>
            <w:tcW w:w="827" w:type="pct"/>
            <w:vAlign w:val="center"/>
          </w:tcPr>
          <w:p w14:paraId="5FC9CFAB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28.80 </w:t>
            </w:r>
          </w:p>
        </w:tc>
        <w:tc>
          <w:tcPr>
            <w:tcW w:w="674" w:type="pct"/>
            <w:vAlign w:val="center"/>
          </w:tcPr>
          <w:p w14:paraId="327B6D3B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406</w:t>
            </w:r>
          </w:p>
        </w:tc>
        <w:tc>
          <w:tcPr>
            <w:tcW w:w="848" w:type="pct"/>
            <w:vAlign w:val="center"/>
          </w:tcPr>
          <w:p w14:paraId="49E758CF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27.07 </w:t>
            </w:r>
          </w:p>
        </w:tc>
      </w:tr>
      <w:tr w14:paraId="23C4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39" w:type="pct"/>
            <w:vAlign w:val="center"/>
          </w:tcPr>
          <w:p w14:paraId="00EBB60D">
            <w:pPr>
              <w:pStyle w:val="50"/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Ⅲ级</w:t>
            </w:r>
          </w:p>
        </w:tc>
        <w:tc>
          <w:tcPr>
            <w:tcW w:w="652" w:type="pct"/>
            <w:vAlign w:val="center"/>
          </w:tcPr>
          <w:p w14:paraId="14242B01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379</w:t>
            </w:r>
          </w:p>
        </w:tc>
        <w:tc>
          <w:tcPr>
            <w:tcW w:w="876" w:type="pct"/>
            <w:vAlign w:val="center"/>
          </w:tcPr>
          <w:p w14:paraId="05D0579F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25.27 </w:t>
            </w:r>
          </w:p>
        </w:tc>
        <w:tc>
          <w:tcPr>
            <w:tcW w:w="681" w:type="pct"/>
            <w:vAlign w:val="center"/>
          </w:tcPr>
          <w:p w14:paraId="31A0F558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374</w:t>
            </w:r>
          </w:p>
        </w:tc>
        <w:tc>
          <w:tcPr>
            <w:tcW w:w="827" w:type="pct"/>
            <w:vAlign w:val="center"/>
          </w:tcPr>
          <w:p w14:paraId="5A101525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24.93 </w:t>
            </w:r>
          </w:p>
        </w:tc>
        <w:tc>
          <w:tcPr>
            <w:tcW w:w="674" w:type="pct"/>
            <w:vAlign w:val="center"/>
          </w:tcPr>
          <w:p w14:paraId="0A586946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347</w:t>
            </w:r>
          </w:p>
        </w:tc>
        <w:tc>
          <w:tcPr>
            <w:tcW w:w="848" w:type="pct"/>
            <w:vAlign w:val="center"/>
          </w:tcPr>
          <w:p w14:paraId="53805FFF">
            <w:pPr>
              <w:pStyle w:val="50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23.13 </w:t>
            </w:r>
          </w:p>
        </w:tc>
      </w:tr>
    </w:tbl>
    <w:p w14:paraId="48D94C23">
      <w:pPr>
        <w:adjustRightInd w:val="0"/>
        <w:snapToGrid w:val="0"/>
        <w:spacing w:line="288" w:lineRule="auto"/>
        <w:ind w:firstLine="36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备注：1.公益性殡葬用地参照公共管理与公共服务用地（社会福利用地）、公用设施用地价格执行；</w:t>
      </w:r>
    </w:p>
    <w:p w14:paraId="60127CD8">
      <w:pPr>
        <w:adjustRightInd w:val="0"/>
        <w:snapToGrid w:val="0"/>
        <w:spacing w:line="288" w:lineRule="auto"/>
        <w:ind w:firstLine="1200" w:firstLineChars="50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2.交通服务场站用地参照机关团体用地、教育用地、科研用地价格执行。</w:t>
      </w:r>
    </w:p>
    <w:p w14:paraId="5A82A439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14 职教新城、杨林经开区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33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17"/>
        <w:gridCol w:w="797"/>
        <w:gridCol w:w="1215"/>
        <w:gridCol w:w="825"/>
        <w:gridCol w:w="1005"/>
        <w:gridCol w:w="810"/>
        <w:gridCol w:w="1065"/>
        <w:gridCol w:w="795"/>
        <w:gridCol w:w="1051"/>
      </w:tblGrid>
      <w:tr w14:paraId="70879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8061B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EFEBF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定级</w:t>
            </w:r>
          </w:p>
          <w:p w14:paraId="3C43DB5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类型</w:t>
            </w:r>
          </w:p>
        </w:tc>
        <w:tc>
          <w:tcPr>
            <w:tcW w:w="75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EC323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土地类型</w:t>
            </w:r>
          </w:p>
        </w:tc>
      </w:tr>
      <w:tr w14:paraId="17086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8170B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B61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4110E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5B4EA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D21A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1C2E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10213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CD0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职教新城、杨林经开区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9DAF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土地级别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568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元/㎡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F547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万元/亩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6CEE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元/㎡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60F0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万元/亩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2D2D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元/㎡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4A02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万元/亩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F1C4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元/㎡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1A9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万元/亩</w:t>
            </w:r>
          </w:p>
        </w:tc>
      </w:tr>
      <w:tr w14:paraId="1FF99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5DA2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9BBF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Ⅰ级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E801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1265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E5C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84.33 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AC41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1279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6E76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85.27 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CDF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E9DD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26.80 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23B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355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38E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23.67 </w:t>
            </w:r>
          </w:p>
        </w:tc>
      </w:tr>
      <w:tr w14:paraId="4156B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4EB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0901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Ⅱ级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CA8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1024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79DE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68.27 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0530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1085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1798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72.33 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E1BC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382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75FA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25.47 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D728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298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4685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19.87 </w:t>
            </w:r>
          </w:p>
        </w:tc>
      </w:tr>
      <w:tr w14:paraId="591C8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32BD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C803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Ⅲ级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46D1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716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1E0C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47.73 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1A92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828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689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55.20 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0E9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349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50F2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23.27 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F9E9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277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612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18.47 </w:t>
            </w:r>
          </w:p>
        </w:tc>
      </w:tr>
    </w:tbl>
    <w:p w14:paraId="4940D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备注：1.公益性殡葬用地、交通服务场站用地参照公共管理与公共服务用地价格执行；</w:t>
      </w:r>
    </w:p>
    <w:p w14:paraId="427F7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2.采矿用地参照工业用地价格修正，修正系数为0.90；</w:t>
      </w:r>
    </w:p>
    <w:p w14:paraId="1F4BD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3.物流仓储用地参照工业用地价格修正，修正系数为1.15。</w:t>
      </w:r>
    </w:p>
    <w:p w14:paraId="1723C28A">
      <w:pP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br w:type="page"/>
      </w:r>
    </w:p>
    <w:p w14:paraId="75B76983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15 农业园区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15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822"/>
        <w:gridCol w:w="1087"/>
        <w:gridCol w:w="806"/>
        <w:gridCol w:w="1087"/>
        <w:gridCol w:w="842"/>
        <w:gridCol w:w="1019"/>
        <w:gridCol w:w="870"/>
        <w:gridCol w:w="1127"/>
      </w:tblGrid>
      <w:tr w14:paraId="053A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CEF59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35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6F4D8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土地类型</w:t>
            </w:r>
          </w:p>
        </w:tc>
      </w:tr>
      <w:tr w14:paraId="5692E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9E682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89CEB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FCDF2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9DAB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1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5DF8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1E9D0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CD85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农业园区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FD1C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A432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562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0773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69DE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960B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6DE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CD2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</w:tr>
      <w:tr w14:paraId="26E0D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53B1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0517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591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A24F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39.40 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0CA8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672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025B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44.8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6E6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367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2F29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24.47</w:t>
            </w:r>
          </w:p>
        </w:tc>
        <w:tc>
          <w:tcPr>
            <w:tcW w:w="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EB2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281</w:t>
            </w:r>
          </w:p>
        </w:tc>
        <w:tc>
          <w:tcPr>
            <w:tcW w:w="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3752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18.73 </w:t>
            </w:r>
          </w:p>
        </w:tc>
      </w:tr>
    </w:tbl>
    <w:p w14:paraId="782B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备注：1.采矿用地参照工业用地价格修正，修正系数为0.90；</w:t>
      </w:r>
    </w:p>
    <w:p w14:paraId="31D71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2.物流仓储用地参照工业用地价格修正，修正系数为1.15。</w:t>
      </w:r>
    </w:p>
    <w:p w14:paraId="3BC28345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16 杨桥街道中心镇区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14"/>
        <w:gridCol w:w="780"/>
        <w:gridCol w:w="1029"/>
        <w:gridCol w:w="766"/>
        <w:gridCol w:w="1029"/>
        <w:gridCol w:w="800"/>
        <w:gridCol w:w="962"/>
        <w:gridCol w:w="825"/>
        <w:gridCol w:w="1055"/>
      </w:tblGrid>
      <w:tr w14:paraId="1E028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2EFA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0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3E939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定级类型</w:t>
            </w:r>
          </w:p>
        </w:tc>
        <w:tc>
          <w:tcPr>
            <w:tcW w:w="41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D69E5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土地类型</w:t>
            </w:r>
          </w:p>
        </w:tc>
      </w:tr>
      <w:tr w14:paraId="6E844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DDD2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2DA5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0CF7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61BE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20603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815D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06265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C8FA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杨桥街道中心镇区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783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FD0A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FEBB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5C3B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F1D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D084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5252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F38C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BBE6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</w:tr>
      <w:tr w14:paraId="11929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49F9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7AEF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F27D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833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773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55.53 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2A4C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924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D01A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61.60 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69B3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384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79C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25.60 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7BB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327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9C08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21.80 </w:t>
            </w:r>
          </w:p>
        </w:tc>
      </w:tr>
      <w:tr w14:paraId="17D5C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8BE9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3655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BF4A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686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119A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45.73 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33D4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737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A530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49.13 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44C2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341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6AEA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22.73 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B5E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279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8A2D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18.60 </w:t>
            </w:r>
          </w:p>
        </w:tc>
      </w:tr>
    </w:tbl>
    <w:p w14:paraId="7DFBE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备注：1.采矿用地参照工业用地价格修正，修正系数为0.90；</w:t>
      </w:r>
    </w:p>
    <w:p w14:paraId="77FDB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2.物流仓储用地参照工业用地价格修正，修正系数为1.15。</w:t>
      </w:r>
    </w:p>
    <w:p w14:paraId="6E56152B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17 杨林镇中心镇区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14"/>
        <w:gridCol w:w="780"/>
        <w:gridCol w:w="1029"/>
        <w:gridCol w:w="766"/>
        <w:gridCol w:w="1029"/>
        <w:gridCol w:w="800"/>
        <w:gridCol w:w="1021"/>
        <w:gridCol w:w="766"/>
        <w:gridCol w:w="1055"/>
      </w:tblGrid>
      <w:tr w14:paraId="12D0A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6D84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0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5AEA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定级类型</w:t>
            </w:r>
          </w:p>
        </w:tc>
        <w:tc>
          <w:tcPr>
            <w:tcW w:w="41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84612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土地类型</w:t>
            </w:r>
          </w:p>
        </w:tc>
      </w:tr>
      <w:tr w14:paraId="0C146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2C8C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E3B4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5791F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02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F552B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0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B96E9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0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1C4E8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2B350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1B39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杨林镇中心镇区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2B69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E9DD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A45E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453B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2BC4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90AA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CED3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483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2362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</w:tr>
      <w:tr w14:paraId="104DC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62A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34B4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6CC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792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F363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52.8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D601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922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10B3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61.47 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53B7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419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C952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27.93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C642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358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F35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23.87</w:t>
            </w:r>
          </w:p>
        </w:tc>
      </w:tr>
      <w:tr w14:paraId="4E8D0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7A41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B67B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B6D3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669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22E6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44.6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FC86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771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B55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51.40 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C89F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369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8F2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24.6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A156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326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9C36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21.73</w:t>
            </w:r>
          </w:p>
        </w:tc>
      </w:tr>
    </w:tbl>
    <w:p w14:paraId="5256F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备注：1.采矿用地参照工业用地价格修正，修正系数为0.90；</w:t>
      </w:r>
    </w:p>
    <w:p w14:paraId="4E372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2.物流仓储用地参照工业用地价格修正，修正系数为1.15。</w:t>
      </w:r>
    </w:p>
    <w:p w14:paraId="396C159D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18 小街镇中心镇区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14"/>
        <w:gridCol w:w="780"/>
        <w:gridCol w:w="1029"/>
        <w:gridCol w:w="766"/>
        <w:gridCol w:w="1029"/>
        <w:gridCol w:w="800"/>
        <w:gridCol w:w="962"/>
        <w:gridCol w:w="825"/>
        <w:gridCol w:w="1055"/>
      </w:tblGrid>
      <w:tr w14:paraId="43864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C850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0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F1425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定级类型</w:t>
            </w:r>
          </w:p>
        </w:tc>
        <w:tc>
          <w:tcPr>
            <w:tcW w:w="41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C62EF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土地类型</w:t>
            </w:r>
          </w:p>
        </w:tc>
      </w:tr>
      <w:tr w14:paraId="3089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F30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AE31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A1AA7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EDAA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F494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20C18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711CF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97E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小街镇中心镇区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E0D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EFBA4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A42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68B5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15F5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76AA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F81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E99EA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F9EA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</w:tr>
      <w:tr w14:paraId="6D638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5056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4F59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D8F6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779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D2A86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51.93 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B904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903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14A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60.20 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B5C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A55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26.80 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31C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317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53C6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21.13 </w:t>
            </w:r>
          </w:p>
        </w:tc>
      </w:tr>
      <w:tr w14:paraId="3764F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A6E2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D464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537E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DFEF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40.07 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F2E4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672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134C0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44.80 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7C3F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367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E4F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24.47 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EBFD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279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A310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18.60 </w:t>
            </w:r>
          </w:p>
        </w:tc>
      </w:tr>
    </w:tbl>
    <w:p w14:paraId="778C8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备注：1.采矿用地参照工业用地价格修正，修正系数为0.90；</w:t>
      </w:r>
    </w:p>
    <w:p w14:paraId="1E977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2.物流仓储用地参照工业用地价格修正，修正系数为1.15。</w:t>
      </w:r>
    </w:p>
    <w:p w14:paraId="471D0E36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表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19 牛栏江镇中心镇区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土地地价测算结果汇总表</w:t>
      </w:r>
    </w:p>
    <w:tbl>
      <w:tblPr>
        <w:tblStyle w:val="35"/>
        <w:tblW w:w="5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14"/>
        <w:gridCol w:w="780"/>
        <w:gridCol w:w="1029"/>
        <w:gridCol w:w="766"/>
        <w:gridCol w:w="1029"/>
        <w:gridCol w:w="800"/>
        <w:gridCol w:w="962"/>
        <w:gridCol w:w="825"/>
        <w:gridCol w:w="1055"/>
      </w:tblGrid>
      <w:tr w14:paraId="5FF2B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75C63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40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80E05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定级类型</w:t>
            </w:r>
          </w:p>
        </w:tc>
        <w:tc>
          <w:tcPr>
            <w:tcW w:w="41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FDDF7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土地类型</w:t>
            </w:r>
          </w:p>
        </w:tc>
      </w:tr>
      <w:tr w14:paraId="0D1BE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0A1A1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8267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3F2D3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商业服务业用地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C8B25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居住用地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0EFE6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公共管理与公共服务用地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661D0">
            <w:pPr>
              <w:pStyle w:val="11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工业用地</w:t>
            </w:r>
          </w:p>
        </w:tc>
      </w:tr>
      <w:tr w14:paraId="7F6A8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BF3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牛栏江镇中心镇区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55B8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土地级别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98B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7FE5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FB04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E3A3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95E6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0A9A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6F6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元/㎡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51E4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万元/亩</w:t>
            </w:r>
          </w:p>
        </w:tc>
      </w:tr>
      <w:tr w14:paraId="1ED34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51E87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E35A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Ⅰ级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9472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591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B459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39.40 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3100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610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0CFC1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40.67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A77CC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378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06DD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25.2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2DC5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329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D2D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21.93 </w:t>
            </w:r>
          </w:p>
        </w:tc>
      </w:tr>
      <w:tr w14:paraId="6DC13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164B8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DBD0B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Ⅱ级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1E1D2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498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46F23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33.20 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3D6D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515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58DEE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34.33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A94FF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336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D7C0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22.4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38FE9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271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8485">
            <w:pPr>
              <w:pStyle w:val="11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18.07 </w:t>
            </w:r>
          </w:p>
        </w:tc>
      </w:tr>
    </w:tbl>
    <w:p w14:paraId="2EB46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备注：1.采矿用地参照工业用地价格修正，修正系数为0.90；</w:t>
      </w:r>
    </w:p>
    <w:p w14:paraId="02E1E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720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C0C0C"/>
          <w:sz w:val="24"/>
          <w:szCs w:val="24"/>
          <w:highlight w:val="none"/>
          <w:lang w:val="en-US" w:eastAsia="zh-CN"/>
        </w:rPr>
        <w:t>2.物流仓储用地参照工业用地价格修正，修正系数为1.15。</w:t>
      </w:r>
    </w:p>
    <w:p w14:paraId="4130DDD7">
      <w:pPr>
        <w:pStyle w:val="25"/>
        <w:spacing w:beforeLines="0" w:afterLines="0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表20 商业服务业用地细分用地类型基准地价用途修正系数表</w:t>
      </w:r>
    </w:p>
    <w:tbl>
      <w:tblPr>
        <w:tblStyle w:val="3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912"/>
        <w:gridCol w:w="771"/>
        <w:gridCol w:w="2297"/>
        <w:gridCol w:w="1009"/>
        <w:gridCol w:w="1869"/>
        <w:gridCol w:w="980"/>
      </w:tblGrid>
      <w:tr w14:paraId="248D4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D3F5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一级类</w:t>
            </w:r>
          </w:p>
        </w:tc>
        <w:tc>
          <w:tcPr>
            <w:tcW w:w="1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4AE8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二级类</w:t>
            </w:r>
          </w:p>
        </w:tc>
        <w:tc>
          <w:tcPr>
            <w:tcW w:w="16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723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三级类</w:t>
            </w:r>
          </w:p>
        </w:tc>
        <w:tc>
          <w:tcPr>
            <w:tcW w:w="5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5CD1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用途修正系数</w:t>
            </w:r>
          </w:p>
        </w:tc>
      </w:tr>
      <w:tr w14:paraId="4F558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0404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06D8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7454E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EC0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98E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E9F4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5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435C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354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0DE2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</w:t>
            </w:r>
          </w:p>
        </w:tc>
        <w:tc>
          <w:tcPr>
            <w:tcW w:w="5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990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商业服务业用地</w:t>
            </w:r>
          </w:p>
        </w:tc>
        <w:tc>
          <w:tcPr>
            <w:tcW w:w="4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B35C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</w:t>
            </w:r>
          </w:p>
        </w:tc>
        <w:tc>
          <w:tcPr>
            <w:tcW w:w="13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F7D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商业用地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DD97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090101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10EC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零售商业用地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4BCA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1.00 </w:t>
            </w:r>
          </w:p>
        </w:tc>
      </w:tr>
      <w:tr w14:paraId="32011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815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E3FC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FE7A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D5C3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5E3E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090102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E7C3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批发市场用地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ADA6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0.73 </w:t>
            </w:r>
          </w:p>
        </w:tc>
      </w:tr>
      <w:tr w14:paraId="1A68E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A70B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C98E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3E5C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9095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5AD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090103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DDF6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餐饮用地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5D2A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0.90 </w:t>
            </w:r>
          </w:p>
        </w:tc>
      </w:tr>
      <w:tr w14:paraId="0E26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F04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6D7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7DBAE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1C8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4A5D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090104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3651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旅馆用地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ABF7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0.78 </w:t>
            </w:r>
          </w:p>
        </w:tc>
      </w:tr>
      <w:tr w14:paraId="3F61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01CFE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63E2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3C73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36DE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DA29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090105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A722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公用设施营业网点用地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9874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</w:tr>
      <w:tr w14:paraId="38F7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6163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12B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7823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0902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DA8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商务金融用地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F191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B2B7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29C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 </w:t>
            </w:r>
          </w:p>
        </w:tc>
      </w:tr>
      <w:tr w14:paraId="5E6D0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A352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2D43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E2C1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0903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8B82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娱乐用地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FBA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FA3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C6E5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</w:tr>
      <w:tr w14:paraId="30D0D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EA9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CB07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BD09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0904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C92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其他商业服务业用地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E677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0B81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--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4923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0.68 </w:t>
            </w:r>
          </w:p>
        </w:tc>
      </w:tr>
    </w:tbl>
    <w:p w14:paraId="54147777">
      <w:pPr>
        <w:pStyle w:val="50"/>
        <w:numPr>
          <w:ilvl w:val="0"/>
          <w:numId w:val="0"/>
        </w:numPr>
        <w:jc w:val="both"/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9A564BD">
      <w:pPr>
        <w:widowControl/>
        <w:jc w:val="both"/>
        <w:rPr>
          <w:rFonts w:hint="default" w:ascii="Times New Roman" w:hAnsi="Times New Roman" w:eastAsia="仿宋_GB2312" w:cs="Times New Roman"/>
          <w:b/>
          <w:spacing w:val="5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onsolas">
    <w:panose1 w:val="020B0609020204030204"/>
    <w:charset w:val="00"/>
    <w:family w:val="modern"/>
    <w:pitch w:val="default"/>
    <w:sig w:usb0="A00002EF" w:usb1="4000204B" w:usb2="00000000" w:usb3="00000000" w:csb0="2000009F" w:csb1="0000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MS Sans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602B0">
    <w:pPr>
      <w:pStyle w:val="2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328BF0">
                          <w:pPr>
                            <w:pStyle w:val="21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328BF0">
                    <w:pPr>
                      <w:pStyle w:val="21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27928267"/>
      </w:sdtPr>
      <w:sdtContent/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4BFC9">
    <w:pPr>
      <w:pStyle w:val="22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6E4D7B"/>
    <w:multiLevelType w:val="multilevel"/>
    <w:tmpl w:val="496E4D7B"/>
    <w:lvl w:ilvl="0" w:tentative="0">
      <w:start w:val="1"/>
      <w:numFmt w:val="none"/>
      <w:pStyle w:val="123"/>
      <w:lvlText w:val="%1注"/>
      <w:lvlJc w:val="left"/>
      <w:pPr>
        <w:tabs>
          <w:tab w:val="left" w:pos="900"/>
        </w:tabs>
        <w:ind w:left="900" w:hanging="500"/>
      </w:pPr>
      <w:rPr>
        <w:rFonts w:hint="eastAsia" w:ascii="宋体" w:hAnsi="Times New Roman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DBF04F4"/>
    <w:multiLevelType w:val="multilevel"/>
    <w:tmpl w:val="6DBF04F4"/>
    <w:lvl w:ilvl="0" w:tentative="0">
      <w:start w:val="1"/>
      <w:numFmt w:val="none"/>
      <w:pStyle w:val="125"/>
      <w:lvlText w:val="%1注："/>
      <w:lvlJc w:val="left"/>
      <w:pPr>
        <w:tabs>
          <w:tab w:val="left" w:pos="1140"/>
        </w:tabs>
        <w:ind w:left="840" w:hanging="420"/>
      </w:pPr>
      <w:rPr>
        <w:rFonts w:hint="eastAsia" w:ascii="宋体" w:hAnsi="Times New Roman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YjMxN2U3YzRmNDA4MjNkMTdhYzQ2YWMyYzkzZTgifQ=="/>
  </w:docVars>
  <w:rsids>
    <w:rsidRoot w:val="00335DF1"/>
    <w:rsid w:val="000A1A3D"/>
    <w:rsid w:val="000B529D"/>
    <w:rsid w:val="00176D3F"/>
    <w:rsid w:val="0019419F"/>
    <w:rsid w:val="0024375B"/>
    <w:rsid w:val="00335DF1"/>
    <w:rsid w:val="0035614F"/>
    <w:rsid w:val="00361638"/>
    <w:rsid w:val="003879F6"/>
    <w:rsid w:val="003E168A"/>
    <w:rsid w:val="00426792"/>
    <w:rsid w:val="00444325"/>
    <w:rsid w:val="004A34CC"/>
    <w:rsid w:val="004D03E0"/>
    <w:rsid w:val="004D79F4"/>
    <w:rsid w:val="0056645F"/>
    <w:rsid w:val="005971FA"/>
    <w:rsid w:val="006243F5"/>
    <w:rsid w:val="006434E4"/>
    <w:rsid w:val="0074137F"/>
    <w:rsid w:val="007E032D"/>
    <w:rsid w:val="008233B1"/>
    <w:rsid w:val="008549E1"/>
    <w:rsid w:val="0088616B"/>
    <w:rsid w:val="00925D43"/>
    <w:rsid w:val="00961638"/>
    <w:rsid w:val="009834CF"/>
    <w:rsid w:val="009F7CA8"/>
    <w:rsid w:val="00A03EAB"/>
    <w:rsid w:val="00A10BF0"/>
    <w:rsid w:val="00A3334B"/>
    <w:rsid w:val="00A65BBB"/>
    <w:rsid w:val="00A741C0"/>
    <w:rsid w:val="00A95237"/>
    <w:rsid w:val="00AB486D"/>
    <w:rsid w:val="00AF3DC4"/>
    <w:rsid w:val="00B20744"/>
    <w:rsid w:val="00B720A1"/>
    <w:rsid w:val="00C375C4"/>
    <w:rsid w:val="00CA1BCC"/>
    <w:rsid w:val="00CD3842"/>
    <w:rsid w:val="00D20D16"/>
    <w:rsid w:val="00DB32DA"/>
    <w:rsid w:val="00F15DA0"/>
    <w:rsid w:val="00FD2BCB"/>
    <w:rsid w:val="00FE6D06"/>
    <w:rsid w:val="00FF173D"/>
    <w:rsid w:val="01F66849"/>
    <w:rsid w:val="02F76F90"/>
    <w:rsid w:val="04E82EAF"/>
    <w:rsid w:val="064528F2"/>
    <w:rsid w:val="0A270F77"/>
    <w:rsid w:val="0A671857"/>
    <w:rsid w:val="0B293A5F"/>
    <w:rsid w:val="0CE32883"/>
    <w:rsid w:val="0E146C48"/>
    <w:rsid w:val="0E855450"/>
    <w:rsid w:val="0F115103"/>
    <w:rsid w:val="0FFE2DE6"/>
    <w:rsid w:val="10484987"/>
    <w:rsid w:val="118916FB"/>
    <w:rsid w:val="11E943CC"/>
    <w:rsid w:val="122B630F"/>
    <w:rsid w:val="149951A2"/>
    <w:rsid w:val="17F04282"/>
    <w:rsid w:val="185D2F9A"/>
    <w:rsid w:val="18F402DC"/>
    <w:rsid w:val="19133971"/>
    <w:rsid w:val="1B83540D"/>
    <w:rsid w:val="1CA70C88"/>
    <w:rsid w:val="1CF77878"/>
    <w:rsid w:val="1EC21DA9"/>
    <w:rsid w:val="1FE6245D"/>
    <w:rsid w:val="204038CD"/>
    <w:rsid w:val="2208666C"/>
    <w:rsid w:val="24120405"/>
    <w:rsid w:val="25412801"/>
    <w:rsid w:val="26B20955"/>
    <w:rsid w:val="27C8223A"/>
    <w:rsid w:val="27EA2690"/>
    <w:rsid w:val="2A3C083E"/>
    <w:rsid w:val="2AE13BC7"/>
    <w:rsid w:val="2B573F6E"/>
    <w:rsid w:val="2C025DC5"/>
    <w:rsid w:val="2CB553E2"/>
    <w:rsid w:val="2D2F71A3"/>
    <w:rsid w:val="2F1A79DF"/>
    <w:rsid w:val="316F456E"/>
    <w:rsid w:val="31994BEB"/>
    <w:rsid w:val="322510B3"/>
    <w:rsid w:val="34120C85"/>
    <w:rsid w:val="37B72323"/>
    <w:rsid w:val="385555E4"/>
    <w:rsid w:val="3B5412AA"/>
    <w:rsid w:val="3DD86E79"/>
    <w:rsid w:val="3E961886"/>
    <w:rsid w:val="3FCA0484"/>
    <w:rsid w:val="40DB3F36"/>
    <w:rsid w:val="42C65A5C"/>
    <w:rsid w:val="43E847D2"/>
    <w:rsid w:val="442073EE"/>
    <w:rsid w:val="488979EC"/>
    <w:rsid w:val="4B665CE7"/>
    <w:rsid w:val="4CEC3CC6"/>
    <w:rsid w:val="4ED80FF1"/>
    <w:rsid w:val="4F733276"/>
    <w:rsid w:val="51231740"/>
    <w:rsid w:val="51656440"/>
    <w:rsid w:val="51791513"/>
    <w:rsid w:val="54757878"/>
    <w:rsid w:val="56E16680"/>
    <w:rsid w:val="577350EB"/>
    <w:rsid w:val="59103135"/>
    <w:rsid w:val="5A6776CD"/>
    <w:rsid w:val="5CEA0E91"/>
    <w:rsid w:val="5E132FF2"/>
    <w:rsid w:val="5E5D0332"/>
    <w:rsid w:val="5EDD35BC"/>
    <w:rsid w:val="5F47344F"/>
    <w:rsid w:val="5FC27717"/>
    <w:rsid w:val="60394CA5"/>
    <w:rsid w:val="63D50539"/>
    <w:rsid w:val="63DD5AAA"/>
    <w:rsid w:val="64D25A67"/>
    <w:rsid w:val="65D379C4"/>
    <w:rsid w:val="66DB5D09"/>
    <w:rsid w:val="6775095D"/>
    <w:rsid w:val="68971546"/>
    <w:rsid w:val="690340DB"/>
    <w:rsid w:val="6A072E90"/>
    <w:rsid w:val="6D2739DA"/>
    <w:rsid w:val="6EB96903"/>
    <w:rsid w:val="6F304379"/>
    <w:rsid w:val="6FF17EE5"/>
    <w:rsid w:val="721D428C"/>
    <w:rsid w:val="745C6C60"/>
    <w:rsid w:val="747131CA"/>
    <w:rsid w:val="74FF24AE"/>
    <w:rsid w:val="756B3942"/>
    <w:rsid w:val="78AC493B"/>
    <w:rsid w:val="7A792DD8"/>
    <w:rsid w:val="7A820543"/>
    <w:rsid w:val="7A8356E5"/>
    <w:rsid w:val="7A9F3F66"/>
    <w:rsid w:val="7ACA36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99" w:semiHidden="0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99" w:semiHidden="0" w:name="Message Header"/>
    <w:lsdException w:qFormat="1" w:unhideWhenUsed="0" w:uiPriority="99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5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60"/>
    <w:qFormat/>
    <w:uiPriority w:val="99"/>
    <w:pPr>
      <w:keepNext/>
      <w:widowControl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rFonts w:ascii="宋体" w:hAnsi="宋体" w:eastAsia="宋体" w:cs="Times New Roman"/>
      <w:kern w:val="0"/>
      <w:sz w:val="24"/>
      <w:szCs w:val="20"/>
      <w:lang w:val="en-GB"/>
    </w:rPr>
  </w:style>
  <w:style w:type="paragraph" w:styleId="5">
    <w:name w:val="heading 3"/>
    <w:basedOn w:val="1"/>
    <w:next w:val="1"/>
    <w:link w:val="48"/>
    <w:qFormat/>
    <w:uiPriority w:val="99"/>
    <w:pPr>
      <w:keepNext/>
      <w:keepLines/>
      <w:spacing w:before="100" w:afterLines="100" w:line="360" w:lineRule="auto"/>
      <w:jc w:val="center"/>
      <w:outlineLvl w:val="2"/>
    </w:pPr>
    <w:rPr>
      <w:rFonts w:ascii="Calibri" w:hAnsi="Calibri" w:eastAsia="黑体" w:cs="Calibri"/>
      <w:b/>
      <w:bCs/>
      <w:kern w:val="0"/>
      <w:sz w:val="32"/>
      <w:szCs w:val="32"/>
    </w:rPr>
  </w:style>
  <w:style w:type="paragraph" w:styleId="6">
    <w:name w:val="heading 4"/>
    <w:basedOn w:val="1"/>
    <w:next w:val="1"/>
    <w:link w:val="61"/>
    <w:qFormat/>
    <w:uiPriority w:val="0"/>
    <w:pPr>
      <w:keepNext/>
      <w:keepLines/>
      <w:widowControl/>
      <w:spacing w:before="280" w:after="290" w:line="377" w:lineRule="auto"/>
      <w:ind w:firstLine="200" w:firstLineChars="200"/>
      <w:jc w:val="left"/>
      <w:outlineLvl w:val="3"/>
    </w:pPr>
    <w:rPr>
      <w:rFonts w:ascii="Arial" w:hAnsi="Arial" w:eastAsia="宋体" w:cs="Times New Roman"/>
      <w:bCs/>
      <w:kern w:val="0"/>
      <w:sz w:val="24"/>
      <w:szCs w:val="28"/>
    </w:rPr>
  </w:style>
  <w:style w:type="paragraph" w:styleId="7">
    <w:name w:val="heading 5"/>
    <w:basedOn w:val="1"/>
    <w:next w:val="1"/>
    <w:link w:val="62"/>
    <w:qFormat/>
    <w:uiPriority w:val="0"/>
    <w:pPr>
      <w:keepNext/>
      <w:keepLines/>
      <w:widowControl/>
      <w:spacing w:before="280" w:after="290" w:line="376" w:lineRule="auto"/>
      <w:jc w:val="left"/>
      <w:outlineLvl w:val="4"/>
    </w:pPr>
    <w:rPr>
      <w:rFonts w:ascii="Calibri" w:hAnsi="Calibri" w:eastAsia="宋体" w:cs="Times New Roman"/>
      <w:bCs/>
      <w:kern w:val="0"/>
      <w:sz w:val="24"/>
      <w:szCs w:val="28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63"/>
    <w:qFormat/>
    <w:uiPriority w:val="99"/>
    <w:pPr>
      <w:widowControl/>
      <w:spacing w:after="120"/>
      <w:jc w:val="left"/>
    </w:pPr>
    <w:rPr>
      <w:rFonts w:ascii="Calibri" w:hAnsi="Calibri" w:eastAsia="宋体" w:cs="Times New Roman"/>
      <w:szCs w:val="24"/>
    </w:rPr>
  </w:style>
  <w:style w:type="paragraph" w:styleId="8">
    <w:name w:val="toc 7"/>
    <w:basedOn w:val="1"/>
    <w:next w:val="1"/>
    <w:unhideWhenUsed/>
    <w:qFormat/>
    <w:uiPriority w:val="39"/>
    <w:pPr>
      <w:ind w:left="1260"/>
      <w:jc w:val="left"/>
    </w:pPr>
    <w:rPr>
      <w:rFonts w:cstheme="minorHAnsi"/>
      <w:sz w:val="18"/>
      <w:szCs w:val="18"/>
    </w:rPr>
  </w:style>
  <w:style w:type="paragraph" w:styleId="9">
    <w:name w:val="Normal Indent"/>
    <w:basedOn w:val="1"/>
    <w:link w:val="133"/>
    <w:qFormat/>
    <w:uiPriority w:val="99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10">
    <w:name w:val="Document Map"/>
    <w:basedOn w:val="1"/>
    <w:link w:val="57"/>
    <w:unhideWhenUsed/>
    <w:qFormat/>
    <w:uiPriority w:val="99"/>
    <w:rPr>
      <w:rFonts w:ascii="宋体" w:eastAsia="宋体"/>
      <w:sz w:val="18"/>
      <w:szCs w:val="18"/>
    </w:rPr>
  </w:style>
  <w:style w:type="paragraph" w:styleId="11">
    <w:name w:val="annotation text"/>
    <w:basedOn w:val="1"/>
    <w:link w:val="58"/>
    <w:unhideWhenUsed/>
    <w:qFormat/>
    <w:uiPriority w:val="99"/>
    <w:pPr>
      <w:jc w:val="left"/>
    </w:pPr>
  </w:style>
  <w:style w:type="paragraph" w:styleId="12">
    <w:name w:val="Body Text Indent"/>
    <w:basedOn w:val="1"/>
    <w:link w:val="64"/>
    <w:qFormat/>
    <w:uiPriority w:val="0"/>
    <w:pPr>
      <w:autoSpaceDE w:val="0"/>
      <w:autoSpaceDN w:val="0"/>
      <w:adjustRightInd w:val="0"/>
      <w:spacing w:line="210" w:lineRule="atLeast"/>
      <w:ind w:firstLine="516"/>
    </w:pPr>
    <w:rPr>
      <w:rFonts w:ascii="宋体" w:hAnsi="宋体"/>
      <w:spacing w:val="5"/>
      <w:kern w:val="0"/>
      <w:szCs w:val="20"/>
    </w:rPr>
  </w:style>
  <w:style w:type="paragraph" w:styleId="13">
    <w:name w:val="Block Text"/>
    <w:basedOn w:val="1"/>
    <w:qFormat/>
    <w:uiPriority w:val="0"/>
    <w:pPr>
      <w:widowControl/>
      <w:spacing w:after="120"/>
      <w:ind w:left="1440" w:leftChars="700" w:right="1440" w:rightChars="70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14">
    <w:name w:val="toc 5"/>
    <w:basedOn w:val="1"/>
    <w:next w:val="1"/>
    <w:unhideWhenUsed/>
    <w:qFormat/>
    <w:uiPriority w:val="39"/>
    <w:pPr>
      <w:ind w:left="840"/>
      <w:jc w:val="left"/>
    </w:pPr>
    <w:rPr>
      <w:rFonts w:cstheme="minorHAnsi"/>
      <w:sz w:val="18"/>
      <w:szCs w:val="18"/>
    </w:rPr>
  </w:style>
  <w:style w:type="paragraph" w:styleId="1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6">
    <w:name w:val="Plain Text"/>
    <w:basedOn w:val="1"/>
    <w:link w:val="49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 w:eastAsia="宋体" w:cs="宋体"/>
      <w:kern w:val="0"/>
      <w:sz w:val="20"/>
      <w:szCs w:val="20"/>
      <w:lang w:val="en-GB"/>
    </w:rPr>
  </w:style>
  <w:style w:type="paragraph" w:styleId="17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8">
    <w:name w:val="Date"/>
    <w:basedOn w:val="1"/>
    <w:next w:val="1"/>
    <w:link w:val="65"/>
    <w:qFormat/>
    <w:uiPriority w:val="0"/>
    <w:pPr>
      <w:adjustRightInd w:val="0"/>
      <w:spacing w:line="312" w:lineRule="atLeast"/>
      <w:textAlignment w:val="baseline"/>
    </w:pPr>
    <w:rPr>
      <w:rFonts w:ascii="仿宋体" w:eastAsia="仿宋体"/>
      <w:kern w:val="0"/>
      <w:sz w:val="28"/>
      <w:szCs w:val="20"/>
    </w:rPr>
  </w:style>
  <w:style w:type="paragraph" w:styleId="19">
    <w:name w:val="Body Text Indent 2"/>
    <w:basedOn w:val="1"/>
    <w:link w:val="66"/>
    <w:qFormat/>
    <w:uiPriority w:val="0"/>
    <w:pPr>
      <w:widowControl/>
      <w:spacing w:after="120" w:line="480" w:lineRule="auto"/>
      <w:ind w:left="420" w:leftChars="20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20">
    <w:name w:val="Balloon Text"/>
    <w:basedOn w:val="1"/>
    <w:link w:val="67"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4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="Calibri" w:hAnsi="Calibri" w:eastAsia="宋体" w:cs="Calibri"/>
      <w:kern w:val="0"/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4">
    <w:name w:val="toc 4"/>
    <w:basedOn w:val="1"/>
    <w:next w:val="1"/>
    <w:unhideWhenUsed/>
    <w:qFormat/>
    <w:uiPriority w:val="39"/>
    <w:pPr>
      <w:ind w:left="630"/>
      <w:jc w:val="left"/>
    </w:pPr>
    <w:rPr>
      <w:rFonts w:cstheme="minorHAnsi"/>
      <w:sz w:val="18"/>
      <w:szCs w:val="18"/>
    </w:rPr>
  </w:style>
  <w:style w:type="paragraph" w:styleId="25">
    <w:name w:val="Subtitle"/>
    <w:basedOn w:val="1"/>
    <w:next w:val="1"/>
    <w:link w:val="52"/>
    <w:qFormat/>
    <w:uiPriority w:val="99"/>
    <w:pPr>
      <w:spacing w:beforeLines="50" w:afterLines="50" w:line="360" w:lineRule="auto"/>
      <w:jc w:val="center"/>
    </w:pPr>
    <w:rPr>
      <w:rFonts w:ascii="宋体" w:hAnsi="宋体" w:eastAsia="黑体" w:cs="宋体"/>
      <w:color w:val="00B0F0"/>
      <w:kern w:val="28"/>
      <w:sz w:val="32"/>
      <w:szCs w:val="32"/>
    </w:rPr>
  </w:style>
  <w:style w:type="paragraph" w:styleId="26">
    <w:name w:val="toc 6"/>
    <w:basedOn w:val="1"/>
    <w:next w:val="1"/>
    <w:unhideWhenUsed/>
    <w:qFormat/>
    <w:uiPriority w:val="39"/>
    <w:pPr>
      <w:ind w:left="1050"/>
      <w:jc w:val="left"/>
    </w:pPr>
    <w:rPr>
      <w:rFonts w:cstheme="minorHAnsi"/>
      <w:sz w:val="18"/>
      <w:szCs w:val="18"/>
    </w:rPr>
  </w:style>
  <w:style w:type="paragraph" w:styleId="27">
    <w:name w:val="Body Text Indent 3"/>
    <w:basedOn w:val="1"/>
    <w:link w:val="68"/>
    <w:qFormat/>
    <w:uiPriority w:val="0"/>
    <w:pPr>
      <w:widowControl/>
      <w:spacing w:after="120"/>
      <w:ind w:left="420" w:leftChars="200"/>
      <w:jc w:val="left"/>
    </w:pPr>
    <w:rPr>
      <w:rFonts w:ascii="Calibri" w:hAnsi="Calibri" w:eastAsia="宋体" w:cs="Times New Roman"/>
      <w:kern w:val="0"/>
      <w:sz w:val="16"/>
      <w:szCs w:val="16"/>
    </w:rPr>
  </w:style>
  <w:style w:type="paragraph" w:styleId="28">
    <w:name w:val="toc 2"/>
    <w:basedOn w:val="1"/>
    <w:next w:val="1"/>
    <w:unhideWhenUsed/>
    <w:qFormat/>
    <w:uiPriority w:val="3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9">
    <w:name w:val="toc 9"/>
    <w:basedOn w:val="1"/>
    <w:next w:val="1"/>
    <w:unhideWhenUsed/>
    <w:qFormat/>
    <w:uiPriority w:val="39"/>
    <w:pPr>
      <w:ind w:left="1680"/>
      <w:jc w:val="left"/>
    </w:pPr>
    <w:rPr>
      <w:rFonts w:cstheme="minorHAnsi"/>
      <w:sz w:val="18"/>
      <w:szCs w:val="18"/>
    </w:rPr>
  </w:style>
  <w:style w:type="paragraph" w:styleId="30">
    <w:name w:val="Message Header"/>
    <w:basedOn w:val="1"/>
    <w:link w:val="69"/>
    <w:qFormat/>
    <w:uiPriority w:val="99"/>
    <w:pPr>
      <w:widowControl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  <w:jc w:val="left"/>
    </w:pPr>
    <w:rPr>
      <w:rFonts w:ascii="Cambria" w:hAnsi="Cambria" w:eastAsia="宋体" w:cs="Times New Roman"/>
      <w:kern w:val="0"/>
      <w:sz w:val="24"/>
      <w:szCs w:val="20"/>
    </w:rPr>
  </w:style>
  <w:style w:type="paragraph" w:styleId="3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2">
    <w:name w:val="Title"/>
    <w:basedOn w:val="1"/>
    <w:next w:val="1"/>
    <w:link w:val="70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3">
    <w:name w:val="annotation subject"/>
    <w:basedOn w:val="11"/>
    <w:next w:val="11"/>
    <w:link w:val="71"/>
    <w:unhideWhenUsed/>
    <w:qFormat/>
    <w:uiPriority w:val="99"/>
    <w:rPr>
      <w:b/>
      <w:bCs/>
    </w:rPr>
  </w:style>
  <w:style w:type="paragraph" w:styleId="34">
    <w:name w:val="Body Text First Indent 2"/>
    <w:basedOn w:val="12"/>
    <w:link w:val="72"/>
    <w:qFormat/>
    <w:uiPriority w:val="0"/>
    <w:pPr>
      <w:widowControl/>
      <w:autoSpaceDE/>
      <w:autoSpaceDN/>
      <w:adjustRightInd/>
      <w:spacing w:after="120" w:line="240" w:lineRule="auto"/>
      <w:ind w:left="420" w:leftChars="200" w:firstLine="420" w:firstLineChars="200"/>
      <w:jc w:val="left"/>
    </w:pPr>
    <w:rPr>
      <w:rFonts w:ascii="Calibri" w:hAnsi="Calibri" w:eastAsia="宋体" w:cs="Times New Roman"/>
      <w:spacing w:val="0"/>
      <w:sz w:val="20"/>
    </w:rPr>
  </w:style>
  <w:style w:type="table" w:styleId="36">
    <w:name w:val="Table Grid"/>
    <w:basedOn w:val="3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8">
    <w:name w:val="Strong"/>
    <w:qFormat/>
    <w:uiPriority w:val="22"/>
    <w:rPr>
      <w:rFonts w:cs="Times New Roman"/>
      <w:b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41">
    <w:name w:val="HTML Definition"/>
    <w:qFormat/>
    <w:uiPriority w:val="0"/>
    <w:rPr>
      <w:i/>
      <w:kern w:val="2"/>
      <w:sz w:val="21"/>
      <w:szCs w:val="24"/>
    </w:rPr>
  </w:style>
  <w:style w:type="character" w:styleId="42">
    <w:name w:val="Hyperlink"/>
    <w:basedOn w:val="37"/>
    <w:unhideWhenUsed/>
    <w:qFormat/>
    <w:uiPriority w:val="99"/>
    <w:rPr>
      <w:color w:val="0000FF"/>
      <w:u w:val="single"/>
    </w:rPr>
  </w:style>
  <w:style w:type="character" w:styleId="43">
    <w:name w:val="HTML Code"/>
    <w:qFormat/>
    <w:uiPriority w:val="0"/>
    <w:rPr>
      <w:rFonts w:hint="default" w:ascii="Consolas" w:hAnsi="Consolas" w:eastAsia="Consolas" w:cs="Consolas"/>
      <w:color w:val="C7254E"/>
      <w:kern w:val="2"/>
      <w:sz w:val="21"/>
      <w:szCs w:val="21"/>
      <w:shd w:val="clear" w:color="auto" w:fill="F9F2F4"/>
    </w:rPr>
  </w:style>
  <w:style w:type="character" w:styleId="44">
    <w:name w:val="annotation reference"/>
    <w:basedOn w:val="37"/>
    <w:unhideWhenUsed/>
    <w:qFormat/>
    <w:uiPriority w:val="99"/>
    <w:rPr>
      <w:sz w:val="21"/>
      <w:szCs w:val="21"/>
    </w:rPr>
  </w:style>
  <w:style w:type="character" w:styleId="45">
    <w:name w:val="HTML Keyboard"/>
    <w:qFormat/>
    <w:uiPriority w:val="0"/>
    <w:rPr>
      <w:rFonts w:hint="default" w:ascii="Consolas" w:hAnsi="Consolas" w:eastAsia="Consolas" w:cs="Consolas"/>
      <w:color w:val="FFFFFF"/>
      <w:kern w:val="2"/>
      <w:sz w:val="21"/>
      <w:szCs w:val="21"/>
      <w:shd w:val="clear" w:color="auto" w:fill="333333"/>
    </w:rPr>
  </w:style>
  <w:style w:type="character" w:styleId="46">
    <w:name w:val="HTML Sample"/>
    <w:qFormat/>
    <w:uiPriority w:val="0"/>
    <w:rPr>
      <w:rFonts w:ascii="Consolas" w:hAnsi="Consolas" w:eastAsia="Consolas" w:cs="Consolas"/>
      <w:kern w:val="2"/>
      <w:sz w:val="21"/>
      <w:szCs w:val="21"/>
    </w:rPr>
  </w:style>
  <w:style w:type="character" w:customStyle="1" w:styleId="47">
    <w:name w:val="页眉 Char"/>
    <w:basedOn w:val="37"/>
    <w:link w:val="22"/>
    <w:qFormat/>
    <w:uiPriority w:val="0"/>
    <w:rPr>
      <w:rFonts w:ascii="Calibri" w:hAnsi="Calibri" w:eastAsia="宋体" w:cs="Calibri"/>
      <w:kern w:val="0"/>
      <w:sz w:val="18"/>
      <w:szCs w:val="18"/>
    </w:rPr>
  </w:style>
  <w:style w:type="character" w:customStyle="1" w:styleId="48">
    <w:name w:val="标题 3 Char"/>
    <w:basedOn w:val="37"/>
    <w:link w:val="5"/>
    <w:qFormat/>
    <w:uiPriority w:val="99"/>
    <w:rPr>
      <w:rFonts w:ascii="Calibri" w:hAnsi="Calibri" w:eastAsia="黑体" w:cs="Calibri"/>
      <w:b/>
      <w:bCs/>
      <w:kern w:val="0"/>
      <w:sz w:val="32"/>
      <w:szCs w:val="32"/>
    </w:rPr>
  </w:style>
  <w:style w:type="character" w:customStyle="1" w:styleId="49">
    <w:name w:val="纯文本 Char"/>
    <w:basedOn w:val="37"/>
    <w:link w:val="16"/>
    <w:qFormat/>
    <w:uiPriority w:val="0"/>
    <w:rPr>
      <w:rFonts w:ascii="宋体" w:hAnsi="Courier New" w:eastAsia="宋体" w:cs="宋体"/>
      <w:kern w:val="0"/>
      <w:sz w:val="20"/>
      <w:szCs w:val="20"/>
      <w:lang w:val="en-GB"/>
    </w:rPr>
  </w:style>
  <w:style w:type="paragraph" w:customStyle="1" w:styleId="50">
    <w:name w:val="无间隔1"/>
    <w:next w:val="1"/>
    <w:link w:val="51"/>
    <w:qFormat/>
    <w:uiPriority w:val="1"/>
    <w:pPr>
      <w:widowControl w:val="0"/>
      <w:jc w:val="center"/>
    </w:pPr>
    <w:rPr>
      <w:rFonts w:ascii="宋体" w:hAnsi="宋体" w:eastAsia="宋体" w:cs="宋体"/>
      <w:color w:val="FF00FF"/>
      <w:kern w:val="2"/>
      <w:sz w:val="21"/>
      <w:szCs w:val="21"/>
      <w:lang w:val="en-US" w:eastAsia="zh-CN" w:bidi="ar-SA"/>
    </w:rPr>
  </w:style>
  <w:style w:type="character" w:customStyle="1" w:styleId="51">
    <w:name w:val="无间隔 Char"/>
    <w:link w:val="50"/>
    <w:qFormat/>
    <w:locked/>
    <w:uiPriority w:val="1"/>
    <w:rPr>
      <w:rFonts w:ascii="宋体" w:hAnsi="宋体" w:eastAsia="宋体" w:cs="宋体"/>
      <w:color w:val="FF00FF"/>
      <w:szCs w:val="21"/>
    </w:rPr>
  </w:style>
  <w:style w:type="character" w:customStyle="1" w:styleId="52">
    <w:name w:val="副标题 Char"/>
    <w:basedOn w:val="37"/>
    <w:link w:val="25"/>
    <w:qFormat/>
    <w:uiPriority w:val="99"/>
    <w:rPr>
      <w:rFonts w:ascii="宋体" w:hAnsi="宋体" w:eastAsia="黑体" w:cs="宋体"/>
      <w:color w:val="00B0F0"/>
      <w:kern w:val="28"/>
      <w:sz w:val="32"/>
      <w:szCs w:val="32"/>
    </w:rPr>
  </w:style>
  <w:style w:type="paragraph" w:customStyle="1" w:styleId="53">
    <w:name w:val="111"/>
    <w:basedOn w:val="1"/>
    <w:link w:val="54"/>
    <w:qFormat/>
    <w:uiPriority w:val="0"/>
    <w:pPr>
      <w:jc w:val="center"/>
    </w:pPr>
    <w:rPr>
      <w:rFonts w:ascii="宋体" w:hAnsi="宋体" w:eastAsia="宋体" w:cs="宋体"/>
      <w:color w:val="000000"/>
      <w:sz w:val="22"/>
    </w:rPr>
  </w:style>
  <w:style w:type="character" w:customStyle="1" w:styleId="54">
    <w:name w:val="111 Char"/>
    <w:link w:val="53"/>
    <w:qFormat/>
    <w:locked/>
    <w:uiPriority w:val="0"/>
    <w:rPr>
      <w:rFonts w:ascii="宋体" w:hAnsi="宋体" w:eastAsia="宋体" w:cs="宋体"/>
      <w:color w:val="000000"/>
      <w:sz w:val="22"/>
    </w:rPr>
  </w:style>
  <w:style w:type="character" w:customStyle="1" w:styleId="55">
    <w:name w:val="页脚 Char"/>
    <w:basedOn w:val="37"/>
    <w:link w:val="21"/>
    <w:qFormat/>
    <w:uiPriority w:val="99"/>
    <w:rPr>
      <w:sz w:val="18"/>
      <w:szCs w:val="18"/>
    </w:rPr>
  </w:style>
  <w:style w:type="paragraph" w:styleId="56">
    <w:name w:val="List Paragraph"/>
    <w:basedOn w:val="1"/>
    <w:qFormat/>
    <w:uiPriority w:val="34"/>
    <w:pPr>
      <w:ind w:firstLine="420" w:firstLineChars="200"/>
    </w:pPr>
  </w:style>
  <w:style w:type="character" w:customStyle="1" w:styleId="57">
    <w:name w:val="文档结构图 Char"/>
    <w:basedOn w:val="37"/>
    <w:link w:val="10"/>
    <w:qFormat/>
    <w:uiPriority w:val="99"/>
    <w:rPr>
      <w:rFonts w:ascii="宋体" w:eastAsia="宋体"/>
      <w:sz w:val="18"/>
      <w:szCs w:val="18"/>
    </w:rPr>
  </w:style>
  <w:style w:type="character" w:customStyle="1" w:styleId="58">
    <w:name w:val="批注文字 Char"/>
    <w:basedOn w:val="37"/>
    <w:link w:val="11"/>
    <w:qFormat/>
    <w:uiPriority w:val="99"/>
  </w:style>
  <w:style w:type="character" w:customStyle="1" w:styleId="59">
    <w:name w:val="标题 1 Char"/>
    <w:basedOn w:val="37"/>
    <w:link w:val="3"/>
    <w:qFormat/>
    <w:uiPriority w:val="0"/>
    <w:rPr>
      <w:b/>
      <w:bCs/>
      <w:kern w:val="44"/>
      <w:sz w:val="44"/>
      <w:szCs w:val="44"/>
    </w:rPr>
  </w:style>
  <w:style w:type="character" w:customStyle="1" w:styleId="60">
    <w:name w:val="标题 2 Char"/>
    <w:basedOn w:val="37"/>
    <w:link w:val="4"/>
    <w:qFormat/>
    <w:uiPriority w:val="99"/>
    <w:rPr>
      <w:rFonts w:ascii="宋体" w:hAnsi="宋体" w:eastAsia="宋体" w:cs="Times New Roman"/>
      <w:kern w:val="0"/>
      <w:sz w:val="24"/>
      <w:szCs w:val="20"/>
      <w:lang w:val="en-GB"/>
    </w:rPr>
  </w:style>
  <w:style w:type="character" w:customStyle="1" w:styleId="61">
    <w:name w:val="标题 4 Char"/>
    <w:basedOn w:val="37"/>
    <w:link w:val="6"/>
    <w:qFormat/>
    <w:uiPriority w:val="0"/>
    <w:rPr>
      <w:rFonts w:ascii="Arial" w:hAnsi="Arial" w:eastAsia="宋体" w:cs="Times New Roman"/>
      <w:bCs/>
      <w:kern w:val="0"/>
      <w:sz w:val="24"/>
      <w:szCs w:val="28"/>
    </w:rPr>
  </w:style>
  <w:style w:type="character" w:customStyle="1" w:styleId="62">
    <w:name w:val="标题 5 Char"/>
    <w:basedOn w:val="37"/>
    <w:link w:val="7"/>
    <w:qFormat/>
    <w:uiPriority w:val="0"/>
    <w:rPr>
      <w:rFonts w:ascii="Calibri" w:hAnsi="Calibri" w:eastAsia="宋体" w:cs="Times New Roman"/>
      <w:bCs/>
      <w:kern w:val="0"/>
      <w:sz w:val="24"/>
      <w:szCs w:val="28"/>
    </w:rPr>
  </w:style>
  <w:style w:type="character" w:customStyle="1" w:styleId="63">
    <w:name w:val="正文文本 Char"/>
    <w:basedOn w:val="37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64">
    <w:name w:val="正文文本缩进 Char"/>
    <w:basedOn w:val="37"/>
    <w:link w:val="12"/>
    <w:qFormat/>
    <w:uiPriority w:val="0"/>
    <w:rPr>
      <w:rFonts w:ascii="宋体" w:hAnsi="宋体"/>
      <w:spacing w:val="5"/>
      <w:kern w:val="0"/>
      <w:szCs w:val="20"/>
    </w:rPr>
  </w:style>
  <w:style w:type="character" w:customStyle="1" w:styleId="65">
    <w:name w:val="日期 Char"/>
    <w:basedOn w:val="37"/>
    <w:link w:val="18"/>
    <w:qFormat/>
    <w:uiPriority w:val="0"/>
    <w:rPr>
      <w:rFonts w:ascii="仿宋体" w:eastAsia="仿宋体"/>
      <w:kern w:val="0"/>
      <w:sz w:val="28"/>
      <w:szCs w:val="20"/>
    </w:rPr>
  </w:style>
  <w:style w:type="character" w:customStyle="1" w:styleId="66">
    <w:name w:val="正文文本缩进 2 Char"/>
    <w:basedOn w:val="37"/>
    <w:link w:val="19"/>
    <w:qFormat/>
    <w:uiPriority w:val="0"/>
    <w:rPr>
      <w:rFonts w:ascii="Calibri" w:hAnsi="Calibri" w:eastAsia="宋体" w:cs="Times New Roman"/>
      <w:kern w:val="0"/>
      <w:sz w:val="20"/>
      <w:szCs w:val="20"/>
    </w:rPr>
  </w:style>
  <w:style w:type="character" w:customStyle="1" w:styleId="67">
    <w:name w:val="批注框文本 Char"/>
    <w:basedOn w:val="37"/>
    <w:link w:val="20"/>
    <w:qFormat/>
    <w:uiPriority w:val="99"/>
    <w:rPr>
      <w:sz w:val="18"/>
      <w:szCs w:val="18"/>
    </w:rPr>
  </w:style>
  <w:style w:type="character" w:customStyle="1" w:styleId="68">
    <w:name w:val="正文文本缩进 3 Char"/>
    <w:basedOn w:val="37"/>
    <w:link w:val="27"/>
    <w:qFormat/>
    <w:uiPriority w:val="0"/>
    <w:rPr>
      <w:rFonts w:ascii="Calibri" w:hAnsi="Calibri" w:eastAsia="宋体" w:cs="Times New Roman"/>
      <w:kern w:val="0"/>
      <w:sz w:val="16"/>
      <w:szCs w:val="16"/>
    </w:rPr>
  </w:style>
  <w:style w:type="character" w:customStyle="1" w:styleId="69">
    <w:name w:val="信息标题 Char"/>
    <w:basedOn w:val="37"/>
    <w:link w:val="30"/>
    <w:qFormat/>
    <w:uiPriority w:val="99"/>
    <w:rPr>
      <w:rFonts w:ascii="Cambria" w:hAnsi="Cambria" w:eastAsia="宋体" w:cs="Times New Roman"/>
      <w:kern w:val="0"/>
      <w:sz w:val="24"/>
      <w:szCs w:val="20"/>
      <w:shd w:val="pct20" w:color="auto" w:fill="auto"/>
    </w:rPr>
  </w:style>
  <w:style w:type="character" w:customStyle="1" w:styleId="70">
    <w:name w:val="标题 Char"/>
    <w:basedOn w:val="37"/>
    <w:link w:val="32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71">
    <w:name w:val="批注主题 Char"/>
    <w:basedOn w:val="58"/>
    <w:link w:val="33"/>
    <w:qFormat/>
    <w:uiPriority w:val="99"/>
    <w:rPr>
      <w:b/>
      <w:bCs/>
    </w:rPr>
  </w:style>
  <w:style w:type="character" w:customStyle="1" w:styleId="72">
    <w:name w:val="正文首行缩进 2 Char"/>
    <w:basedOn w:val="64"/>
    <w:link w:val="34"/>
    <w:qFormat/>
    <w:uiPriority w:val="0"/>
    <w:rPr>
      <w:rFonts w:ascii="Calibri" w:hAnsi="Calibri" w:eastAsia="宋体" w:cs="Times New Roman"/>
      <w:sz w:val="20"/>
    </w:rPr>
  </w:style>
  <w:style w:type="paragraph" w:customStyle="1" w:styleId="73">
    <w:name w:val="tocheadi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4">
    <w:name w:val="apple-converted-space"/>
    <w:basedOn w:val="37"/>
    <w:qFormat/>
    <w:uiPriority w:val="0"/>
  </w:style>
  <w:style w:type="paragraph" w:customStyle="1" w:styleId="75">
    <w:name w:val="list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6">
    <w:name w:val="正文文本缩进 Char1"/>
    <w:basedOn w:val="37"/>
    <w:semiHidden/>
    <w:qFormat/>
    <w:uiPriority w:val="99"/>
    <w:rPr>
      <w:kern w:val="2"/>
      <w:sz w:val="21"/>
      <w:szCs w:val="22"/>
    </w:rPr>
  </w:style>
  <w:style w:type="character" w:customStyle="1" w:styleId="77">
    <w:name w:val="纯文本 Char1"/>
    <w:basedOn w:val="37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paragraph" w:styleId="78">
    <w:name w:val="No Spacing"/>
    <w:qFormat/>
    <w:uiPriority w:val="0"/>
    <w:pPr>
      <w:widowControl w:val="0"/>
      <w:jc w:val="center"/>
    </w:pPr>
    <w:rPr>
      <w:rFonts w:ascii="宋体" w:hAnsi="宋体" w:eastAsia="宋体" w:cs="Times New Roman"/>
      <w:color w:val="FF00FF"/>
      <w:kern w:val="2"/>
      <w:sz w:val="21"/>
      <w:szCs w:val="22"/>
      <w:lang w:val="en-US" w:eastAsia="zh-CN" w:bidi="ar-SA"/>
    </w:rPr>
  </w:style>
  <w:style w:type="paragraph" w:customStyle="1" w:styleId="79">
    <w:name w:val="样式 样式 宋体 小四 行距: 1.5 倍行距 + 首行缩进:  2 字符"/>
    <w:basedOn w:val="1"/>
    <w:qFormat/>
    <w:uiPriority w:val="0"/>
    <w:pPr>
      <w:spacing w:line="360" w:lineRule="auto"/>
      <w:ind w:firstLine="420" w:firstLineChars="200"/>
    </w:pPr>
    <w:rPr>
      <w:rFonts w:ascii="宋体" w:hAnsi="Times New Roman" w:eastAsia="宋体" w:cs="Times New Roman"/>
      <w:szCs w:val="20"/>
    </w:rPr>
  </w:style>
  <w:style w:type="character" w:customStyle="1" w:styleId="80">
    <w:name w:val="标题 Char1"/>
    <w:basedOn w:val="37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81">
    <w:name w:val="日期 Char1"/>
    <w:basedOn w:val="37"/>
    <w:semiHidden/>
    <w:qFormat/>
    <w:uiPriority w:val="99"/>
    <w:rPr>
      <w:kern w:val="2"/>
      <w:sz w:val="21"/>
      <w:szCs w:val="22"/>
    </w:rPr>
  </w:style>
  <w:style w:type="paragraph" w:customStyle="1" w:styleId="82">
    <w:name w:val="标准"/>
    <w:basedOn w:val="1"/>
    <w:qFormat/>
    <w:uiPriority w:val="0"/>
    <w:pPr>
      <w:autoSpaceDE w:val="0"/>
      <w:autoSpaceDN w:val="0"/>
      <w:adjustRightInd w:val="0"/>
      <w:spacing w:line="480" w:lineRule="atLeast"/>
      <w:textAlignment w:val="bottom"/>
    </w:pPr>
    <w:rPr>
      <w:rFonts w:ascii="昆仑仿宋" w:hAnsi="Times New Roman" w:eastAsia="昆仑仿宋" w:cs="Times New Roman"/>
      <w:spacing w:val="40"/>
      <w:kern w:val="0"/>
      <w:sz w:val="28"/>
      <w:szCs w:val="20"/>
    </w:rPr>
  </w:style>
  <w:style w:type="character" w:customStyle="1" w:styleId="83">
    <w:name w:val="font01"/>
    <w:basedOn w:val="37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84">
    <w:name w:val="font41"/>
    <w:basedOn w:val="37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85">
    <w:name w:val="font21"/>
    <w:basedOn w:val="37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86">
    <w:name w:val="font81"/>
    <w:basedOn w:val="37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87">
    <w:name w:val="prib"/>
    <w:basedOn w:val="37"/>
    <w:qFormat/>
    <w:uiPriority w:val="0"/>
  </w:style>
  <w:style w:type="paragraph" w:customStyle="1" w:styleId="88">
    <w:name w:val="f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9">
    <w:name w:val="xl63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0">
    <w:name w:val="xl64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1">
    <w:name w:val="xl65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FF0000"/>
      <w:kern w:val="0"/>
      <w:szCs w:val="21"/>
    </w:rPr>
  </w:style>
  <w:style w:type="paragraph" w:customStyle="1" w:styleId="92">
    <w:name w:val="xl66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FF0000"/>
      <w:kern w:val="0"/>
      <w:szCs w:val="21"/>
    </w:rPr>
  </w:style>
  <w:style w:type="paragraph" w:customStyle="1" w:styleId="93">
    <w:name w:val="xl67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4">
    <w:name w:val="xl68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5">
    <w:name w:val="xl69"/>
    <w:basedOn w:val="1"/>
    <w:qFormat/>
    <w:uiPriority w:val="0"/>
    <w:pPr>
      <w:widowControl/>
      <w:pBdr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6">
    <w:name w:val="xl70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7">
    <w:name w:val="xl7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8">
    <w:name w:val="xl72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99">
    <w:name w:val="xl73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0">
    <w:name w:val="xl74"/>
    <w:basedOn w:val="1"/>
    <w:qFormat/>
    <w:uiPriority w:val="0"/>
    <w:pPr>
      <w:widowControl/>
      <w:pBdr>
        <w:top w:val="single" w:color="auto" w:sz="8" w:space="0"/>
        <w:left w:val="single" w:color="000000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1">
    <w:name w:val="xl75"/>
    <w:basedOn w:val="1"/>
    <w:qFormat/>
    <w:uiPriority w:val="0"/>
    <w:pPr>
      <w:widowControl/>
      <w:pBdr>
        <w:bottom w:val="single" w:color="000000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2">
    <w:name w:val="xl76"/>
    <w:basedOn w:val="1"/>
    <w:qFormat/>
    <w:uiPriority w:val="0"/>
    <w:pPr>
      <w:widowControl/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3">
    <w:name w:val="xl77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4">
    <w:name w:val="xl78"/>
    <w:basedOn w:val="1"/>
    <w:qFormat/>
    <w:uiPriority w:val="0"/>
    <w:pPr>
      <w:widowControl/>
      <w:pBdr>
        <w:bottom w:val="single" w:color="auto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05">
    <w:name w:val="xl79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FF0000"/>
      <w:kern w:val="0"/>
      <w:szCs w:val="21"/>
    </w:rPr>
  </w:style>
  <w:style w:type="character" w:customStyle="1" w:styleId="106">
    <w:name w:val="font51"/>
    <w:basedOn w:val="3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7">
    <w:name w:val="font61"/>
    <w:basedOn w:val="3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8">
    <w:name w:val="font71"/>
    <w:basedOn w:val="3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9">
    <w:name w:val="111111"/>
    <w:basedOn w:val="17"/>
    <w:qFormat/>
    <w:uiPriority w:val="0"/>
    <w:pPr>
      <w:spacing w:before="100" w:beforeAutospacing="1" w:after="120" w:line="360" w:lineRule="auto"/>
      <w:ind w:left="0" w:leftChars="0" w:firstLine="480" w:firstLineChars="200"/>
      <w:jc w:val="left"/>
    </w:pPr>
    <w:rPr>
      <w:rFonts w:ascii="宋体" w:hAnsi="宋体" w:eastAsia="宋体" w:cs="Times New Roman"/>
      <w:color w:val="000000"/>
      <w:sz w:val="24"/>
      <w:szCs w:val="24"/>
    </w:rPr>
  </w:style>
  <w:style w:type="paragraph" w:customStyle="1" w:styleId="110">
    <w:name w:val="正文4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paragraph" w:customStyle="1" w:styleId="111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2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13">
    <w:name w:val="无间隔-蒙自表格"/>
    <w:basedOn w:val="114"/>
    <w:link w:val="115"/>
    <w:qFormat/>
    <w:uiPriority w:val="0"/>
    <w:rPr>
      <w:rFonts w:ascii="宋体" w:hAnsi="宋体" w:eastAsia="宋体"/>
    </w:rPr>
  </w:style>
  <w:style w:type="paragraph" w:customStyle="1" w:styleId="114">
    <w:name w:val="无间隔3"/>
    <w:basedOn w:val="1"/>
    <w:qFormat/>
    <w:uiPriority w:val="0"/>
    <w:pPr>
      <w:jc w:val="center"/>
    </w:pPr>
    <w:rPr>
      <w:rFonts w:cs="Times New Roman"/>
      <w:color w:val="FF00FF"/>
      <w:sz w:val="18"/>
      <w:szCs w:val="21"/>
    </w:rPr>
  </w:style>
  <w:style w:type="character" w:customStyle="1" w:styleId="115">
    <w:name w:val="无间隔-蒙自表格 Char"/>
    <w:link w:val="113"/>
    <w:qFormat/>
    <w:uiPriority w:val="0"/>
    <w:rPr>
      <w:rFonts w:ascii="宋体" w:hAnsi="宋体" w:eastAsia="宋体" w:cs="Times New Roman"/>
      <w:color w:val="FF00FF"/>
      <w:sz w:val="18"/>
      <w:szCs w:val="21"/>
    </w:rPr>
  </w:style>
  <w:style w:type="character" w:customStyle="1" w:styleId="116">
    <w:name w:val="font11"/>
    <w:basedOn w:val="3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17">
    <w:name w:val="font31"/>
    <w:basedOn w:val="3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18">
    <w:name w:val="55555"/>
    <w:basedOn w:val="1"/>
    <w:qFormat/>
    <w:uiPriority w:val="0"/>
    <w:pPr>
      <w:jc w:val="center"/>
    </w:pPr>
    <w:rPr>
      <w:rFonts w:ascii="宋体" w:hAnsi="宋体" w:eastAsia="宋体" w:cs="Times New Roman"/>
      <w:color w:val="00B050"/>
      <w:szCs w:val="21"/>
    </w:rPr>
  </w:style>
  <w:style w:type="paragraph" w:customStyle="1" w:styleId="119">
    <w:name w:val="无间隔2"/>
    <w:basedOn w:val="1"/>
    <w:qFormat/>
    <w:uiPriority w:val="0"/>
    <w:pPr>
      <w:jc w:val="center"/>
    </w:pPr>
    <w:rPr>
      <w:rFonts w:ascii="宋体" w:hAnsi="宋体" w:eastAsia="宋体" w:cs="Times New Roman"/>
      <w:color w:val="FF00FF"/>
      <w:szCs w:val="21"/>
    </w:rPr>
  </w:style>
  <w:style w:type="paragraph" w:customStyle="1" w:styleId="120">
    <w:name w:val="无间隔11"/>
    <w:qFormat/>
    <w:uiPriority w:val="0"/>
    <w:pPr>
      <w:widowControl w:val="0"/>
      <w:jc w:val="center"/>
    </w:pPr>
    <w:rPr>
      <w:rFonts w:ascii="宋体" w:hAnsi="宋体" w:eastAsia="宋体" w:cs="宋体"/>
      <w:color w:val="FF00FF"/>
      <w:kern w:val="2"/>
      <w:sz w:val="21"/>
      <w:szCs w:val="21"/>
      <w:lang w:val="en-US" w:eastAsia="zh-CN" w:bidi="ar-SA"/>
    </w:rPr>
  </w:style>
  <w:style w:type="character" w:customStyle="1" w:styleId="121">
    <w:name w:val="常用文本 Char"/>
    <w:link w:val="122"/>
    <w:qFormat/>
    <w:uiPriority w:val="0"/>
    <w:rPr>
      <w:rFonts w:cs="Times New Roman"/>
      <w:color w:val="FF0000"/>
    </w:rPr>
  </w:style>
  <w:style w:type="paragraph" w:customStyle="1" w:styleId="122">
    <w:name w:val="常用文本"/>
    <w:basedOn w:val="1"/>
    <w:link w:val="121"/>
    <w:qFormat/>
    <w:uiPriority w:val="0"/>
    <w:pPr>
      <w:snapToGrid w:val="0"/>
      <w:ind w:firstLine="480"/>
    </w:pPr>
    <w:rPr>
      <w:rFonts w:cs="Times New Roman"/>
      <w:color w:val="FF0000"/>
    </w:rPr>
  </w:style>
  <w:style w:type="paragraph" w:customStyle="1" w:styleId="123">
    <w:name w:val="注×："/>
    <w:qFormat/>
    <w:uiPriority w:val="99"/>
    <w:pPr>
      <w:widowControl w:val="0"/>
      <w:numPr>
        <w:ilvl w:val="0"/>
        <w:numId w:val="1"/>
      </w:numPr>
      <w:tabs>
        <w:tab w:val="left" w:pos="630"/>
      </w:tabs>
      <w:autoSpaceDE w:val="0"/>
      <w:autoSpaceDN w:val="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4">
    <w:name w:val="段"/>
    <w:qFormat/>
    <w:uiPriority w:val="99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5">
    <w:name w:val="注："/>
    <w:next w:val="124"/>
    <w:qFormat/>
    <w:uiPriority w:val="0"/>
    <w:pPr>
      <w:widowControl w:val="0"/>
      <w:numPr>
        <w:ilvl w:val="0"/>
        <w:numId w:val="2"/>
      </w:numPr>
      <w:autoSpaceDE w:val="0"/>
      <w:autoSpaceDN w:val="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lang w:val="en-US" w:eastAsia="zh-CN" w:bidi="ar-SA"/>
    </w:rPr>
  </w:style>
  <w:style w:type="character" w:customStyle="1" w:styleId="127">
    <w:name w:val="old"/>
    <w:qFormat/>
    <w:uiPriority w:val="0"/>
    <w:rPr>
      <w:color w:val="999999"/>
      <w:kern w:val="2"/>
      <w:sz w:val="21"/>
      <w:szCs w:val="24"/>
    </w:rPr>
  </w:style>
  <w:style w:type="character" w:customStyle="1" w:styleId="128">
    <w:name w:val="icon"/>
    <w:basedOn w:val="37"/>
    <w:qFormat/>
    <w:uiPriority w:val="0"/>
  </w:style>
  <w:style w:type="character" w:customStyle="1" w:styleId="129">
    <w:name w:val="hour_am"/>
    <w:basedOn w:val="37"/>
    <w:qFormat/>
    <w:uiPriority w:val="0"/>
  </w:style>
  <w:style w:type="character" w:customStyle="1" w:styleId="130">
    <w:name w:val="通用web正文1"/>
    <w:qFormat/>
    <w:uiPriority w:val="0"/>
    <w:rPr>
      <w:rFonts w:hint="eastAsia" w:ascii="宋体" w:hAnsi="宋体" w:eastAsia="宋体"/>
      <w:kern w:val="2"/>
      <w:sz w:val="18"/>
      <w:szCs w:val="24"/>
    </w:rPr>
  </w:style>
  <w:style w:type="character" w:customStyle="1" w:styleId="131">
    <w:name w:val="glyphicon"/>
    <w:basedOn w:val="37"/>
    <w:qFormat/>
    <w:uiPriority w:val="0"/>
  </w:style>
  <w:style w:type="character" w:customStyle="1" w:styleId="132">
    <w:name w:val="hover"/>
    <w:qFormat/>
    <w:uiPriority w:val="0"/>
    <w:rPr>
      <w:kern w:val="2"/>
      <w:sz w:val="21"/>
      <w:szCs w:val="24"/>
      <w:shd w:val="clear" w:color="auto" w:fill="EEEEEE"/>
    </w:rPr>
  </w:style>
  <w:style w:type="character" w:customStyle="1" w:styleId="133">
    <w:name w:val="正文缩进 Char"/>
    <w:link w:val="9"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34">
    <w:name w:val="hour_pm"/>
    <w:basedOn w:val="37"/>
    <w:qFormat/>
    <w:uiPriority w:val="0"/>
  </w:style>
  <w:style w:type="character" w:customStyle="1" w:styleId="135">
    <w:name w:val="glyphicon6"/>
    <w:basedOn w:val="37"/>
    <w:qFormat/>
    <w:uiPriority w:val="0"/>
  </w:style>
  <w:style w:type="character" w:customStyle="1" w:styleId="136">
    <w:name w:val="hover1"/>
    <w:qFormat/>
    <w:uiPriority w:val="0"/>
    <w:rPr>
      <w:kern w:val="2"/>
      <w:sz w:val="21"/>
      <w:szCs w:val="24"/>
      <w:shd w:val="clear" w:color="auto" w:fill="EEEEEE"/>
    </w:rPr>
  </w:style>
  <w:style w:type="character" w:customStyle="1" w:styleId="137">
    <w:name w:val="indent"/>
    <w:basedOn w:val="37"/>
    <w:qFormat/>
    <w:uiPriority w:val="0"/>
  </w:style>
  <w:style w:type="character" w:customStyle="1" w:styleId="138">
    <w:name w:val="Char Char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9">
    <w:name w:val="纯文本 Char2"/>
    <w:qFormat/>
    <w:uiPriority w:val="0"/>
    <w:rPr>
      <w:rFonts w:ascii="宋体" w:eastAsia="宋体"/>
      <w:kern w:val="2"/>
      <w:sz w:val="21"/>
      <w:lang w:val="en-US" w:eastAsia="zh-CN" w:bidi="ar-SA"/>
    </w:rPr>
  </w:style>
  <w:style w:type="paragraph" w:customStyle="1" w:styleId="140">
    <w:name w:val="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141">
    <w:name w:val="默认段落字体 Para Char"/>
    <w:basedOn w:val="1"/>
    <w:qFormat/>
    <w:uiPriority w:val="0"/>
    <w:rPr>
      <w:rFonts w:ascii="Calibri" w:hAnsi="Calibri" w:eastAsia="宋体" w:cs="Times New Roman"/>
      <w:szCs w:val="20"/>
    </w:rPr>
  </w:style>
  <w:style w:type="paragraph" w:customStyle="1" w:styleId="142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143">
    <w:name w:val="1"/>
    <w:basedOn w:val="1"/>
    <w:next w:val="13"/>
    <w:qFormat/>
    <w:uiPriority w:val="0"/>
    <w:pPr>
      <w:adjustRightInd w:val="0"/>
      <w:ind w:left="420" w:right="33"/>
      <w:jc w:val="left"/>
      <w:textAlignment w:val="baseline"/>
    </w:pPr>
    <w:rPr>
      <w:rFonts w:ascii="Calibri" w:hAnsi="Calibri" w:eastAsia="宋体" w:cs="Times New Roman"/>
      <w:kern w:val="0"/>
      <w:sz w:val="24"/>
      <w:szCs w:val="20"/>
    </w:rPr>
  </w:style>
  <w:style w:type="paragraph" w:customStyle="1" w:styleId="144">
    <w:name w:val="目录文字"/>
    <w:basedOn w:val="1"/>
    <w:qFormat/>
    <w:uiPriority w:val="0"/>
    <w:pPr>
      <w:widowControl/>
      <w:spacing w:line="480" w:lineRule="auto"/>
      <w:jc w:val="left"/>
    </w:pPr>
    <w:rPr>
      <w:rFonts w:ascii="宋体" w:hAnsi="宋体" w:eastAsia="宋体" w:cs="Times New Roman"/>
      <w:kern w:val="0"/>
      <w:sz w:val="24"/>
      <w:szCs w:val="20"/>
    </w:rPr>
  </w:style>
  <w:style w:type="paragraph" w:customStyle="1" w:styleId="145">
    <w:name w:val="p2"/>
    <w:basedOn w:val="1"/>
    <w:qFormat/>
    <w:uiPriority w:val="0"/>
    <w:pPr>
      <w:widowControl/>
      <w:spacing w:line="480" w:lineRule="auto"/>
      <w:ind w:firstLine="420"/>
      <w:jc w:val="left"/>
    </w:pPr>
    <w:rPr>
      <w:rFonts w:ascii="宋体" w:hAnsi="宋体" w:eastAsia="宋体" w:cs="宋体"/>
      <w:kern w:val="0"/>
      <w:sz w:val="20"/>
      <w:szCs w:val="21"/>
    </w:rPr>
  </w:style>
  <w:style w:type="paragraph" w:customStyle="1" w:styleId="146">
    <w:name w:val="Char"/>
    <w:basedOn w:val="1"/>
    <w:qFormat/>
    <w:uiPriority w:val="0"/>
    <w:rPr>
      <w:rFonts w:ascii="Calibri" w:hAnsi="Calibri" w:eastAsia="宋体" w:cs="Times New Roman"/>
      <w:szCs w:val="24"/>
    </w:rPr>
  </w:style>
  <w:style w:type="paragraph" w:customStyle="1" w:styleId="147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 w:eastAsia="宋体" w:cs="Times New Roman"/>
      <w:kern w:val="0"/>
      <w:sz w:val="20"/>
      <w:szCs w:val="20"/>
    </w:rPr>
  </w:style>
  <w:style w:type="paragraph" w:customStyle="1" w:styleId="148">
    <w:name w:val="标题4"/>
    <w:basedOn w:val="1"/>
    <w:next w:val="6"/>
    <w:qFormat/>
    <w:uiPriority w:val="0"/>
    <w:pPr>
      <w:widowControl/>
      <w:jc w:val="left"/>
    </w:pPr>
    <w:rPr>
      <w:rFonts w:ascii="黑体" w:hAnsi="Calibri" w:eastAsia="黑体" w:cs="Times New Roman"/>
      <w:kern w:val="0"/>
      <w:sz w:val="24"/>
      <w:szCs w:val="30"/>
    </w:rPr>
  </w:style>
  <w:style w:type="paragraph" w:customStyle="1" w:styleId="149">
    <w:name w:val="z-窗体底端1"/>
    <w:basedOn w:val="1"/>
    <w:next w:val="1"/>
    <w:qFormat/>
    <w:uiPriority w:val="0"/>
    <w:pPr>
      <w:widowControl/>
      <w:pBdr>
        <w:top w:val="single" w:color="auto" w:sz="6" w:space="1"/>
      </w:pBdr>
      <w:jc w:val="center"/>
    </w:pPr>
    <w:rPr>
      <w:rFonts w:ascii="Arial" w:hAnsi="Calibri" w:eastAsia="宋体" w:cs="Times New Roman"/>
      <w:vanish/>
      <w:kern w:val="0"/>
      <w:sz w:val="16"/>
      <w:szCs w:val="20"/>
    </w:rPr>
  </w:style>
  <w:style w:type="paragraph" w:customStyle="1" w:styleId="150">
    <w:name w:val="样式1"/>
    <w:basedOn w:val="6"/>
    <w:qFormat/>
    <w:uiPriority w:val="0"/>
    <w:rPr>
      <w:rFonts w:ascii="黑体"/>
      <w:szCs w:val="30"/>
    </w:rPr>
  </w:style>
  <w:style w:type="paragraph" w:customStyle="1" w:styleId="151">
    <w:name w:val="Table Paragraph"/>
    <w:basedOn w:val="1"/>
    <w:qFormat/>
    <w:uiPriority w:val="1"/>
    <w:pPr>
      <w:widowControl/>
      <w:jc w:val="left"/>
    </w:pPr>
    <w:rPr>
      <w:rFonts w:ascii="宋体" w:hAnsi="宋体" w:eastAsia="宋体" w:cs="宋体"/>
      <w:kern w:val="0"/>
      <w:sz w:val="20"/>
      <w:szCs w:val="20"/>
      <w:lang w:val="zh-CN" w:bidi="zh-CN"/>
    </w:rPr>
  </w:style>
  <w:style w:type="paragraph" w:customStyle="1" w:styleId="152">
    <w:name w:val="样式2"/>
    <w:basedOn w:val="6"/>
    <w:next w:val="6"/>
    <w:qFormat/>
    <w:uiPriority w:val="0"/>
    <w:rPr>
      <w:rFonts w:ascii="黑体"/>
      <w:szCs w:val="30"/>
    </w:rPr>
  </w:style>
  <w:style w:type="paragraph" w:customStyle="1" w:styleId="153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154">
    <w:name w:val="p1"/>
    <w:basedOn w:val="1"/>
    <w:qFormat/>
    <w:uiPriority w:val="0"/>
    <w:pPr>
      <w:widowControl/>
      <w:spacing w:line="480" w:lineRule="auto"/>
      <w:jc w:val="center"/>
    </w:pPr>
    <w:rPr>
      <w:rFonts w:ascii="宋体" w:hAnsi="宋体" w:eastAsia="宋体" w:cs="宋体"/>
      <w:kern w:val="0"/>
      <w:sz w:val="28"/>
      <w:szCs w:val="28"/>
    </w:rPr>
  </w:style>
  <w:style w:type="paragraph" w:customStyle="1" w:styleId="155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156">
    <w:name w:val="Char Char Char Char Char Char Char Char Char Char Char Char Char 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157">
    <w:name w:val="Char Char Char Char Char Char Char Char Char Char1"/>
    <w:basedOn w:val="1"/>
    <w:qFormat/>
    <w:uiPriority w:val="0"/>
    <w:pPr>
      <w:tabs>
        <w:tab w:val="left" w:pos="425"/>
      </w:tabs>
      <w:ind w:left="425" w:hanging="425"/>
    </w:pPr>
    <w:rPr>
      <w:rFonts w:ascii="Arial" w:hAnsi="Arial" w:eastAsia="黑体" w:cs="宋体"/>
      <w:b/>
      <w:bCs/>
      <w:sz w:val="32"/>
      <w:szCs w:val="32"/>
    </w:rPr>
  </w:style>
  <w:style w:type="paragraph" w:customStyle="1" w:styleId="158">
    <w:name w:val="z-窗体顶端1"/>
    <w:basedOn w:val="1"/>
    <w:next w:val="1"/>
    <w:qFormat/>
    <w:uiPriority w:val="0"/>
    <w:pPr>
      <w:widowControl/>
      <w:pBdr>
        <w:bottom w:val="single" w:color="auto" w:sz="6" w:space="1"/>
      </w:pBdr>
      <w:jc w:val="center"/>
    </w:pPr>
    <w:rPr>
      <w:rFonts w:ascii="Arial" w:hAnsi="Calibri" w:eastAsia="宋体" w:cs="Times New Roman"/>
      <w:vanish/>
      <w:kern w:val="0"/>
      <w:sz w:val="16"/>
      <w:szCs w:val="20"/>
    </w:rPr>
  </w:style>
  <w:style w:type="paragraph" w:customStyle="1" w:styleId="159">
    <w:name w:val="正文首行缩进 21"/>
    <w:basedOn w:val="12"/>
    <w:qFormat/>
    <w:uiPriority w:val="0"/>
    <w:pPr>
      <w:widowControl/>
      <w:overflowPunct w:val="0"/>
      <w:spacing w:before="100" w:beforeAutospacing="1" w:after="120" w:line="360" w:lineRule="auto"/>
      <w:ind w:firstLine="420" w:firstLineChars="200"/>
      <w:textAlignment w:val="baseline"/>
    </w:pPr>
    <w:rPr>
      <w:rFonts w:hAnsi="MS Sans Serif" w:eastAsia="宋体" w:cs="宋体"/>
      <w:spacing w:val="12"/>
      <w:sz w:val="24"/>
      <w:szCs w:val="24"/>
    </w:rPr>
  </w:style>
  <w:style w:type="paragraph" w:customStyle="1" w:styleId="160">
    <w:name w:val="_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61">
    <w:name w:val="15"/>
    <w:basedOn w:val="37"/>
    <w:qFormat/>
    <w:uiPriority w:val="0"/>
    <w:rPr>
      <w:rFonts w:hint="eastAsia" w:ascii="宋体" w:hAnsi="Courier New" w:eastAsia="宋体"/>
      <w:szCs w:val="21"/>
    </w:rPr>
  </w:style>
  <w:style w:type="character" w:customStyle="1" w:styleId="162">
    <w:name w:val="16"/>
    <w:basedOn w:val="37"/>
    <w:qFormat/>
    <w:uiPriority w:val="0"/>
    <w:rPr>
      <w:rFonts w:hint="default" w:ascii="Cambria" w:hAnsi="Cambria" w:eastAsia="宋体" w:cs="Times New Roman"/>
      <w:b/>
      <w:bCs/>
      <w:sz w:val="32"/>
      <w:szCs w:val="32"/>
    </w:rPr>
  </w:style>
  <w:style w:type="paragraph" w:customStyle="1" w:styleId="163">
    <w:name w:val="22222正文文本字体"/>
    <w:basedOn w:val="1"/>
    <w:qFormat/>
    <w:uiPriority w:val="0"/>
    <w:pPr>
      <w:spacing w:line="360" w:lineRule="auto"/>
      <w:ind w:firstLine="560" w:firstLineChars="200"/>
      <w:jc w:val="left"/>
    </w:pPr>
    <w:rPr>
      <w:rFonts w:ascii="宋体" w:hAnsi="宋体"/>
      <w:sz w:val="28"/>
      <w:szCs w:val="28"/>
    </w:rPr>
  </w:style>
  <w:style w:type="paragraph" w:customStyle="1" w:styleId="164">
    <w:name w:val="图表"/>
    <w:basedOn w:val="1"/>
    <w:link w:val="165"/>
    <w:qFormat/>
    <w:uiPriority w:val="0"/>
    <w:pPr>
      <w:spacing w:line="360" w:lineRule="auto"/>
      <w:jc w:val="center"/>
    </w:pPr>
    <w:rPr>
      <w:b/>
      <w:sz w:val="24"/>
    </w:rPr>
  </w:style>
  <w:style w:type="character" w:customStyle="1" w:styleId="165">
    <w:name w:val="图表 字符"/>
    <w:basedOn w:val="37"/>
    <w:link w:val="164"/>
    <w:qFormat/>
    <w:uiPriority w:val="0"/>
    <w:rPr>
      <w:b/>
      <w:sz w:val="24"/>
    </w:rPr>
  </w:style>
  <w:style w:type="paragraph" w:customStyle="1" w:styleId="166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167">
    <w:name w:val="TOC 标题2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168">
    <w:name w:val="TOC 标题3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69">
    <w:name w:val="无间隔1 Char"/>
    <w:qFormat/>
    <w:uiPriority w:val="1"/>
    <w:rPr>
      <w:rFonts w:ascii="宋体" w:hAnsi="宋体" w:cstheme="minorBidi"/>
      <w:color w:val="FF00FF"/>
      <w:kern w:val="2"/>
      <w:sz w:val="21"/>
      <w:szCs w:val="22"/>
    </w:rPr>
  </w:style>
  <w:style w:type="paragraph" w:customStyle="1" w:styleId="170">
    <w:name w:val="表中文字"/>
    <w:basedOn w:val="1"/>
    <w:qFormat/>
    <w:uiPriority w:val="0"/>
    <w:pPr>
      <w:widowControl/>
      <w:spacing w:line="360" w:lineRule="exact"/>
      <w:jc w:val="center"/>
    </w:pPr>
    <w:rPr>
      <w:kern w:val="0"/>
    </w:rPr>
  </w:style>
  <w:style w:type="paragraph" w:customStyle="1" w:styleId="171">
    <w:name w:val="实施方案正文"/>
    <w:basedOn w:val="172"/>
    <w:qFormat/>
    <w:uiPriority w:val="0"/>
    <w:pPr>
      <w:ind w:firstLine="566" w:firstLineChars="202"/>
    </w:pPr>
    <w:rPr>
      <w:rFonts w:ascii="等线" w:hAnsi="等线" w:eastAsia="等线"/>
      <w:kern w:val="2"/>
      <w:szCs w:val="28"/>
    </w:rPr>
  </w:style>
  <w:style w:type="paragraph" w:customStyle="1" w:styleId="172">
    <w:name w:val="正文 New"/>
    <w:next w:val="17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3">
    <w:name w:val="列出段落1"/>
    <w:basedOn w:val="1"/>
    <w:qFormat/>
    <w:uiPriority w:val="99"/>
    <w:pPr>
      <w:ind w:firstLine="420"/>
    </w:pPr>
  </w:style>
  <w:style w:type="paragraph" w:customStyle="1" w:styleId="174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table" w:customStyle="1" w:styleId="17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6">
    <w:name w:val="表格字体77777777"/>
    <w:basedOn w:val="78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3D9E05-E065-4D61-BDA4-984D415C4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7</Pages>
  <Words>4724</Words>
  <Characters>5431</Characters>
  <Lines>22</Lines>
  <Paragraphs>6</Paragraphs>
  <TotalTime>51</TotalTime>
  <ScaleCrop>false</ScaleCrop>
  <LinksUpToDate>false</LinksUpToDate>
  <CharactersWithSpaces>5512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2020-01-07T01:18:00Z</dcterms:created>
  <dc:creator>shendu</dc:creator>
  <cp:lastModifiedBy>Administrator</cp:lastModifiedBy>
  <dcterms:modified xsi:type="dcterms:W3CDTF">2026-09-28T06:53:10Z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F7D255F7F76140AFA6D7C3A0F3542A8A</vt:lpwstr>
  </property>
</Properties>
</file>