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317" w:lineRule="auto"/>
        <w:ind w:firstLine="0"/>
        <w:jc w:val="left"/>
        <w:textAlignment w:val="auto"/>
        <w:rPr>
          <w:rFonts w:hint="default" w:ascii="国标黑体" w:hAnsi="国标黑体" w:eastAsia="国标黑体" w:cs="国标黑体"/>
          <w:sz w:val="44"/>
          <w:szCs w:val="44"/>
          <w:lang w:val="en-US" w:eastAsia="zh-CN"/>
        </w:rPr>
      </w:pPr>
      <w:r>
        <w:rPr>
          <w:rFonts w:hint="eastAsia" w:ascii="国标黑体" w:hAnsi="国标黑体" w:eastAsia="国标黑体" w:cs="国标黑体"/>
          <w:sz w:val="44"/>
          <w:szCs w:val="44"/>
          <w:lang w:eastAsia="zh-CN"/>
        </w:rPr>
        <w:t>附件</w:t>
      </w:r>
      <w:r>
        <w:rPr>
          <w:rFonts w:hint="eastAsia" w:ascii="国标黑体" w:hAnsi="国标黑体" w:eastAsia="国标黑体" w:cs="国标黑体"/>
          <w:sz w:val="44"/>
          <w:szCs w:val="44"/>
          <w:lang w:val="en-US" w:eastAsia="zh-CN"/>
        </w:rPr>
        <w:t>7：</w:t>
      </w:r>
    </w:p>
    <w:p>
      <w:pPr>
        <w:keepNext w:val="0"/>
        <w:keepLines w:val="0"/>
        <w:pageBreakBefore w:val="0"/>
        <w:widowControl w:val="0"/>
        <w:kinsoku/>
        <w:wordWrap/>
        <w:overflowPunct/>
        <w:topLinePunct w:val="0"/>
        <w:autoSpaceDE/>
        <w:autoSpaceDN/>
        <w:bidi w:val="0"/>
        <w:adjustRightInd/>
        <w:snapToGrid w:val="0"/>
        <w:spacing w:line="317" w:lineRule="auto"/>
        <w:ind w:firstLine="0"/>
        <w:jc w:val="center"/>
        <w:textAlignment w:val="auto"/>
        <w:rPr>
          <w:rFonts w:ascii="方正小标宋简体" w:eastAsia="方正小标宋简体"/>
          <w:sz w:val="72"/>
          <w:szCs w:val="72"/>
        </w:rPr>
      </w:pPr>
      <w:r>
        <w:rPr>
          <w:rFonts w:hint="eastAsia" w:ascii="方正小标宋简体" w:eastAsia="方正小标宋简体"/>
          <w:sz w:val="72"/>
          <w:szCs w:val="72"/>
        </w:rPr>
        <w:t>云南省嵩明县烟草制品零售点</w:t>
      </w:r>
    </w:p>
    <w:p>
      <w:pPr>
        <w:keepNext w:val="0"/>
        <w:keepLines w:val="0"/>
        <w:pageBreakBefore w:val="0"/>
        <w:widowControl w:val="0"/>
        <w:kinsoku/>
        <w:wordWrap/>
        <w:overflowPunct/>
        <w:topLinePunct w:val="0"/>
        <w:autoSpaceDE/>
        <w:autoSpaceDN/>
        <w:bidi w:val="0"/>
        <w:adjustRightInd/>
        <w:snapToGrid w:val="0"/>
        <w:spacing w:line="317" w:lineRule="auto"/>
        <w:ind w:firstLine="0"/>
        <w:jc w:val="center"/>
        <w:textAlignment w:val="auto"/>
        <w:rPr>
          <w:rFonts w:ascii="方正小标宋简体" w:eastAsia="方正小标宋简体"/>
          <w:sz w:val="72"/>
          <w:szCs w:val="72"/>
        </w:rPr>
      </w:pPr>
      <w:r>
        <w:rPr>
          <w:rFonts w:hint="eastAsia" w:ascii="方正小标宋简体" w:eastAsia="方正小标宋简体"/>
          <w:sz w:val="72"/>
          <w:szCs w:val="72"/>
        </w:rPr>
        <w:t>合理布局规划数动态调整管理制度</w:t>
      </w:r>
    </w:p>
    <w:p>
      <w:pPr>
        <w:keepNext w:val="0"/>
        <w:keepLines w:val="0"/>
        <w:pageBreakBefore w:val="0"/>
        <w:widowControl w:val="0"/>
        <w:numPr>
          <w:ilvl w:val="0"/>
          <w:numId w:val="1"/>
        </w:numPr>
        <w:kinsoku/>
        <w:wordWrap/>
        <w:overflowPunct/>
        <w:topLinePunct w:val="0"/>
        <w:autoSpaceDE/>
        <w:autoSpaceDN/>
        <w:bidi w:val="0"/>
        <w:adjustRightInd/>
        <w:spacing w:before="312" w:beforeLines="100" w:after="312" w:afterLines="100" w:line="360" w:lineRule="auto"/>
        <w:ind w:firstLine="0"/>
        <w:jc w:val="center"/>
        <w:textAlignment w:val="auto"/>
        <w:rPr>
          <w:rFonts w:ascii="黑体" w:hAnsi="黑体" w:eastAsia="黑体" w:cs="黑体"/>
          <w:sz w:val="48"/>
          <w:szCs w:val="48"/>
        </w:rPr>
      </w:pPr>
      <w:r>
        <w:rPr>
          <w:rFonts w:hint="eastAsia" w:ascii="黑体" w:hAnsi="黑体" w:eastAsia="黑体" w:cs="黑体"/>
          <w:sz w:val="48"/>
          <w:szCs w:val="48"/>
        </w:rPr>
        <w:t>总则</w:t>
      </w:r>
    </w:p>
    <w:p>
      <w:pPr>
        <w:numPr>
          <w:ilvl w:val="2"/>
          <w:numId w:val="2"/>
        </w:numPr>
        <w:spacing w:line="360" w:lineRule="auto"/>
        <w:ind w:firstLine="640"/>
        <w:rPr>
          <w:rFonts w:hint="eastAsia" w:ascii="仿宋_GB2312" w:hAnsi="仿宋_GB2312" w:eastAsia="仿宋_GB2312" w:cs="仿宋_GB2312"/>
          <w:sz w:val="44"/>
          <w:szCs w:val="44"/>
          <w:highlight w:val="none"/>
        </w:rPr>
      </w:pPr>
      <w:r>
        <w:rPr>
          <w:rFonts w:hint="eastAsia" w:ascii="仿宋_GB2312" w:hAnsi="仿宋_GB2312" w:eastAsia="仿宋_GB2312" w:cs="仿宋_GB2312"/>
          <w:sz w:val="44"/>
          <w:szCs w:val="44"/>
        </w:rPr>
        <w:t>为建立健全合理布局规划管理动态调整机制，做好规范性文件的动态管理，保证《云南省嵩明县烟草制品零售点合理布局规划》的科学性、合理性、前瞻性，依据《中华人民共和国行政许可法》《中华人民共和国未成年人保护法》《中华人民共和国烟草专卖法》《中华人民</w:t>
      </w:r>
      <w:r>
        <w:rPr>
          <w:rFonts w:hint="eastAsia" w:ascii="仿宋_GB2312" w:hAnsi="仿宋_GB2312" w:eastAsia="仿宋_GB2312" w:cs="仿宋_GB2312"/>
          <w:sz w:val="44"/>
          <w:szCs w:val="44"/>
          <w:highlight w:val="none"/>
        </w:rPr>
        <w:t>共和国烟草专卖法实施条例》《烟草专卖许可证管理办法》《烟草专卖许可证管理办法实施细则》等法律法规和规章的规定，特制定本制度。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880" w:firstLineChars="200"/>
        <w:textAlignment w:val="auto"/>
        <w:rPr>
          <w:rFonts w:hint="eastAsia" w:ascii="仿宋_GB2312" w:hAnsi="仿宋_GB2312" w:eastAsia="仿宋_GB2312" w:cs="仿宋_GB2312"/>
          <w:sz w:val="44"/>
          <w:szCs w:val="44"/>
          <w:highlight w:val="none"/>
        </w:rPr>
      </w:pPr>
      <w:r>
        <w:rPr>
          <w:rFonts w:hint="eastAsia" w:ascii="仿宋_GB2312" w:hAnsi="仿宋_GB2312" w:eastAsia="仿宋_GB2312" w:cs="仿宋_GB2312"/>
          <w:sz w:val="44"/>
          <w:szCs w:val="44"/>
          <w:highlight w:val="none"/>
        </w:rPr>
        <w:t>《云南省嵩明县烟草制品零售点合理布局规划》发布后，嵩明县烟草专卖局</w:t>
      </w:r>
      <w:r>
        <w:rPr>
          <w:rFonts w:hint="eastAsia" w:ascii="仿宋_GB2312" w:hAnsi="仿宋_GB2312" w:eastAsia="仿宋_GB2312" w:cs="仿宋_GB2312"/>
          <w:sz w:val="44"/>
          <w:szCs w:val="44"/>
          <w:highlight w:val="none"/>
          <w:lang w:eastAsia="zh-CN"/>
        </w:rPr>
        <w:t>按照要求，规划数量以划定的市场单元网格为基准，参照相应人口数量、经济发展水平、现有许可证存量、烟草制品消费需求等因素，对零售点布局规划实施动态管理，全县新增烟草制品零售点规划数量不得超过上一年度持证总量的</w:t>
      </w:r>
      <w:r>
        <w:rPr>
          <w:rFonts w:hint="eastAsia" w:ascii="仿宋_GB2312" w:hAnsi="仿宋_GB2312" w:eastAsia="仿宋_GB2312" w:cs="仿宋_GB2312"/>
          <w:sz w:val="44"/>
          <w:szCs w:val="44"/>
          <w:highlight w:val="none"/>
          <w:lang w:val="en-US" w:eastAsia="zh-CN"/>
        </w:rPr>
        <w:t>5</w:t>
      </w:r>
      <w:r>
        <w:rPr>
          <w:rFonts w:hint="eastAsia" w:ascii="仿宋_GB2312" w:hAnsi="仿宋_GB2312" w:eastAsia="仿宋_GB2312" w:cs="仿宋_GB2312"/>
          <w:sz w:val="44"/>
          <w:szCs w:val="44"/>
          <w:highlight w:val="none"/>
          <w:lang w:eastAsia="zh-CN"/>
        </w:rPr>
        <w:t>%，各单元网格规划数量按季度进行测算调整，当</w:t>
      </w:r>
      <w:r>
        <w:rPr>
          <w:rFonts w:hint="eastAsia" w:ascii="仿宋_GB2312" w:hAnsi="仿宋_GB2312" w:eastAsia="仿宋_GB2312" w:cs="仿宋_GB2312"/>
          <w:sz w:val="44"/>
          <w:szCs w:val="44"/>
          <w:highlight w:val="none"/>
        </w:rPr>
        <w:t>单元网格内零售点数量达到规划数时，该单元网格不予新设零售点。公示三日后实施。</w:t>
      </w:r>
    </w:p>
    <w:p>
      <w:pPr>
        <w:numPr>
          <w:ilvl w:val="2"/>
          <w:numId w:val="2"/>
        </w:numPr>
        <w:spacing w:line="360" w:lineRule="auto"/>
        <w:ind w:firstLine="640"/>
        <w:rPr>
          <w:rFonts w:hint="eastAsia" w:ascii="仿宋_GB2312" w:hAnsi="仿宋_GB2312" w:eastAsia="仿宋_GB2312" w:cs="仿宋_GB2312"/>
          <w:sz w:val="44"/>
          <w:szCs w:val="44"/>
          <w:highlight w:val="none"/>
        </w:rPr>
      </w:pPr>
      <w:bookmarkStart w:id="0" w:name="_GoBack"/>
      <w:bookmarkEnd w:id="0"/>
      <w:r>
        <w:rPr>
          <w:rFonts w:hint="eastAsia" w:ascii="仿宋_GB2312" w:hAnsi="仿宋_GB2312" w:eastAsia="仿宋_GB2312" w:cs="仿宋_GB2312"/>
          <w:sz w:val="44"/>
          <w:szCs w:val="44"/>
          <w:highlight w:val="none"/>
        </w:rPr>
        <w:t>根据《昆明市</w:t>
      </w:r>
      <w:r>
        <w:rPr>
          <w:rFonts w:hint="eastAsia" w:ascii="仿宋_GB2312" w:hAnsi="仿宋_GB2312" w:eastAsia="仿宋_GB2312" w:cs="仿宋_GB2312"/>
          <w:sz w:val="44"/>
          <w:szCs w:val="44"/>
          <w:highlight w:val="none"/>
          <w:lang w:eastAsia="zh-CN"/>
        </w:rPr>
        <w:t>嵩明</w:t>
      </w:r>
      <w:r>
        <w:rPr>
          <w:rFonts w:hint="eastAsia" w:ascii="仿宋_GB2312" w:hAnsi="仿宋_GB2312" w:eastAsia="仿宋_GB2312" w:cs="仿宋_GB2312"/>
          <w:sz w:val="44"/>
          <w:szCs w:val="44"/>
          <w:highlight w:val="none"/>
        </w:rPr>
        <w:t>县烟草制品零售点合理布局规划》，</w:t>
      </w:r>
      <w:r>
        <w:rPr>
          <w:rFonts w:hint="eastAsia" w:ascii="仿宋_GB2312" w:hAnsi="仿宋_GB2312" w:eastAsia="仿宋_GB2312" w:cs="仿宋_GB2312"/>
          <w:sz w:val="44"/>
          <w:szCs w:val="44"/>
          <w:highlight w:val="none"/>
          <w:lang w:eastAsia="zh-CN"/>
        </w:rPr>
        <w:t>嵩明</w:t>
      </w:r>
      <w:r>
        <w:rPr>
          <w:rFonts w:hint="eastAsia" w:ascii="仿宋_GB2312" w:hAnsi="仿宋_GB2312" w:eastAsia="仿宋_GB2312" w:cs="仿宋_GB2312"/>
          <w:sz w:val="44"/>
          <w:szCs w:val="44"/>
          <w:highlight w:val="none"/>
        </w:rPr>
        <w:t>县烟草专卖局每季度根据本地人口数量、交通状况、经济发展水平、居民消费能力、消费购买习惯、烟草制品销售状况、许可证新办需求等变化情况，对辖区单元网格零售点合理布局规划数进行动态调整。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880" w:firstLineChars="200"/>
        <w:textAlignment w:val="auto"/>
        <w:rPr>
          <w:rFonts w:hint="eastAsia" w:ascii="仿宋_GB2312" w:hAnsi="仿宋_GB2312" w:eastAsia="仿宋_GB2312" w:cs="仿宋_GB2312"/>
          <w:sz w:val="44"/>
          <w:szCs w:val="44"/>
          <w:highlight w:val="none"/>
        </w:rPr>
      </w:pPr>
      <w:r>
        <w:rPr>
          <w:rFonts w:hint="eastAsia" w:ascii="仿宋_GB2312" w:hAnsi="仿宋_GB2312" w:eastAsia="仿宋_GB2312" w:cs="仿宋_GB2312"/>
          <w:sz w:val="44"/>
          <w:szCs w:val="44"/>
          <w:highlight w:val="none"/>
        </w:rPr>
        <w:t>雪茄烟专营店零售点合理布局规划数按行业政策总体要求，并结合市场发展状况进行动态调整。</w:t>
      </w:r>
    </w:p>
    <w:p>
      <w:pPr>
        <w:numPr>
          <w:ilvl w:val="2"/>
          <w:numId w:val="2"/>
        </w:numPr>
        <w:spacing w:line="360" w:lineRule="auto"/>
        <w:ind w:firstLine="640"/>
        <w:rPr>
          <w:rFonts w:ascii="仿宋_GB2312" w:hAnsi="仿宋_GB2312" w:eastAsia="仿宋_GB2312" w:cs="仿宋_GB2312"/>
          <w:sz w:val="44"/>
          <w:szCs w:val="44"/>
          <w:highlight w:val="none"/>
        </w:rPr>
      </w:pPr>
      <w:r>
        <w:rPr>
          <w:rFonts w:hint="eastAsia" w:ascii="仿宋_GB2312" w:eastAsia="仿宋_GB2312"/>
          <w:sz w:val="44"/>
          <w:szCs w:val="44"/>
          <w:highlight w:val="none"/>
        </w:rPr>
        <w:t>动态调整由嵩明县烟草专卖局（以下简称县级局）负责实施。</w:t>
      </w:r>
    </w:p>
    <w:p>
      <w:pPr>
        <w:numPr>
          <w:ilvl w:val="0"/>
          <w:numId w:val="1"/>
        </w:numPr>
        <w:spacing w:before="312" w:beforeLines="100" w:after="312" w:afterLines="100" w:line="360" w:lineRule="auto"/>
        <w:ind w:firstLine="640"/>
        <w:jc w:val="center"/>
        <w:rPr>
          <w:rFonts w:ascii="黑体" w:hAnsi="黑体" w:eastAsia="黑体" w:cs="黑体"/>
          <w:sz w:val="48"/>
          <w:szCs w:val="48"/>
          <w:highlight w:val="none"/>
        </w:rPr>
      </w:pPr>
      <w:r>
        <w:rPr>
          <w:rFonts w:hint="eastAsia" w:ascii="黑体" w:hAnsi="黑体" w:eastAsia="黑体" w:cs="黑体"/>
          <w:sz w:val="48"/>
          <w:szCs w:val="48"/>
          <w:highlight w:val="none"/>
        </w:rPr>
        <w:t>动态调整规则</w:t>
      </w:r>
    </w:p>
    <w:p>
      <w:pPr>
        <w:numPr>
          <w:ilvl w:val="2"/>
          <w:numId w:val="2"/>
        </w:numPr>
        <w:spacing w:line="360" w:lineRule="auto"/>
        <w:ind w:firstLine="640"/>
        <w:rPr>
          <w:rFonts w:ascii="楷体" w:hAnsi="楷体" w:eastAsia="楷体" w:cs="楷体"/>
          <w:sz w:val="44"/>
          <w:szCs w:val="44"/>
          <w:highlight w:val="none"/>
        </w:rPr>
      </w:pPr>
      <w:r>
        <w:rPr>
          <w:rFonts w:hint="eastAsia" w:ascii="仿宋_GB2312" w:hAnsi="仿宋_GB2312" w:eastAsia="仿宋_GB2312" w:cs="仿宋_GB2312"/>
          <w:sz w:val="44"/>
          <w:szCs w:val="44"/>
          <w:highlight w:val="none"/>
        </w:rPr>
        <w:t>每季度最后一个月最后一个工作日，从专卖一体化监管平台中提取辖区内所有单元网格现有零售点数量，经县级局专卖主任核实，交分管专卖领导审核后，封存数据。</w:t>
      </w:r>
    </w:p>
    <w:p>
      <w:pPr>
        <w:numPr>
          <w:ilvl w:val="2"/>
          <w:numId w:val="2"/>
        </w:numPr>
        <w:spacing w:line="360" w:lineRule="auto"/>
        <w:ind w:firstLine="640"/>
        <w:rPr>
          <w:rFonts w:ascii="仿宋_GB2312" w:hAnsi="仿宋_GB2312" w:eastAsia="仿宋_GB2312" w:cs="仿宋_GB2312"/>
          <w:sz w:val="44"/>
          <w:szCs w:val="44"/>
          <w:highlight w:val="none"/>
        </w:rPr>
      </w:pPr>
      <w:r>
        <w:rPr>
          <w:rFonts w:hint="eastAsia" w:ascii="仿宋_GB2312" w:hAnsi="仿宋_GB2312" w:eastAsia="仿宋_GB2312" w:cs="仿宋_GB2312"/>
          <w:sz w:val="44"/>
          <w:szCs w:val="44"/>
          <w:highlight w:val="none"/>
        </w:rPr>
        <w:t>辖区零售点合理布局规划数动态调整情况、规划依据，经上一级烟草专卖局核准，并经本级局领导班子集体讨论后，在五日内通过政府网站、行业网站及政务服务大厅等平台公示《昆明市</w:t>
      </w:r>
      <w:r>
        <w:rPr>
          <w:rFonts w:hint="eastAsia" w:ascii="仿宋_GB2312" w:hAnsi="仿宋_GB2312" w:eastAsia="仿宋_GB2312" w:cs="仿宋_GB2312"/>
          <w:sz w:val="44"/>
          <w:szCs w:val="44"/>
          <w:highlight w:val="none"/>
          <w:lang w:eastAsia="zh-CN"/>
        </w:rPr>
        <w:t>嵩明</w:t>
      </w:r>
      <w:r>
        <w:rPr>
          <w:rFonts w:hint="eastAsia" w:ascii="仿宋_GB2312" w:hAnsi="仿宋_GB2312" w:eastAsia="仿宋_GB2312" w:cs="仿宋_GB2312"/>
          <w:sz w:val="44"/>
          <w:szCs w:val="44"/>
          <w:highlight w:val="none"/>
        </w:rPr>
        <w:t>县烟草制品零售点合理布局公示表》（附件2）、《昆明市</w:t>
      </w:r>
      <w:r>
        <w:rPr>
          <w:rFonts w:hint="eastAsia" w:ascii="仿宋_GB2312" w:hAnsi="仿宋_GB2312" w:eastAsia="仿宋_GB2312" w:cs="仿宋_GB2312"/>
          <w:sz w:val="44"/>
          <w:szCs w:val="44"/>
          <w:highlight w:val="none"/>
          <w:lang w:eastAsia="zh-CN"/>
        </w:rPr>
        <w:t>嵩明</w:t>
      </w:r>
      <w:r>
        <w:rPr>
          <w:rFonts w:hint="eastAsia" w:ascii="仿宋_GB2312" w:hAnsi="仿宋_GB2312" w:eastAsia="仿宋_GB2312" w:cs="仿宋_GB2312"/>
          <w:sz w:val="44"/>
          <w:szCs w:val="44"/>
          <w:highlight w:val="none"/>
        </w:rPr>
        <w:t xml:space="preserve">县烟草专卖局雪茄烟专营店零售点合理布局公示表》（附件3）。 </w:t>
      </w:r>
    </w:p>
    <w:p>
      <w:pPr>
        <w:numPr>
          <w:ilvl w:val="2"/>
          <w:numId w:val="2"/>
        </w:numPr>
        <w:spacing w:line="360" w:lineRule="auto"/>
        <w:ind w:firstLine="640"/>
        <w:rPr>
          <w:rFonts w:ascii="仿宋_GB2312" w:hAnsi="仿宋_GB2312" w:eastAsia="仿宋_GB2312" w:cs="仿宋_GB2312"/>
          <w:sz w:val="44"/>
          <w:szCs w:val="44"/>
          <w:highlight w:val="none"/>
        </w:rPr>
      </w:pPr>
      <w:r>
        <w:rPr>
          <w:rFonts w:hint="eastAsia" w:ascii="仿宋_GB2312" w:hAnsi="仿宋_GB2312" w:eastAsia="仿宋_GB2312" w:cs="仿宋_GB2312"/>
          <w:sz w:val="44"/>
          <w:szCs w:val="44"/>
          <w:highlight w:val="none"/>
        </w:rPr>
        <w:t>审批通过后当日，县级局及时将《昆明市</w:t>
      </w:r>
      <w:r>
        <w:rPr>
          <w:rFonts w:hint="eastAsia" w:ascii="仿宋_GB2312" w:hAnsi="仿宋_GB2312" w:eastAsia="仿宋_GB2312" w:cs="仿宋_GB2312"/>
          <w:sz w:val="44"/>
          <w:szCs w:val="44"/>
          <w:highlight w:val="none"/>
          <w:lang w:eastAsia="zh-CN"/>
        </w:rPr>
        <w:t>嵩明</w:t>
      </w:r>
      <w:r>
        <w:rPr>
          <w:rFonts w:hint="eastAsia" w:ascii="仿宋_GB2312" w:hAnsi="仿宋_GB2312" w:eastAsia="仿宋_GB2312" w:cs="仿宋_GB2312"/>
          <w:sz w:val="44"/>
          <w:szCs w:val="44"/>
          <w:highlight w:val="none"/>
        </w:rPr>
        <w:t>县烟草制品零售点合理布局公示表》（附件2）、《昆明市</w:t>
      </w:r>
      <w:r>
        <w:rPr>
          <w:rFonts w:hint="eastAsia" w:ascii="仿宋_GB2312" w:hAnsi="仿宋_GB2312" w:eastAsia="仿宋_GB2312" w:cs="仿宋_GB2312"/>
          <w:sz w:val="44"/>
          <w:szCs w:val="44"/>
          <w:highlight w:val="none"/>
          <w:lang w:eastAsia="zh-CN"/>
        </w:rPr>
        <w:t>嵩明</w:t>
      </w:r>
      <w:r>
        <w:rPr>
          <w:rFonts w:hint="eastAsia" w:ascii="仿宋_GB2312" w:hAnsi="仿宋_GB2312" w:eastAsia="仿宋_GB2312" w:cs="仿宋_GB2312"/>
          <w:sz w:val="44"/>
          <w:szCs w:val="44"/>
          <w:highlight w:val="none"/>
        </w:rPr>
        <w:t>县烟草专卖局雪茄烟专营店零售点合理布局公示表》（附件3）报上一级烟草专卖局备案。</w:t>
      </w:r>
    </w:p>
    <w:p>
      <w:pPr>
        <w:numPr>
          <w:ilvl w:val="2"/>
          <w:numId w:val="2"/>
        </w:numPr>
        <w:spacing w:line="360" w:lineRule="auto"/>
        <w:ind w:firstLine="640"/>
        <w:rPr>
          <w:rFonts w:ascii="仿宋_GB2312" w:hAnsi="仿宋_GB2312" w:eastAsia="仿宋_GB2312" w:cs="仿宋_GB2312"/>
          <w:sz w:val="44"/>
          <w:szCs w:val="44"/>
          <w:highlight w:val="none"/>
        </w:rPr>
      </w:pPr>
      <w:r>
        <w:rPr>
          <w:rFonts w:hint="eastAsia" w:ascii="仿宋_GB2312" w:hAnsi="仿宋_GB2312" w:eastAsia="仿宋_GB2312" w:cs="仿宋_GB2312"/>
          <w:sz w:val="44"/>
          <w:szCs w:val="44"/>
          <w:highlight w:val="none"/>
        </w:rPr>
        <w:t>零售点合理布局规划数动态调整情况于公示之日起三日后开始实施。</w:t>
      </w:r>
    </w:p>
    <w:p>
      <w:pPr>
        <w:numPr>
          <w:ilvl w:val="0"/>
          <w:numId w:val="1"/>
        </w:numPr>
        <w:spacing w:before="312" w:beforeLines="100" w:after="312" w:afterLines="100" w:line="360" w:lineRule="auto"/>
        <w:ind w:firstLine="640"/>
        <w:jc w:val="center"/>
        <w:rPr>
          <w:rFonts w:ascii="黑体" w:hAnsi="黑体" w:eastAsia="黑体" w:cs="黑体"/>
          <w:sz w:val="48"/>
          <w:szCs w:val="48"/>
          <w:highlight w:val="none"/>
        </w:rPr>
      </w:pPr>
      <w:r>
        <w:rPr>
          <w:rFonts w:hint="eastAsia" w:ascii="黑体" w:hAnsi="黑体" w:eastAsia="黑体" w:cs="黑体"/>
          <w:sz w:val="48"/>
          <w:szCs w:val="48"/>
          <w:highlight w:val="none"/>
        </w:rPr>
        <w:t>附则</w:t>
      </w:r>
    </w:p>
    <w:p>
      <w:pPr>
        <w:numPr>
          <w:ilvl w:val="2"/>
          <w:numId w:val="2"/>
        </w:numPr>
        <w:spacing w:line="360" w:lineRule="auto"/>
        <w:ind w:firstLine="640"/>
        <w:rPr>
          <w:rFonts w:ascii="楷体" w:hAnsi="楷体" w:eastAsia="楷体" w:cs="楷体"/>
          <w:sz w:val="44"/>
          <w:szCs w:val="44"/>
          <w:highlight w:val="none"/>
        </w:rPr>
      </w:pPr>
      <w:r>
        <w:rPr>
          <w:rFonts w:hint="eastAsia" w:ascii="仿宋_GB2312" w:hAnsi="仿宋_GB2312" w:eastAsia="仿宋_GB2312" w:cs="仿宋_GB2312"/>
          <w:sz w:val="44"/>
          <w:szCs w:val="44"/>
          <w:highlight w:val="none"/>
        </w:rPr>
        <w:t>昆明市烟草专卖局负责监督管理嵩明县烟草专卖局动态调整过程及公示结果的规范性、公正性。检查嵩明县局的动态调整执行情况。通过核实动态调整的过程性记录信息以及公开公示信息，加强零售点合理布局规划数动态调整的全过程监督。</w:t>
      </w:r>
      <w:r>
        <w:rPr>
          <w:rFonts w:hint="eastAsia" w:ascii="仿宋_GB2312" w:hAnsi="仿宋_GB2312" w:eastAsia="仿宋_GB2312" w:cs="仿宋_GB2312"/>
          <w:sz w:val="44"/>
          <w:szCs w:val="44"/>
          <w:highlight w:val="none"/>
          <w:lang w:eastAsia="zh-CN"/>
        </w:rPr>
        <w:t>嵩明</w:t>
      </w:r>
      <w:r>
        <w:rPr>
          <w:rFonts w:hint="eastAsia" w:ascii="仿宋_GB2312" w:hAnsi="仿宋_GB2312" w:eastAsia="仿宋_GB2312" w:cs="仿宋_GB2312"/>
          <w:sz w:val="44"/>
          <w:szCs w:val="44"/>
          <w:highlight w:val="none"/>
        </w:rPr>
        <w:t>县烟草专卖局每年年底向上一级烟草专卖局报告本年度烟草制品零售点合理布局规划数动态调整工作执行情况。</w:t>
      </w:r>
    </w:p>
    <w:p>
      <w:pPr>
        <w:numPr>
          <w:ilvl w:val="2"/>
          <w:numId w:val="2"/>
        </w:numPr>
        <w:spacing w:line="360" w:lineRule="auto"/>
        <w:ind w:firstLine="640"/>
        <w:rPr>
          <w:rFonts w:ascii="仿宋_GB2312" w:hAnsi="仿宋_GB2312" w:eastAsia="仿宋_GB2312" w:cs="仿宋_GB2312"/>
          <w:sz w:val="44"/>
          <w:szCs w:val="44"/>
          <w:highlight w:val="none"/>
        </w:rPr>
      </w:pPr>
      <w:r>
        <w:rPr>
          <w:rFonts w:hint="eastAsia" w:ascii="仿宋_GB2312" w:hAnsi="仿宋_GB2312" w:eastAsia="仿宋_GB2312" w:cs="仿宋_GB2312"/>
          <w:sz w:val="44"/>
          <w:szCs w:val="44"/>
          <w:highlight w:val="none"/>
        </w:rPr>
        <w:t>本制度中按照年、月、日计算期间的，开始的当日不计入，自下一日开始计算。均以工作日计算，不含法定节假日。</w:t>
      </w:r>
    </w:p>
    <w:p>
      <w:pPr>
        <w:numPr>
          <w:ilvl w:val="2"/>
          <w:numId w:val="2"/>
        </w:numPr>
        <w:spacing w:line="360" w:lineRule="auto"/>
        <w:ind w:firstLine="640"/>
        <w:rPr>
          <w:rFonts w:ascii="仿宋_GB2312" w:hAnsi="仿宋_GB2312" w:eastAsia="仿宋_GB2312" w:cs="仿宋_GB2312"/>
          <w:sz w:val="44"/>
          <w:szCs w:val="44"/>
          <w:highlight w:val="none"/>
        </w:rPr>
      </w:pPr>
      <w:r>
        <w:rPr>
          <w:rFonts w:hint="eastAsia" w:ascii="仿宋_GB2312" w:hAnsi="仿宋_GB2312" w:eastAsia="仿宋_GB2312" w:cs="仿宋_GB2312"/>
          <w:sz w:val="44"/>
          <w:szCs w:val="44"/>
          <w:highlight w:val="none"/>
        </w:rPr>
        <w:t>本制度由云南省嵩明县烟草专卖局负责解释。</w:t>
      </w:r>
    </w:p>
    <w:p>
      <w:pPr>
        <w:numPr>
          <w:ilvl w:val="2"/>
          <w:numId w:val="2"/>
        </w:numPr>
        <w:spacing w:line="360" w:lineRule="auto"/>
        <w:ind w:firstLine="640"/>
        <w:rPr>
          <w:rFonts w:ascii="楷体" w:hAnsi="楷体" w:eastAsia="楷体" w:cs="楷体"/>
          <w:sz w:val="44"/>
          <w:szCs w:val="44"/>
        </w:rPr>
      </w:pPr>
      <w:r>
        <w:rPr>
          <w:rFonts w:hint="eastAsia" w:ascii="仿宋_GB2312" w:hAnsi="仿宋_GB2312" w:eastAsia="仿宋_GB2312" w:cs="仿宋_GB2312"/>
          <w:sz w:val="44"/>
          <w:szCs w:val="44"/>
          <w:highlight w:val="none"/>
        </w:rPr>
        <w:t>本制度自《云南省嵩明县烟草制品零售点</w:t>
      </w:r>
      <w:r>
        <w:rPr>
          <w:rFonts w:hint="eastAsia" w:ascii="仿宋_GB2312" w:hAnsi="仿宋_GB2312" w:eastAsia="仿宋_GB2312" w:cs="仿宋_GB2312"/>
          <w:sz w:val="44"/>
          <w:szCs w:val="44"/>
        </w:rPr>
        <w:t>合理布局规划》实施之日起同时施行。</w:t>
      </w:r>
    </w:p>
    <w:p>
      <w:pPr>
        <w:spacing w:line="360" w:lineRule="auto"/>
        <w:rPr>
          <w:rFonts w:ascii="楷体" w:hAnsi="楷体" w:eastAsia="楷体" w:cs="楷体"/>
          <w:sz w:val="32"/>
          <w:szCs w:val="32"/>
        </w:rPr>
      </w:pPr>
    </w:p>
    <w:p>
      <w:pPr>
        <w:spacing w:before="312" w:beforeLines="100" w:after="312" w:afterLines="100" w:line="360" w:lineRule="auto"/>
        <w:rPr>
          <w:rFonts w:ascii="黑体" w:hAnsi="黑体" w:eastAsia="黑体" w:cs="黑体"/>
          <w:sz w:val="32"/>
          <w:szCs w:val="32"/>
        </w:rPr>
      </w:pPr>
    </w:p>
    <w:sectPr>
      <w:pgSz w:w="16838" w:h="23811"/>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国标黑体">
    <w:panose1 w:val="02000500000000000000"/>
    <w:charset w:val="86"/>
    <w:family w:val="auto"/>
    <w:pitch w:val="default"/>
    <w:sig w:usb0="00000001" w:usb1="08000000" w:usb2="00000000" w:usb3="00000000" w:csb0="00060007"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E1C5B8"/>
    <w:multiLevelType w:val="multilevel"/>
    <w:tmpl w:val="ACE1C5B8"/>
    <w:lvl w:ilvl="0" w:tentative="0">
      <w:start w:val="1"/>
      <w:numFmt w:val="chineseCounting"/>
      <w:suff w:val="nothing"/>
      <w:lvlText w:val="第%1章 "/>
      <w:lvlJc w:val="left"/>
      <w:pPr>
        <w:ind w:left="0" w:firstLine="402"/>
      </w:pPr>
      <w:rPr>
        <w:rFonts w:hint="eastAsia" w:eastAsia="黑体"/>
        <w:sz w:val="48"/>
        <w:szCs w:val="48"/>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F7FCD2BF"/>
    <w:multiLevelType w:val="multilevel"/>
    <w:tmpl w:val="F7FCD2B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sz w:val="44"/>
        <w:szCs w:val="44"/>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0NWU0MzQ2M2UxODhiOThlNmJjN2ZhOTM3NmY1YmEifQ=="/>
  </w:docVars>
  <w:rsids>
    <w:rsidRoot w:val="5567B6FB"/>
    <w:rsid w:val="0004642A"/>
    <w:rsid w:val="0006391E"/>
    <w:rsid w:val="0014672A"/>
    <w:rsid w:val="004462F5"/>
    <w:rsid w:val="00476697"/>
    <w:rsid w:val="004A0D10"/>
    <w:rsid w:val="004E0CC8"/>
    <w:rsid w:val="00677C0D"/>
    <w:rsid w:val="006C2263"/>
    <w:rsid w:val="00707B05"/>
    <w:rsid w:val="00747E57"/>
    <w:rsid w:val="00765787"/>
    <w:rsid w:val="008F0E08"/>
    <w:rsid w:val="00927FF6"/>
    <w:rsid w:val="009D00C9"/>
    <w:rsid w:val="00B0713D"/>
    <w:rsid w:val="00BC17C8"/>
    <w:rsid w:val="00C31BB6"/>
    <w:rsid w:val="00D228FA"/>
    <w:rsid w:val="00D2741F"/>
    <w:rsid w:val="00DF58F4"/>
    <w:rsid w:val="00E02375"/>
    <w:rsid w:val="00EA35A6"/>
    <w:rsid w:val="079744B6"/>
    <w:rsid w:val="12291EA1"/>
    <w:rsid w:val="257539DE"/>
    <w:rsid w:val="27B76E38"/>
    <w:rsid w:val="336F0FE8"/>
    <w:rsid w:val="3FFE3F00"/>
    <w:rsid w:val="47D72BF6"/>
    <w:rsid w:val="4CB66CE5"/>
    <w:rsid w:val="4FFF780D"/>
    <w:rsid w:val="5567B6FB"/>
    <w:rsid w:val="59E75162"/>
    <w:rsid w:val="5C577036"/>
    <w:rsid w:val="5F77A049"/>
    <w:rsid w:val="5FFCBDD6"/>
    <w:rsid w:val="6EDBA522"/>
    <w:rsid w:val="74C36D94"/>
    <w:rsid w:val="76DE89DC"/>
    <w:rsid w:val="795F2E3C"/>
    <w:rsid w:val="7EE70D45"/>
    <w:rsid w:val="7FDCFDE9"/>
    <w:rsid w:val="7FED3179"/>
    <w:rsid w:val="AD6A34CF"/>
    <w:rsid w:val="B7EF1FCC"/>
    <w:rsid w:val="BB9DA536"/>
    <w:rsid w:val="BBBC87D8"/>
    <w:rsid w:val="BFD5B949"/>
    <w:rsid w:val="BFFD8431"/>
    <w:rsid w:val="DFBA1439"/>
    <w:rsid w:val="DFFEF499"/>
    <w:rsid w:val="E7B1AA13"/>
    <w:rsid w:val="EEFB10A9"/>
    <w:rsid w:val="EFA2DB1A"/>
    <w:rsid w:val="EFF91356"/>
    <w:rsid w:val="F77F429F"/>
    <w:rsid w:val="F7E832FE"/>
    <w:rsid w:val="F7E92626"/>
    <w:rsid w:val="F7FF7725"/>
    <w:rsid w:val="F7FF8FF0"/>
    <w:rsid w:val="FFF72C43"/>
    <w:rsid w:val="FFFFC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rFonts w:eastAsia="方正小标宋简体"/>
      <w:kern w:val="44"/>
      <w:sz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sz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20"/>
    <w:qFormat/>
    <w:uiPriority w:val="0"/>
    <w:rPr>
      <w:sz w:val="18"/>
      <w:szCs w:val="18"/>
    </w:rPr>
  </w:style>
  <w:style w:type="paragraph" w:styleId="5">
    <w:name w:val="footer"/>
    <w:basedOn w:val="1"/>
    <w:link w:val="19"/>
    <w:qFormat/>
    <w:uiPriority w:val="0"/>
    <w:pPr>
      <w:tabs>
        <w:tab w:val="center" w:pos="4153"/>
        <w:tab w:val="right" w:pos="8306"/>
      </w:tabs>
      <w:snapToGrid w:val="0"/>
      <w:jc w:val="left"/>
    </w:pPr>
    <w:rPr>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qFormat/>
    <w:uiPriority w:val="11"/>
    <w:pPr>
      <w:spacing w:before="240" w:after="240" w:line="312" w:lineRule="auto"/>
      <w:jc w:val="center"/>
      <w:outlineLvl w:val="1"/>
    </w:pPr>
    <w:rPr>
      <w:rFonts w:ascii="等线" w:hAnsi="等线" w:eastAsia="等线"/>
      <w:kern w:val="28"/>
      <w:sz w:val="40"/>
      <w:szCs w:val="40"/>
    </w:rPr>
  </w:style>
  <w:style w:type="character" w:styleId="10">
    <w:name w:val="Strong"/>
    <w:basedOn w:val="9"/>
    <w:qFormat/>
    <w:uiPriority w:val="0"/>
    <w:rPr>
      <w:b/>
    </w:rPr>
  </w:style>
  <w:style w:type="paragraph" w:customStyle="1" w:styleId="11">
    <w:name w:val="正文二级标题"/>
    <w:basedOn w:val="1"/>
    <w:qFormat/>
    <w:uiPriority w:val="0"/>
    <w:pPr>
      <w:widowControl/>
      <w:spacing w:before="480" w:after="120"/>
      <w:jc w:val="center"/>
      <w:outlineLvl w:val="0"/>
    </w:pPr>
    <w:rPr>
      <w:rFonts w:hint="eastAsia" w:ascii="黑体" w:hAnsi="黑体" w:eastAsia="黑体" w:cs="宋体"/>
      <w:b/>
      <w:kern w:val="0"/>
      <w:sz w:val="28"/>
      <w:szCs w:val="32"/>
    </w:rPr>
  </w:style>
  <w:style w:type="paragraph" w:customStyle="1" w:styleId="12">
    <w:name w:val="正文三级标题"/>
    <w:basedOn w:val="1"/>
    <w:qFormat/>
    <w:uiPriority w:val="0"/>
    <w:pPr>
      <w:widowControl/>
      <w:spacing w:before="240" w:after="120"/>
      <w:jc w:val="left"/>
      <w:outlineLvl w:val="0"/>
    </w:pPr>
    <w:rPr>
      <w:rFonts w:hint="eastAsia" w:ascii="黑体" w:hAnsi="黑体" w:eastAsia="黑体" w:cs="宋体"/>
      <w:kern w:val="0"/>
      <w:sz w:val="26"/>
      <w:szCs w:val="32"/>
    </w:rPr>
  </w:style>
  <w:style w:type="paragraph" w:customStyle="1" w:styleId="13">
    <w:name w:val="正文四级标题"/>
    <w:basedOn w:val="1"/>
    <w:qFormat/>
    <w:uiPriority w:val="0"/>
    <w:pPr>
      <w:widowControl/>
      <w:spacing w:before="240" w:after="120"/>
      <w:jc w:val="left"/>
      <w:outlineLvl w:val="0"/>
    </w:pPr>
    <w:rPr>
      <w:rFonts w:hint="eastAsia" w:ascii="黑体" w:hAnsi="黑体" w:eastAsia="黑体" w:cs="宋体"/>
      <w:kern w:val="0"/>
      <w:sz w:val="24"/>
      <w:szCs w:val="32"/>
    </w:rPr>
  </w:style>
  <w:style w:type="paragraph" w:customStyle="1" w:styleId="14">
    <w:name w:val="正文一级标题"/>
    <w:basedOn w:val="1"/>
    <w:qFormat/>
    <w:uiPriority w:val="0"/>
    <w:pPr>
      <w:widowControl/>
      <w:spacing w:before="480" w:after="360"/>
      <w:jc w:val="center"/>
      <w:outlineLvl w:val="0"/>
    </w:pPr>
    <w:rPr>
      <w:rFonts w:hint="eastAsia" w:ascii="黑体" w:hAnsi="黑体" w:eastAsia="黑体" w:cs="宋体"/>
      <w:b/>
      <w:kern w:val="0"/>
      <w:sz w:val="32"/>
      <w:szCs w:val="32"/>
    </w:rPr>
  </w:style>
  <w:style w:type="paragraph" w:customStyle="1" w:styleId="15">
    <w:name w:val="文字正文"/>
    <w:basedOn w:val="1"/>
    <w:link w:val="16"/>
    <w:qFormat/>
    <w:uiPriority w:val="0"/>
    <w:pPr>
      <w:spacing w:line="400" w:lineRule="exact"/>
      <w:ind w:left="200" w:leftChars="200" w:firstLine="721" w:firstLineChars="200"/>
    </w:pPr>
    <w:rPr>
      <w:rFonts w:hint="eastAsia" w:ascii="黑体" w:hAnsi="黑体" w:cs="宋体"/>
      <w:kern w:val="0"/>
      <w:sz w:val="24"/>
      <w:szCs w:val="28"/>
      <w:lang w:eastAsia="zh-Hans"/>
    </w:rPr>
  </w:style>
  <w:style w:type="character" w:customStyle="1" w:styleId="16">
    <w:name w:val="文字正文 Char"/>
    <w:link w:val="15"/>
    <w:qFormat/>
    <w:uiPriority w:val="0"/>
    <w:rPr>
      <w:rFonts w:hint="eastAsia" w:ascii="黑体" w:hAnsi="黑体" w:eastAsia="宋体" w:cs="宋体"/>
      <w:kern w:val="0"/>
      <w:sz w:val="24"/>
      <w:szCs w:val="28"/>
      <w:lang w:eastAsia="zh-Hans"/>
    </w:rPr>
  </w:style>
  <w:style w:type="paragraph" w:customStyle="1" w:styleId="17">
    <w:name w:val="摘要"/>
    <w:basedOn w:val="1"/>
    <w:qFormat/>
    <w:uiPriority w:val="0"/>
    <w:pPr>
      <w:spacing w:before="480" w:after="360"/>
      <w:jc w:val="center"/>
      <w:outlineLvl w:val="0"/>
    </w:pPr>
    <w:rPr>
      <w:rFonts w:hint="eastAsia" w:ascii="黑体" w:hAnsi="黑体" w:eastAsia="黑体"/>
      <w:b/>
      <w:bCs/>
      <w:sz w:val="36"/>
      <w:szCs w:val="36"/>
    </w:rPr>
  </w:style>
  <w:style w:type="character" w:customStyle="1" w:styleId="18">
    <w:name w:val="页眉 字符"/>
    <w:basedOn w:val="9"/>
    <w:link w:val="6"/>
    <w:qFormat/>
    <w:uiPriority w:val="0"/>
    <w:rPr>
      <w:kern w:val="2"/>
      <w:sz w:val="18"/>
      <w:szCs w:val="18"/>
    </w:rPr>
  </w:style>
  <w:style w:type="character" w:customStyle="1" w:styleId="19">
    <w:name w:val="页脚 字符"/>
    <w:basedOn w:val="9"/>
    <w:link w:val="5"/>
    <w:qFormat/>
    <w:uiPriority w:val="0"/>
    <w:rPr>
      <w:kern w:val="2"/>
      <w:sz w:val="18"/>
      <w:szCs w:val="18"/>
    </w:rPr>
  </w:style>
  <w:style w:type="character" w:customStyle="1" w:styleId="20">
    <w:name w:val="批注框文本 字符"/>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169</Words>
  <Characters>969</Characters>
  <Lines>8</Lines>
  <Paragraphs>2</Paragraphs>
  <TotalTime>2</TotalTime>
  <ScaleCrop>false</ScaleCrop>
  <LinksUpToDate>false</LinksUpToDate>
  <CharactersWithSpaces>1136</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2023-12-30T11:15:00Z</dcterms:created>
  <dc:creator>孙溧梁</dc:creator>
  <cp:lastModifiedBy>user</cp:lastModifiedBy>
  <cp:lastPrinted>2024-09-23T17:52:00Z</cp:lastPrinted>
  <dcterms:modified xsi:type="dcterms:W3CDTF">2026-08-12T10:21:35Z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AE3C15AE46C1C7637F17746A2D8D6ABE</vt:lpwstr>
  </property>
</Properties>
</file>