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17" w:lineRule="auto"/>
        <w:jc w:val="left"/>
        <w:rPr>
          <w:rFonts w:hint="default" w:ascii="国标黑体" w:hAnsi="国标黑体" w:eastAsia="国标黑体" w:cs="国标黑体"/>
          <w:sz w:val="44"/>
          <w:szCs w:val="44"/>
          <w:lang w:val="en-US" w:eastAsia="zh-CN"/>
        </w:rPr>
      </w:pPr>
      <w:r>
        <w:rPr>
          <w:rFonts w:hint="eastAsia" w:ascii="国标黑体" w:hAnsi="国标黑体" w:eastAsia="国标黑体" w:cs="国标黑体"/>
          <w:sz w:val="44"/>
          <w:szCs w:val="44"/>
          <w:lang w:eastAsia="zh-CN"/>
        </w:rPr>
        <w:t>附件</w:t>
      </w:r>
      <w:r>
        <w:rPr>
          <w:rFonts w:hint="eastAsia" w:ascii="国标黑体" w:hAnsi="国标黑体" w:eastAsia="国标黑体" w:cs="国标黑体"/>
          <w:sz w:val="44"/>
          <w:szCs w:val="44"/>
          <w:lang w:val="en-US" w:eastAsia="zh-CN"/>
        </w:rPr>
        <w:t>6：</w:t>
      </w:r>
      <w:bookmarkStart w:id="0" w:name="_GoBack"/>
      <w:bookmarkEnd w:id="0"/>
    </w:p>
    <w:p>
      <w:pPr>
        <w:snapToGrid w:val="0"/>
        <w:spacing w:line="317" w:lineRule="auto"/>
        <w:jc w:val="center"/>
        <w:rPr>
          <w:rFonts w:ascii="仿宋_GB2312" w:hAnsi="仿宋_GB2312" w:eastAsia="仿宋_GB2312" w:cs="仿宋_GB2312"/>
          <w:sz w:val="72"/>
          <w:szCs w:val="72"/>
        </w:rPr>
      </w:pPr>
      <w:r>
        <w:rPr>
          <w:rFonts w:hint="eastAsia" w:ascii="方正小标宋简体" w:eastAsia="方正小标宋简体"/>
          <w:sz w:val="72"/>
          <w:szCs w:val="72"/>
        </w:rPr>
        <w:t>云南省嵩明县烟草专卖局烟草制品零售点集中摇号管理制度</w:t>
      </w:r>
    </w:p>
    <w:p>
      <w:pPr>
        <w:numPr>
          <w:ilvl w:val="0"/>
          <w:numId w:val="1"/>
        </w:numPr>
        <w:spacing w:before="312" w:beforeLines="100" w:after="312" w:afterLines="100" w:line="360" w:lineRule="auto"/>
        <w:ind w:firstLine="403"/>
        <w:jc w:val="center"/>
        <w:rPr>
          <w:rFonts w:ascii="黑体" w:hAnsi="黑体" w:eastAsia="黑体" w:cs="黑体"/>
          <w:sz w:val="48"/>
          <w:szCs w:val="48"/>
        </w:rPr>
      </w:pPr>
      <w:r>
        <w:rPr>
          <w:rFonts w:hint="eastAsia" w:ascii="黑体" w:hAnsi="黑体" w:eastAsia="黑体" w:cs="黑体"/>
          <w:sz w:val="48"/>
          <w:szCs w:val="48"/>
        </w:rPr>
        <w:t>总则</w:t>
      </w:r>
    </w:p>
    <w:p>
      <w:pPr>
        <w:numPr>
          <w:ilvl w:val="2"/>
          <w:numId w:val="2"/>
        </w:numPr>
        <w:spacing w:line="360" w:lineRule="auto"/>
        <w:ind w:firstLine="680"/>
        <w:rPr>
          <w:rFonts w:ascii="仿宋_GB2312" w:hAnsi="仿宋_GB2312" w:eastAsia="仿宋_GB2312" w:cs="仿宋_GB2312"/>
          <w:sz w:val="44"/>
          <w:szCs w:val="44"/>
        </w:rPr>
      </w:pPr>
      <w:r>
        <w:rPr>
          <w:rFonts w:hint="eastAsia" w:ascii="仿宋_GB2312" w:hAnsi="仿宋_GB2312" w:eastAsia="仿宋_GB2312" w:cs="仿宋_GB2312"/>
          <w:sz w:val="44"/>
          <w:szCs w:val="44"/>
        </w:rPr>
        <w:t>为坚持公平、公正、公开原则，规范实施《云南省嵩明县烟草制品零售点合理布局规划》，根据《中华人民共和国行政许可法》《烟草专卖许可证管理办法》《烟草专卖许可证管理办法实施细则》等法律法规和规章的规定，结合嵩明县县实际，制定本制度。</w:t>
      </w:r>
    </w:p>
    <w:p>
      <w:pPr>
        <w:numPr>
          <w:ilvl w:val="2"/>
          <w:numId w:val="2"/>
        </w:numPr>
        <w:spacing w:line="360" w:lineRule="auto"/>
        <w:rPr>
          <w:rFonts w:ascii="仿宋_GB2312" w:hAnsi="仿宋_GB2312" w:eastAsia="仿宋_GB2312" w:cs="仿宋_GB2312"/>
          <w:sz w:val="44"/>
          <w:szCs w:val="44"/>
        </w:rPr>
      </w:pPr>
      <w:r>
        <w:rPr>
          <w:rFonts w:hint="eastAsia" w:ascii="仿宋_GB2312" w:hAnsi="仿宋_GB2312" w:eastAsia="仿宋_GB2312" w:cs="仿宋_GB2312"/>
          <w:sz w:val="44"/>
          <w:szCs w:val="44"/>
        </w:rPr>
        <w:t>本制度适用于云南省嵩明县行政辖区（含托管的盘龙区滇源、阿子营街道）范围内烟草制品零售点新办申请事项的集中摇号管理。</w:t>
      </w:r>
    </w:p>
    <w:p>
      <w:pPr>
        <w:numPr>
          <w:ilvl w:val="2"/>
          <w:numId w:val="2"/>
        </w:numPr>
        <w:spacing w:line="360" w:lineRule="auto"/>
        <w:rPr>
          <w:rFonts w:ascii="仿宋_GB2312" w:hAnsi="仿宋_GB2312" w:eastAsia="仿宋_GB2312" w:cs="仿宋_GB2312"/>
          <w:sz w:val="44"/>
          <w:szCs w:val="44"/>
        </w:rPr>
      </w:pPr>
      <w:r>
        <w:rPr>
          <w:rFonts w:hint="eastAsia" w:ascii="仿宋_GB2312" w:hAnsi="仿宋_GB2312" w:eastAsia="仿宋_GB2312" w:cs="仿宋_GB2312"/>
          <w:kern w:val="28"/>
          <w:sz w:val="44"/>
          <w:szCs w:val="44"/>
        </w:rPr>
        <w:t>本县</w:t>
      </w:r>
      <w:r>
        <w:rPr>
          <w:rFonts w:hint="eastAsia" w:ascii="仿宋_GB2312" w:hAnsi="仿宋_GB2312" w:eastAsia="仿宋_GB2312" w:cs="仿宋_GB2312"/>
          <w:sz w:val="44"/>
          <w:szCs w:val="44"/>
        </w:rPr>
        <w:t>行政辖区</w:t>
      </w:r>
      <w:r>
        <w:rPr>
          <w:rFonts w:hint="eastAsia" w:ascii="仿宋_GB2312" w:hAnsi="仿宋_GB2312" w:eastAsia="仿宋_GB2312" w:cs="仿宋_GB2312"/>
          <w:kern w:val="28"/>
          <w:sz w:val="44"/>
          <w:szCs w:val="44"/>
        </w:rPr>
        <w:t>最小单元网格内的零售点实际数量大于或等于</w:t>
      </w:r>
      <w:r>
        <w:rPr>
          <w:rFonts w:hint="eastAsia" w:ascii="仿宋_GB2312" w:hAnsi="仿宋_GB2312" w:eastAsia="仿宋_GB2312" w:cs="仿宋_GB2312"/>
          <w:sz w:val="44"/>
          <w:szCs w:val="44"/>
        </w:rPr>
        <w:t>合理容量</w:t>
      </w:r>
      <w:r>
        <w:rPr>
          <w:rFonts w:hint="eastAsia" w:ascii="仿宋_GB2312" w:hAnsi="仿宋_GB2312" w:eastAsia="仿宋_GB2312" w:cs="仿宋_GB2312"/>
          <w:kern w:val="28"/>
          <w:sz w:val="44"/>
          <w:szCs w:val="44"/>
        </w:rPr>
        <w:t>时不再设新的零售点，不组织集中摇号。行政辖区内的零售点实际数量小于合理容量时，组织集中摇号。新办申请人应按本制度规定的程序和要求，提出参与对应最小单元网格集中摇号申请</w:t>
      </w:r>
      <w:r>
        <w:rPr>
          <w:rFonts w:hint="eastAsia" w:ascii="仿宋_GB2312" w:hAnsi="仿宋_GB2312" w:eastAsia="仿宋_GB2312" w:cs="仿宋_GB2312"/>
          <w:sz w:val="44"/>
          <w:szCs w:val="44"/>
        </w:rPr>
        <w:t>，再按照集中摇号的结果顺序通过预审核后，按顺序依次提交新办申请。</w:t>
      </w:r>
    </w:p>
    <w:p>
      <w:pPr>
        <w:numPr>
          <w:ilvl w:val="0"/>
          <w:numId w:val="1"/>
        </w:numPr>
        <w:spacing w:before="312" w:beforeLines="100" w:after="312" w:afterLines="100" w:line="360" w:lineRule="auto"/>
        <w:ind w:firstLine="403"/>
        <w:jc w:val="center"/>
        <w:rPr>
          <w:rFonts w:ascii="黑体" w:hAnsi="黑体" w:eastAsia="黑体" w:cs="黑体"/>
          <w:sz w:val="48"/>
          <w:szCs w:val="48"/>
        </w:rPr>
      </w:pPr>
      <w:r>
        <w:rPr>
          <w:rFonts w:hint="eastAsia" w:ascii="黑体" w:hAnsi="黑体" w:eastAsia="黑体" w:cs="黑体"/>
          <w:sz w:val="48"/>
          <w:szCs w:val="48"/>
        </w:rPr>
        <w:t>程序及要求</w:t>
      </w:r>
    </w:p>
    <w:p>
      <w:pPr>
        <w:numPr>
          <w:ilvl w:val="2"/>
          <w:numId w:val="2"/>
        </w:numPr>
        <w:spacing w:line="360" w:lineRule="auto"/>
        <w:ind w:firstLine="880" w:firstLineChars="200"/>
        <w:rPr>
          <w:rFonts w:ascii="楷体" w:hAnsi="楷体" w:eastAsia="楷体" w:cs="楷体"/>
          <w:sz w:val="44"/>
          <w:szCs w:val="44"/>
        </w:rPr>
      </w:pPr>
      <w:r>
        <w:rPr>
          <w:rFonts w:hint="eastAsia" w:ascii="仿宋_GB2312" w:hAnsi="黑体" w:eastAsia="仿宋_GB2312"/>
          <w:sz w:val="44"/>
          <w:szCs w:val="44"/>
        </w:rPr>
        <w:t>本制度仅对当期可新增零售点的最小单元网格开展集中摇号管理。根据</w:t>
      </w:r>
      <w:r>
        <w:rPr>
          <w:rFonts w:hint="eastAsia" w:ascii="仿宋_GB2312" w:hAnsi="仿宋_GB2312" w:eastAsia="仿宋_GB2312" w:cs="仿宋_GB2312"/>
          <w:kern w:val="28"/>
          <w:sz w:val="44"/>
          <w:szCs w:val="44"/>
        </w:rPr>
        <w:t>本县</w:t>
      </w:r>
      <w:r>
        <w:rPr>
          <w:rFonts w:hint="eastAsia" w:ascii="仿宋_GB2312" w:hAnsi="仿宋_GB2312" w:eastAsia="仿宋_GB2312" w:cs="仿宋_GB2312"/>
          <w:sz w:val="44"/>
          <w:szCs w:val="44"/>
        </w:rPr>
        <w:t>行政辖区</w:t>
      </w:r>
      <w:r>
        <w:rPr>
          <w:rFonts w:hint="eastAsia" w:ascii="仿宋_GB2312" w:hAnsi="仿宋_GB2312" w:eastAsia="仿宋_GB2312" w:cs="仿宋_GB2312"/>
          <w:kern w:val="28"/>
          <w:sz w:val="44"/>
          <w:szCs w:val="44"/>
        </w:rPr>
        <w:t>最小单元网格的合理容量公示情况，对符合集中摇号情形的最小单元网格，发证机关对外发布集中摇号的报名地点、时间和方式。</w:t>
      </w:r>
    </w:p>
    <w:p>
      <w:pPr>
        <w:numPr>
          <w:ilvl w:val="2"/>
          <w:numId w:val="2"/>
        </w:numPr>
        <w:spacing w:line="360" w:lineRule="auto"/>
        <w:rPr>
          <w:rFonts w:ascii="楷体" w:hAnsi="楷体" w:eastAsia="楷体" w:cs="楷体"/>
          <w:sz w:val="44"/>
          <w:szCs w:val="44"/>
        </w:rPr>
      </w:pPr>
      <w:r>
        <w:rPr>
          <w:rFonts w:hint="eastAsia" w:ascii="仿宋_GB2312" w:hAnsi="黑体" w:eastAsia="仿宋_GB2312"/>
          <w:sz w:val="44"/>
          <w:szCs w:val="44"/>
        </w:rPr>
        <w:t>申请人应依据《云南省嵩明县烟草专卖局烟草制品零售点布局规划公示》的情况，申请人的实际经营地址应符合当期可新增零售点的最小单元网格辖区的要求，按发证机关对外发布的时间、地点，自愿填写并提交《云南省嵩明县烟草专卖局烟草制品零售点集中摇号申请表》</w:t>
      </w:r>
      <w:r>
        <w:rPr>
          <w:rFonts w:hint="eastAsia" w:ascii="仿宋_GB2312" w:hAnsi="仿宋_GB2312" w:eastAsia="仿宋_GB2312" w:cs="仿宋_GB2312"/>
          <w:kern w:val="28"/>
          <w:sz w:val="44"/>
          <w:szCs w:val="44"/>
        </w:rPr>
        <w:t>。</w:t>
      </w:r>
    </w:p>
    <w:p>
      <w:pPr>
        <w:numPr>
          <w:ilvl w:val="2"/>
          <w:numId w:val="2"/>
        </w:numPr>
        <w:spacing w:line="360" w:lineRule="auto"/>
        <w:rPr>
          <w:rFonts w:ascii="楷体" w:hAnsi="楷体" w:eastAsia="楷体" w:cs="楷体"/>
          <w:sz w:val="44"/>
          <w:szCs w:val="44"/>
        </w:rPr>
      </w:pPr>
      <w:r>
        <w:rPr>
          <w:rFonts w:hint="eastAsia" w:ascii="仿宋_GB2312" w:hAnsi="仿宋_GB2312" w:eastAsia="仿宋_GB2312" w:cs="仿宋_GB2312"/>
          <w:kern w:val="28"/>
          <w:sz w:val="44"/>
          <w:szCs w:val="44"/>
        </w:rPr>
        <w:t>集中摇号按照“提前申请—集中公证摇号—公示摇号结果”的程序进行。集中摇号结束后，按照摇号结果顺序预审核，通过预审核的，将按照顺序依次接收新办申请资料，发证机关安排实地核查，直至满足当期可新增零售点的最小单元网格合理容量。</w:t>
      </w:r>
    </w:p>
    <w:p>
      <w:pPr>
        <w:numPr>
          <w:ilvl w:val="2"/>
          <w:numId w:val="2"/>
        </w:numPr>
        <w:spacing w:line="360" w:lineRule="auto"/>
        <w:rPr>
          <w:rFonts w:ascii="楷体" w:hAnsi="楷体" w:eastAsia="楷体" w:cs="楷体"/>
          <w:sz w:val="44"/>
          <w:szCs w:val="44"/>
        </w:rPr>
      </w:pPr>
      <w:r>
        <w:rPr>
          <w:rFonts w:hint="eastAsia" w:ascii="仿宋_GB2312" w:hAnsi="楷体" w:eastAsia="仿宋_GB2312" w:cs="楷体"/>
          <w:sz w:val="44"/>
          <w:szCs w:val="44"/>
        </w:rPr>
        <w:t>按集中摇号顺序实地核查未满足可增设烟草制品零售点的单元网格合理容量时，申请人依据可增设烟草制品零售点的单元网格进行预登记，发证机关根据情况在本季度最后一个月组织集中摇号。</w:t>
      </w:r>
    </w:p>
    <w:p>
      <w:pPr>
        <w:numPr>
          <w:ilvl w:val="2"/>
          <w:numId w:val="2"/>
        </w:numPr>
        <w:spacing w:line="360" w:lineRule="auto"/>
        <w:rPr>
          <w:rFonts w:ascii="楷体" w:hAnsi="楷体" w:eastAsia="楷体" w:cs="楷体"/>
          <w:sz w:val="44"/>
          <w:szCs w:val="44"/>
        </w:rPr>
      </w:pPr>
      <w:r>
        <w:rPr>
          <w:rFonts w:hint="eastAsia" w:ascii="仿宋_GB2312" w:hAnsi="仿宋_GB2312" w:eastAsia="仿宋_GB2312" w:cs="仿宋_GB2312"/>
          <w:kern w:val="28"/>
          <w:sz w:val="44"/>
          <w:szCs w:val="44"/>
        </w:rPr>
        <w:t>当期可新增零售点的最小单元网格合理容量出现空缺的，下一季度进行动态调整公示后执行。</w:t>
      </w:r>
    </w:p>
    <w:p>
      <w:pPr>
        <w:numPr>
          <w:ilvl w:val="2"/>
          <w:numId w:val="2"/>
        </w:numPr>
        <w:spacing w:line="360" w:lineRule="auto"/>
        <w:rPr>
          <w:rFonts w:ascii="楷体" w:hAnsi="楷体" w:eastAsia="楷体" w:cs="楷体"/>
          <w:sz w:val="44"/>
          <w:szCs w:val="44"/>
        </w:rPr>
      </w:pPr>
      <w:r>
        <w:rPr>
          <w:rFonts w:hint="eastAsia" w:ascii="仿宋_GB2312" w:hAnsi="仿宋_GB2312" w:eastAsia="仿宋_GB2312" w:cs="仿宋_GB2312"/>
          <w:sz w:val="44"/>
          <w:szCs w:val="44"/>
        </w:rPr>
        <w:t>申请人应当自愿以书面方式提出申请，在填报集中摇号信息时应与新办资料信息一致，确保准确、真实。出现信息不一致、错误或者弄虚作假的，一律取消当期集中摇号资格、集中摇号结果。</w:t>
      </w:r>
    </w:p>
    <w:p>
      <w:pPr>
        <w:numPr>
          <w:ilvl w:val="2"/>
          <w:numId w:val="2"/>
        </w:numPr>
        <w:spacing w:line="360" w:lineRule="auto"/>
        <w:rPr>
          <w:rFonts w:ascii="仿宋_GB2312" w:hAnsi="仿宋_GB2312" w:eastAsia="仿宋_GB2312" w:cs="仿宋_GB2312"/>
          <w:sz w:val="44"/>
          <w:szCs w:val="44"/>
        </w:rPr>
      </w:pPr>
      <w:r>
        <w:rPr>
          <w:rFonts w:hint="eastAsia" w:ascii="仿宋_GB2312" w:hAnsi="仿宋_GB2312" w:eastAsia="仿宋_GB2312" w:cs="仿宋_GB2312"/>
          <w:sz w:val="44"/>
          <w:szCs w:val="44"/>
        </w:rPr>
        <w:t>到号办理时，由发证机关按照集中摇号顺序号和申请表约定的联系方式依次通知申请人。</w:t>
      </w:r>
    </w:p>
    <w:p>
      <w:pPr>
        <w:numPr>
          <w:ilvl w:val="2"/>
          <w:numId w:val="2"/>
        </w:numPr>
        <w:spacing w:line="360" w:lineRule="auto"/>
        <w:rPr>
          <w:rFonts w:ascii="仿宋_GB2312" w:hAnsi="仿宋_GB2312" w:eastAsia="仿宋_GB2312" w:cs="仿宋_GB2312"/>
          <w:sz w:val="44"/>
          <w:szCs w:val="44"/>
        </w:rPr>
      </w:pPr>
      <w:r>
        <w:rPr>
          <w:rFonts w:hint="eastAsia" w:ascii="仿宋_GB2312" w:hAnsi="仿宋_GB2312" w:eastAsia="仿宋_GB2312" w:cs="仿宋_GB2312"/>
          <w:sz w:val="44"/>
          <w:szCs w:val="44"/>
        </w:rPr>
        <w:t>当期未办理成功的申请人，可重新参与下一季度的集中摇号。</w:t>
      </w:r>
    </w:p>
    <w:p>
      <w:pPr>
        <w:numPr>
          <w:ilvl w:val="0"/>
          <w:numId w:val="1"/>
        </w:numPr>
        <w:spacing w:before="312" w:beforeLines="100" w:after="312" w:afterLines="100" w:line="360" w:lineRule="auto"/>
        <w:ind w:firstLine="403"/>
        <w:jc w:val="center"/>
        <w:rPr>
          <w:rFonts w:ascii="黑体" w:hAnsi="黑体" w:eastAsia="黑体" w:cs="黑体"/>
          <w:sz w:val="48"/>
          <w:szCs w:val="48"/>
        </w:rPr>
      </w:pPr>
      <w:r>
        <w:rPr>
          <w:rFonts w:hint="eastAsia" w:ascii="黑体" w:hAnsi="黑体" w:eastAsia="黑体" w:cs="黑体"/>
          <w:sz w:val="48"/>
          <w:szCs w:val="48"/>
        </w:rPr>
        <w:t>监督检查</w:t>
      </w:r>
    </w:p>
    <w:p>
      <w:pPr>
        <w:numPr>
          <w:ilvl w:val="2"/>
          <w:numId w:val="2"/>
        </w:numPr>
        <w:spacing w:line="360" w:lineRule="auto"/>
        <w:rPr>
          <w:rFonts w:ascii="楷体" w:hAnsi="楷体" w:eastAsia="楷体" w:cs="楷体"/>
          <w:sz w:val="44"/>
          <w:szCs w:val="44"/>
        </w:rPr>
      </w:pPr>
      <w:r>
        <w:rPr>
          <w:rFonts w:hint="eastAsia" w:ascii="仿宋_GB2312" w:hAnsi="仿宋_GB2312" w:eastAsia="仿宋_GB2312" w:cs="仿宋_GB2312"/>
          <w:sz w:val="44"/>
          <w:szCs w:val="44"/>
        </w:rPr>
        <w:t>嵩明县烟草专卖局每年年底向上一级烟草专卖局报告本年度烟草制品零售点集中摇号管理工作情况。</w:t>
      </w:r>
    </w:p>
    <w:p>
      <w:pPr>
        <w:numPr>
          <w:ilvl w:val="2"/>
          <w:numId w:val="2"/>
        </w:numPr>
        <w:spacing w:line="360" w:lineRule="auto"/>
        <w:rPr>
          <w:rFonts w:ascii="楷体" w:hAnsi="楷体" w:eastAsia="楷体" w:cs="楷体"/>
          <w:sz w:val="44"/>
          <w:szCs w:val="44"/>
        </w:rPr>
      </w:pPr>
      <w:r>
        <w:rPr>
          <w:rFonts w:hint="eastAsia" w:ascii="仿宋_GB2312" w:hAnsi="仿宋_GB2312" w:eastAsia="仿宋_GB2312" w:cs="仿宋_GB2312"/>
          <w:sz w:val="44"/>
          <w:szCs w:val="44"/>
        </w:rPr>
        <w:t>嵩明县烟草专卖局接受广大群众监督，防范违法违规行为的发生，监督电话：0871-67921299、12313。</w:t>
      </w:r>
    </w:p>
    <w:p>
      <w:pPr>
        <w:numPr>
          <w:ilvl w:val="2"/>
          <w:numId w:val="2"/>
        </w:numPr>
        <w:spacing w:line="360" w:lineRule="auto"/>
        <w:ind w:firstLine="680"/>
        <w:rPr>
          <w:rFonts w:ascii="黑体" w:hAnsi="黑体" w:eastAsia="黑体" w:cs="黑体"/>
          <w:sz w:val="44"/>
          <w:szCs w:val="44"/>
        </w:rPr>
      </w:pPr>
      <w:r>
        <w:rPr>
          <w:rFonts w:hint="eastAsia" w:ascii="仿宋_GB2312" w:hAnsi="仿宋_GB2312" w:eastAsia="仿宋_GB2312" w:cs="仿宋_GB2312"/>
          <w:sz w:val="44"/>
          <w:szCs w:val="44"/>
        </w:rPr>
        <w:t>发证机关接收和办理集中摇号业务，不得收取任何费用。</w:t>
      </w:r>
    </w:p>
    <w:p>
      <w:pPr>
        <w:numPr>
          <w:ilvl w:val="0"/>
          <w:numId w:val="1"/>
        </w:numPr>
        <w:spacing w:before="312" w:beforeLines="100" w:after="312" w:afterLines="100" w:line="360" w:lineRule="auto"/>
        <w:ind w:firstLine="403"/>
        <w:jc w:val="center"/>
        <w:rPr>
          <w:rFonts w:ascii="黑体" w:hAnsi="黑体" w:eastAsia="黑体" w:cs="黑体"/>
          <w:sz w:val="48"/>
          <w:szCs w:val="48"/>
        </w:rPr>
      </w:pPr>
      <w:r>
        <w:rPr>
          <w:rFonts w:hint="eastAsia" w:ascii="黑体" w:hAnsi="黑体" w:eastAsia="黑体" w:cs="黑体"/>
          <w:sz w:val="48"/>
          <w:szCs w:val="48"/>
        </w:rPr>
        <w:t>附则</w:t>
      </w:r>
    </w:p>
    <w:p>
      <w:pPr>
        <w:numPr>
          <w:ilvl w:val="2"/>
          <w:numId w:val="2"/>
        </w:numPr>
        <w:spacing w:line="360" w:lineRule="auto"/>
        <w:ind w:firstLine="680"/>
        <w:rPr>
          <w:rFonts w:ascii="仿宋_GB2312" w:hAnsi="仿宋_GB2312" w:eastAsia="仿宋_GB2312" w:cs="仿宋_GB2312"/>
          <w:sz w:val="44"/>
          <w:szCs w:val="44"/>
        </w:rPr>
      </w:pPr>
      <w:r>
        <w:rPr>
          <w:rFonts w:hint="eastAsia" w:ascii="仿宋_GB2312" w:hAnsi="仿宋_GB2312" w:eastAsia="仿宋_GB2312" w:cs="仿宋_GB2312"/>
          <w:sz w:val="44"/>
          <w:szCs w:val="44"/>
        </w:rPr>
        <w:t>本制度中按照年、月、日计算期间的，开始的当日不计入，自下一日开始计算。均以工作日计算，不含法定节假日。</w:t>
      </w:r>
    </w:p>
    <w:p>
      <w:pPr>
        <w:numPr>
          <w:ilvl w:val="2"/>
          <w:numId w:val="2"/>
        </w:numPr>
        <w:spacing w:line="360" w:lineRule="auto"/>
        <w:ind w:firstLine="680"/>
        <w:rPr>
          <w:rFonts w:ascii="仿宋_GB2312" w:hAnsi="仿宋_GB2312" w:eastAsia="仿宋_GB2312" w:cs="仿宋_GB2312"/>
          <w:sz w:val="44"/>
          <w:szCs w:val="44"/>
        </w:rPr>
      </w:pPr>
      <w:r>
        <w:rPr>
          <w:rFonts w:hint="eastAsia" w:ascii="仿宋_GB2312" w:hAnsi="仿宋_GB2312" w:eastAsia="仿宋_GB2312" w:cs="仿宋_GB2312"/>
          <w:sz w:val="44"/>
          <w:szCs w:val="44"/>
        </w:rPr>
        <w:t>本制度由云南省嵩明县烟草专卖局负责解释。</w:t>
      </w:r>
    </w:p>
    <w:p>
      <w:pPr>
        <w:numPr>
          <w:ilvl w:val="2"/>
          <w:numId w:val="2"/>
        </w:numPr>
        <w:spacing w:line="360" w:lineRule="auto"/>
        <w:ind w:firstLine="680"/>
        <w:rPr>
          <w:rFonts w:ascii="楷体" w:hAnsi="楷体" w:eastAsia="楷体" w:cs="楷体"/>
          <w:sz w:val="44"/>
          <w:szCs w:val="44"/>
        </w:rPr>
      </w:pPr>
      <w:r>
        <w:rPr>
          <w:rFonts w:hint="eastAsia" w:ascii="仿宋_GB2312" w:hAnsi="仿宋_GB2312" w:eastAsia="仿宋_GB2312" w:cs="仿宋_GB2312"/>
          <w:sz w:val="44"/>
          <w:szCs w:val="44"/>
        </w:rPr>
        <w:t>本制度自《云南省嵩明县烟草制品零售点合理布局规划》实施之日起同时施行。</w:t>
      </w:r>
    </w:p>
    <w:p>
      <w:pPr>
        <w:spacing w:line="360" w:lineRule="auto"/>
        <w:ind w:left="402" w:firstLine="640" w:firstLineChars="200"/>
        <w:rPr>
          <w:rFonts w:ascii="仿宋_GB2312" w:hAnsi="仿宋_GB2312" w:eastAsia="仿宋_GB2312" w:cs="仿宋_GB2312"/>
          <w:sz w:val="32"/>
          <w:szCs w:val="32"/>
        </w:rPr>
      </w:pPr>
    </w:p>
    <w:sectPr>
      <w:pgSz w:w="16838" w:h="23811"/>
      <w:pgMar w:top="1276" w:right="1800" w:bottom="1135"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Arial">
    <w:altName w:val="DejaVu Sans"/>
    <w:panose1 w:val="020B0604020202020204"/>
    <w:charset w:val="00"/>
    <w:family w:val="swiss"/>
    <w:pitch w:val="default"/>
    <w:sig w:usb0="00000000" w:usb1="00000000" w:usb2="00000009" w:usb3="00000000" w:csb0="000001FF" w:csb1="00000000"/>
  </w:font>
  <w:font w:name="方正黑体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国标黑体">
    <w:panose1 w:val="02000500000000000000"/>
    <w:charset w:val="86"/>
    <w:family w:val="auto"/>
    <w:pitch w:val="default"/>
    <w:sig w:usb0="00000001" w:usb1="08000000" w:usb2="00000000" w:usb3="00000000" w:csb0="000600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E1C5B8"/>
    <w:multiLevelType w:val="multilevel"/>
    <w:tmpl w:val="ACE1C5B8"/>
    <w:lvl w:ilvl="0" w:tentative="0">
      <w:start w:val="1"/>
      <w:numFmt w:val="chineseCounting"/>
      <w:suff w:val="nothing"/>
      <w:lvlText w:val="第%1章 "/>
      <w:lvlJc w:val="left"/>
      <w:pPr>
        <w:ind w:left="0" w:firstLine="402"/>
      </w:pPr>
      <w:rPr>
        <w:rFonts w:hint="eastAsia" w:eastAsia="黑体"/>
        <w:sz w:val="48"/>
        <w:szCs w:val="48"/>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F7FCD2BF"/>
    <w:multiLevelType w:val="multilevel"/>
    <w:tmpl w:val="F7FCD2BF"/>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eastAsia="黑体"/>
        <w:color w:val="auto"/>
        <w:sz w:val="44"/>
        <w:szCs w:val="44"/>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0NWU0MzQ2M2UxODhiOThlNmJjN2ZhOTM3NmY1YmEifQ=="/>
  </w:docVars>
  <w:rsids>
    <w:rsidRoot w:val="5567B6FB"/>
    <w:rsid w:val="00001828"/>
    <w:rsid w:val="0002460F"/>
    <w:rsid w:val="000267F1"/>
    <w:rsid w:val="00031E37"/>
    <w:rsid w:val="0003759B"/>
    <w:rsid w:val="0007425F"/>
    <w:rsid w:val="0007543C"/>
    <w:rsid w:val="000812FE"/>
    <w:rsid w:val="00087338"/>
    <w:rsid w:val="00096FD3"/>
    <w:rsid w:val="000A1264"/>
    <w:rsid w:val="000C7DC3"/>
    <w:rsid w:val="0011363A"/>
    <w:rsid w:val="001144D2"/>
    <w:rsid w:val="001219BB"/>
    <w:rsid w:val="0012503B"/>
    <w:rsid w:val="00131028"/>
    <w:rsid w:val="0014628F"/>
    <w:rsid w:val="00157C82"/>
    <w:rsid w:val="00171380"/>
    <w:rsid w:val="00194F4C"/>
    <w:rsid w:val="00195FDD"/>
    <w:rsid w:val="00197446"/>
    <w:rsid w:val="001B55C6"/>
    <w:rsid w:val="001B75C9"/>
    <w:rsid w:val="001E6077"/>
    <w:rsid w:val="001F21E1"/>
    <w:rsid w:val="001F2689"/>
    <w:rsid w:val="001F77AB"/>
    <w:rsid w:val="002079B4"/>
    <w:rsid w:val="00226E0F"/>
    <w:rsid w:val="0024539B"/>
    <w:rsid w:val="0024589B"/>
    <w:rsid w:val="002458DA"/>
    <w:rsid w:val="00253162"/>
    <w:rsid w:val="00267CD0"/>
    <w:rsid w:val="002916A5"/>
    <w:rsid w:val="0032179D"/>
    <w:rsid w:val="003252BC"/>
    <w:rsid w:val="003540EB"/>
    <w:rsid w:val="00356A1E"/>
    <w:rsid w:val="00370F99"/>
    <w:rsid w:val="00373412"/>
    <w:rsid w:val="003C6527"/>
    <w:rsid w:val="003D77C9"/>
    <w:rsid w:val="0040263E"/>
    <w:rsid w:val="004229AF"/>
    <w:rsid w:val="00471E95"/>
    <w:rsid w:val="00484C7D"/>
    <w:rsid w:val="0048586B"/>
    <w:rsid w:val="00497EBC"/>
    <w:rsid w:val="004B4CC6"/>
    <w:rsid w:val="004D242C"/>
    <w:rsid w:val="00521C25"/>
    <w:rsid w:val="005267D5"/>
    <w:rsid w:val="00541D72"/>
    <w:rsid w:val="005565BD"/>
    <w:rsid w:val="00593E54"/>
    <w:rsid w:val="00594B15"/>
    <w:rsid w:val="005969EB"/>
    <w:rsid w:val="005A4C56"/>
    <w:rsid w:val="005E01AF"/>
    <w:rsid w:val="005E5DFA"/>
    <w:rsid w:val="00602DFF"/>
    <w:rsid w:val="006039EC"/>
    <w:rsid w:val="006125C1"/>
    <w:rsid w:val="00622E85"/>
    <w:rsid w:val="006322CD"/>
    <w:rsid w:val="0063739F"/>
    <w:rsid w:val="0064595F"/>
    <w:rsid w:val="006461A0"/>
    <w:rsid w:val="00646D93"/>
    <w:rsid w:val="00647DA3"/>
    <w:rsid w:val="00663A6A"/>
    <w:rsid w:val="006927FE"/>
    <w:rsid w:val="00696388"/>
    <w:rsid w:val="006D40E5"/>
    <w:rsid w:val="006D68E8"/>
    <w:rsid w:val="006D7F78"/>
    <w:rsid w:val="006F6CE1"/>
    <w:rsid w:val="007019D0"/>
    <w:rsid w:val="007E72E8"/>
    <w:rsid w:val="008002AC"/>
    <w:rsid w:val="00812DB5"/>
    <w:rsid w:val="0082151C"/>
    <w:rsid w:val="008441F4"/>
    <w:rsid w:val="00853C0B"/>
    <w:rsid w:val="00872710"/>
    <w:rsid w:val="00883A3D"/>
    <w:rsid w:val="00884D91"/>
    <w:rsid w:val="008865C4"/>
    <w:rsid w:val="00893400"/>
    <w:rsid w:val="008D4086"/>
    <w:rsid w:val="008F3305"/>
    <w:rsid w:val="00901EB0"/>
    <w:rsid w:val="00935A7F"/>
    <w:rsid w:val="00936143"/>
    <w:rsid w:val="009627F9"/>
    <w:rsid w:val="00981FB1"/>
    <w:rsid w:val="009B7BCD"/>
    <w:rsid w:val="009E349B"/>
    <w:rsid w:val="00A16490"/>
    <w:rsid w:val="00A21EFA"/>
    <w:rsid w:val="00A7273D"/>
    <w:rsid w:val="00AB0D90"/>
    <w:rsid w:val="00B00725"/>
    <w:rsid w:val="00B50CF0"/>
    <w:rsid w:val="00B51B73"/>
    <w:rsid w:val="00B564DA"/>
    <w:rsid w:val="00B83075"/>
    <w:rsid w:val="00B873EE"/>
    <w:rsid w:val="00BA217E"/>
    <w:rsid w:val="00BA5275"/>
    <w:rsid w:val="00BB2882"/>
    <w:rsid w:val="00BC7088"/>
    <w:rsid w:val="00BF423C"/>
    <w:rsid w:val="00BF7D73"/>
    <w:rsid w:val="00C162C0"/>
    <w:rsid w:val="00C30E2A"/>
    <w:rsid w:val="00C33344"/>
    <w:rsid w:val="00C47759"/>
    <w:rsid w:val="00C65757"/>
    <w:rsid w:val="00C7707F"/>
    <w:rsid w:val="00CB4C5B"/>
    <w:rsid w:val="00D13C3F"/>
    <w:rsid w:val="00D203B3"/>
    <w:rsid w:val="00D30273"/>
    <w:rsid w:val="00D30C0B"/>
    <w:rsid w:val="00D3272F"/>
    <w:rsid w:val="00D43536"/>
    <w:rsid w:val="00D44BD4"/>
    <w:rsid w:val="00D52A1D"/>
    <w:rsid w:val="00D9242C"/>
    <w:rsid w:val="00DA13B6"/>
    <w:rsid w:val="00DB7169"/>
    <w:rsid w:val="00E10BF7"/>
    <w:rsid w:val="00E1471A"/>
    <w:rsid w:val="00E21C7D"/>
    <w:rsid w:val="00E450D0"/>
    <w:rsid w:val="00E629C9"/>
    <w:rsid w:val="00E653F0"/>
    <w:rsid w:val="00EB10CC"/>
    <w:rsid w:val="00ED4831"/>
    <w:rsid w:val="00F15C79"/>
    <w:rsid w:val="00F237D7"/>
    <w:rsid w:val="00F25553"/>
    <w:rsid w:val="00F31C0D"/>
    <w:rsid w:val="00F73DBF"/>
    <w:rsid w:val="00FA5836"/>
    <w:rsid w:val="00FE3206"/>
    <w:rsid w:val="00FF0092"/>
    <w:rsid w:val="079744B6"/>
    <w:rsid w:val="08CF6EC2"/>
    <w:rsid w:val="0DC572FD"/>
    <w:rsid w:val="1AAE21D3"/>
    <w:rsid w:val="257539DE"/>
    <w:rsid w:val="27B76E38"/>
    <w:rsid w:val="35161DC9"/>
    <w:rsid w:val="41B52E67"/>
    <w:rsid w:val="47C61E85"/>
    <w:rsid w:val="47D72BF6"/>
    <w:rsid w:val="5567B6FB"/>
    <w:rsid w:val="58DA067F"/>
    <w:rsid w:val="59E75162"/>
    <w:rsid w:val="5A413AF9"/>
    <w:rsid w:val="5B5604A0"/>
    <w:rsid w:val="5C577036"/>
    <w:rsid w:val="5F77A049"/>
    <w:rsid w:val="6EDBA522"/>
    <w:rsid w:val="76DE89DC"/>
    <w:rsid w:val="795F2E3C"/>
    <w:rsid w:val="7BFF4B6E"/>
    <w:rsid w:val="7FDCFDE9"/>
    <w:rsid w:val="BB9DA536"/>
    <w:rsid w:val="BBBC87D8"/>
    <w:rsid w:val="BFD5B949"/>
    <w:rsid w:val="DFBA1439"/>
    <w:rsid w:val="DFFEF499"/>
    <w:rsid w:val="EEFB10A9"/>
    <w:rsid w:val="EFA2DB1A"/>
    <w:rsid w:val="F77F429F"/>
    <w:rsid w:val="F7E832FE"/>
    <w:rsid w:val="F7E92626"/>
    <w:rsid w:val="F7FD749C"/>
    <w:rsid w:val="FFF72C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rFonts w:eastAsia="方正小标宋简体"/>
      <w:kern w:val="44"/>
      <w:sz w:val="44"/>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sz w:val="28"/>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alloon Text"/>
    <w:basedOn w:val="1"/>
    <w:link w:val="22"/>
    <w:uiPriority w:val="0"/>
    <w:rPr>
      <w:sz w:val="18"/>
      <w:szCs w:val="18"/>
    </w:rPr>
  </w:style>
  <w:style w:type="paragraph" w:styleId="5">
    <w:name w:val="footer"/>
    <w:basedOn w:val="1"/>
    <w:link w:val="21"/>
    <w:uiPriority w:val="0"/>
    <w:pPr>
      <w:tabs>
        <w:tab w:val="center" w:pos="4153"/>
        <w:tab w:val="right" w:pos="8306"/>
      </w:tabs>
      <w:snapToGrid w:val="0"/>
      <w:jc w:val="left"/>
    </w:pPr>
    <w:rPr>
      <w:sz w:val="18"/>
      <w:szCs w:val="18"/>
    </w:rPr>
  </w:style>
  <w:style w:type="paragraph" w:styleId="6">
    <w:name w:val="header"/>
    <w:basedOn w:val="1"/>
    <w:link w:val="20"/>
    <w:uiPriority w:val="0"/>
    <w:pPr>
      <w:tabs>
        <w:tab w:val="center" w:pos="4153"/>
        <w:tab w:val="right" w:pos="8306"/>
      </w:tabs>
      <w:snapToGrid w:val="0"/>
      <w:jc w:val="center"/>
    </w:pPr>
    <w:rPr>
      <w:sz w:val="18"/>
      <w:szCs w:val="18"/>
    </w:rPr>
  </w:style>
  <w:style w:type="paragraph" w:styleId="7">
    <w:name w:val="Subtitle"/>
    <w:basedOn w:val="1"/>
    <w:next w:val="1"/>
    <w:qFormat/>
    <w:uiPriority w:val="11"/>
    <w:pPr>
      <w:spacing w:before="240" w:after="240" w:line="312" w:lineRule="auto"/>
      <w:jc w:val="center"/>
      <w:outlineLvl w:val="1"/>
    </w:pPr>
    <w:rPr>
      <w:rFonts w:ascii="等线" w:hAnsi="等线" w:eastAsia="等线"/>
      <w:kern w:val="28"/>
      <w:sz w:val="40"/>
      <w:szCs w:val="40"/>
    </w:rPr>
  </w:style>
  <w:style w:type="character" w:styleId="10">
    <w:name w:val="Strong"/>
    <w:basedOn w:val="9"/>
    <w:qFormat/>
    <w:uiPriority w:val="0"/>
    <w:rPr>
      <w:b/>
    </w:rPr>
  </w:style>
  <w:style w:type="paragraph" w:customStyle="1" w:styleId="11">
    <w:name w:val="正文二级标题"/>
    <w:basedOn w:val="1"/>
    <w:qFormat/>
    <w:uiPriority w:val="0"/>
    <w:pPr>
      <w:widowControl/>
      <w:spacing w:before="480" w:after="120"/>
      <w:jc w:val="center"/>
      <w:outlineLvl w:val="0"/>
    </w:pPr>
    <w:rPr>
      <w:rFonts w:hint="eastAsia" w:ascii="黑体" w:hAnsi="黑体" w:eastAsia="黑体" w:cs="宋体"/>
      <w:b/>
      <w:kern w:val="0"/>
      <w:sz w:val="28"/>
      <w:szCs w:val="32"/>
    </w:rPr>
  </w:style>
  <w:style w:type="paragraph" w:customStyle="1" w:styleId="12">
    <w:name w:val="正文三级标题"/>
    <w:basedOn w:val="1"/>
    <w:qFormat/>
    <w:uiPriority w:val="0"/>
    <w:pPr>
      <w:widowControl/>
      <w:spacing w:before="240" w:after="120"/>
      <w:jc w:val="left"/>
      <w:outlineLvl w:val="0"/>
    </w:pPr>
    <w:rPr>
      <w:rFonts w:hint="eastAsia" w:ascii="黑体" w:hAnsi="黑体" w:eastAsia="黑体" w:cs="宋体"/>
      <w:kern w:val="0"/>
      <w:sz w:val="26"/>
      <w:szCs w:val="32"/>
    </w:rPr>
  </w:style>
  <w:style w:type="paragraph" w:customStyle="1" w:styleId="13">
    <w:name w:val="正文四级标题"/>
    <w:basedOn w:val="1"/>
    <w:qFormat/>
    <w:uiPriority w:val="0"/>
    <w:pPr>
      <w:widowControl/>
      <w:spacing w:before="240" w:after="120"/>
      <w:jc w:val="left"/>
      <w:outlineLvl w:val="0"/>
    </w:pPr>
    <w:rPr>
      <w:rFonts w:hint="eastAsia" w:ascii="黑体" w:hAnsi="黑体" w:eastAsia="黑体" w:cs="宋体"/>
      <w:kern w:val="0"/>
      <w:sz w:val="24"/>
      <w:szCs w:val="32"/>
    </w:rPr>
  </w:style>
  <w:style w:type="paragraph" w:customStyle="1" w:styleId="14">
    <w:name w:val="正文一级标题"/>
    <w:basedOn w:val="1"/>
    <w:qFormat/>
    <w:uiPriority w:val="0"/>
    <w:pPr>
      <w:widowControl/>
      <w:spacing w:before="480" w:after="360"/>
      <w:jc w:val="center"/>
      <w:outlineLvl w:val="0"/>
    </w:pPr>
    <w:rPr>
      <w:rFonts w:hint="eastAsia" w:ascii="黑体" w:hAnsi="黑体" w:eastAsia="黑体" w:cs="宋体"/>
      <w:b/>
      <w:kern w:val="0"/>
      <w:sz w:val="32"/>
      <w:szCs w:val="32"/>
    </w:rPr>
  </w:style>
  <w:style w:type="paragraph" w:customStyle="1" w:styleId="15">
    <w:name w:val="文字正文"/>
    <w:basedOn w:val="1"/>
    <w:link w:val="16"/>
    <w:qFormat/>
    <w:uiPriority w:val="0"/>
    <w:pPr>
      <w:spacing w:line="400" w:lineRule="exact"/>
      <w:ind w:left="200" w:leftChars="200" w:firstLine="721" w:firstLineChars="200"/>
    </w:pPr>
    <w:rPr>
      <w:rFonts w:hint="eastAsia" w:ascii="黑体" w:hAnsi="黑体" w:cs="宋体"/>
      <w:kern w:val="0"/>
      <w:sz w:val="24"/>
      <w:szCs w:val="28"/>
      <w:lang w:eastAsia="zh-Hans"/>
    </w:rPr>
  </w:style>
  <w:style w:type="character" w:customStyle="1" w:styleId="16">
    <w:name w:val="文字正文 Char"/>
    <w:link w:val="15"/>
    <w:qFormat/>
    <w:uiPriority w:val="0"/>
    <w:rPr>
      <w:rFonts w:hint="eastAsia" w:ascii="黑体" w:hAnsi="黑体" w:eastAsia="宋体" w:cs="宋体"/>
      <w:kern w:val="0"/>
      <w:sz w:val="24"/>
      <w:szCs w:val="28"/>
      <w:lang w:eastAsia="zh-Hans"/>
    </w:rPr>
  </w:style>
  <w:style w:type="paragraph" w:customStyle="1" w:styleId="17">
    <w:name w:val="摘要"/>
    <w:basedOn w:val="1"/>
    <w:qFormat/>
    <w:uiPriority w:val="0"/>
    <w:pPr>
      <w:spacing w:before="480" w:after="360"/>
      <w:jc w:val="center"/>
      <w:outlineLvl w:val="0"/>
    </w:pPr>
    <w:rPr>
      <w:rFonts w:hint="eastAsia" w:ascii="黑体" w:hAnsi="黑体" w:eastAsia="黑体"/>
      <w:b/>
      <w:bCs/>
      <w:sz w:val="36"/>
      <w:szCs w:val="36"/>
    </w:rPr>
  </w:style>
  <w:style w:type="character" w:customStyle="1" w:styleId="18">
    <w:name w:val="font11"/>
    <w:basedOn w:val="9"/>
    <w:qFormat/>
    <w:uiPriority w:val="0"/>
    <w:rPr>
      <w:rFonts w:hint="eastAsia" w:ascii="宋体" w:hAnsi="宋体" w:eastAsia="宋体" w:cs="宋体"/>
      <w:b/>
      <w:bCs/>
      <w:color w:val="000000"/>
      <w:sz w:val="24"/>
      <w:szCs w:val="24"/>
      <w:u w:val="none"/>
    </w:rPr>
  </w:style>
  <w:style w:type="character" w:customStyle="1" w:styleId="19">
    <w:name w:val="font21"/>
    <w:basedOn w:val="9"/>
    <w:qFormat/>
    <w:uiPriority w:val="0"/>
    <w:rPr>
      <w:rFonts w:hint="eastAsia" w:ascii="宋体" w:hAnsi="宋体" w:eastAsia="宋体" w:cs="宋体"/>
      <w:b/>
      <w:bCs/>
      <w:color w:val="000000"/>
      <w:sz w:val="24"/>
      <w:szCs w:val="24"/>
      <w:u w:val="single"/>
    </w:rPr>
  </w:style>
  <w:style w:type="character" w:customStyle="1" w:styleId="20">
    <w:name w:val="页眉 字符"/>
    <w:basedOn w:val="9"/>
    <w:link w:val="6"/>
    <w:qFormat/>
    <w:uiPriority w:val="0"/>
    <w:rPr>
      <w:kern w:val="2"/>
      <w:sz w:val="18"/>
      <w:szCs w:val="18"/>
    </w:rPr>
  </w:style>
  <w:style w:type="character" w:customStyle="1" w:styleId="21">
    <w:name w:val="页脚 字符"/>
    <w:basedOn w:val="9"/>
    <w:link w:val="5"/>
    <w:uiPriority w:val="0"/>
    <w:rPr>
      <w:kern w:val="2"/>
      <w:sz w:val="18"/>
      <w:szCs w:val="18"/>
    </w:rPr>
  </w:style>
  <w:style w:type="character" w:customStyle="1" w:styleId="22">
    <w:name w:val="批注框文本 字符"/>
    <w:basedOn w:val="9"/>
    <w:link w:val="4"/>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90917617-193F-48FF-A1D3-04CF0C8C99F0}">
  <ds:schemaRefs/>
</ds:datastoreItem>
</file>

<file path=docProps/app.xml><?xml version="1.0" encoding="utf-8"?>
<Properties xmlns="http://schemas.openxmlformats.org/officeDocument/2006/extended-properties" xmlns:vt="http://schemas.openxmlformats.org/officeDocument/2006/docPropsVTypes">
  <Template>Normal</Template>
  <Pages>2</Pages>
  <Words>180</Words>
  <Characters>1027</Characters>
  <Lines>8</Lines>
  <Paragraphs>2</Paragraphs>
  <TotalTime>404</TotalTime>
  <ScaleCrop>false</ScaleCrop>
  <LinksUpToDate>false</LinksUpToDate>
  <CharactersWithSpaces>1205</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2023-12-28T03:15:00Z</dcterms:created>
  <dc:creator>孙溧梁</dc:creator>
  <cp:lastModifiedBy>user</cp:lastModifiedBy>
  <cp:lastPrinted>2024-09-21T09:46:00Z</cp:lastPrinted>
  <dcterms:modified xsi:type="dcterms:W3CDTF">2026-08-12T09:03:08Z</dcterms:modified>
  <cp:revision>307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12A6C2FCBBD5EA1118C67B6AA9367C1A</vt:lpwstr>
  </property>
</Properties>
</file>