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17" w:lineRule="auto"/>
        <w:ind w:firstLine="0"/>
        <w:jc w:val="left"/>
        <w:textAlignment w:val="auto"/>
        <w:rPr>
          <w:rFonts w:hint="eastAsia" w:ascii="国标黑体" w:hAnsi="国标黑体" w:eastAsia="国标黑体" w:cs="国标黑体"/>
          <w:sz w:val="44"/>
          <w:szCs w:val="44"/>
          <w:lang w:val="en-US" w:eastAsia="zh-CN"/>
        </w:rPr>
      </w:pPr>
      <w:r>
        <w:rPr>
          <w:rFonts w:hint="eastAsia" w:ascii="国标黑体" w:hAnsi="国标黑体" w:eastAsia="国标黑体" w:cs="国标黑体"/>
          <w:sz w:val="44"/>
          <w:szCs w:val="44"/>
          <w:lang w:eastAsia="zh-CN"/>
        </w:rPr>
        <w:t>附件</w:t>
      </w:r>
      <w:r>
        <w:rPr>
          <w:rFonts w:hint="eastAsia" w:ascii="国标黑体" w:hAnsi="国标黑体" w:eastAsia="国标黑体" w:cs="国标黑体"/>
          <w:sz w:val="44"/>
          <w:szCs w:val="44"/>
          <w:lang w:val="en-US" w:eastAsia="zh-CN"/>
        </w:rPr>
        <w:t>1：</w:t>
      </w:r>
    </w:p>
    <w:p>
      <w:pPr>
        <w:keepNext w:val="0"/>
        <w:keepLines w:val="0"/>
        <w:pageBreakBefore w:val="0"/>
        <w:widowControl w:val="0"/>
        <w:kinsoku/>
        <w:wordWrap/>
        <w:overflowPunct/>
        <w:topLinePunct w:val="0"/>
        <w:autoSpaceDE/>
        <w:autoSpaceDN/>
        <w:bidi w:val="0"/>
        <w:adjustRightInd/>
        <w:snapToGrid w:val="0"/>
        <w:spacing w:line="317" w:lineRule="auto"/>
        <w:ind w:firstLine="0"/>
        <w:jc w:val="center"/>
        <w:textAlignment w:val="auto"/>
        <w:rPr>
          <w:rFonts w:hint="eastAsia" w:ascii="方正小标宋简体" w:eastAsia="方正小标宋简体"/>
          <w:sz w:val="72"/>
          <w:szCs w:val="72"/>
        </w:rPr>
      </w:pPr>
      <w:r>
        <w:rPr>
          <w:rFonts w:hint="eastAsia" w:ascii="方正小标宋简体" w:eastAsia="方正小标宋简体"/>
          <w:sz w:val="72"/>
          <w:szCs w:val="72"/>
        </w:rPr>
        <w:t>云南省嵩明县烟草制</w:t>
      </w:r>
      <w:bookmarkStart w:id="2" w:name="_GoBack"/>
      <w:bookmarkEnd w:id="2"/>
      <w:r>
        <w:rPr>
          <w:rFonts w:hint="eastAsia" w:ascii="方正小标宋简体" w:eastAsia="方正小标宋简体"/>
          <w:sz w:val="72"/>
          <w:szCs w:val="72"/>
        </w:rPr>
        <w:t>品零售点</w:t>
      </w:r>
    </w:p>
    <w:p>
      <w:pPr>
        <w:keepNext w:val="0"/>
        <w:keepLines w:val="0"/>
        <w:pageBreakBefore w:val="0"/>
        <w:widowControl w:val="0"/>
        <w:kinsoku/>
        <w:wordWrap/>
        <w:overflowPunct/>
        <w:topLinePunct w:val="0"/>
        <w:autoSpaceDE/>
        <w:autoSpaceDN/>
        <w:bidi w:val="0"/>
        <w:adjustRightInd/>
        <w:snapToGrid w:val="0"/>
        <w:spacing w:line="317" w:lineRule="auto"/>
        <w:ind w:firstLine="0"/>
        <w:jc w:val="center"/>
        <w:textAlignment w:val="auto"/>
        <w:rPr>
          <w:rFonts w:hint="eastAsia" w:ascii="方正小标宋简体" w:eastAsia="方正小标宋简体"/>
          <w:sz w:val="72"/>
          <w:szCs w:val="72"/>
        </w:rPr>
      </w:pPr>
      <w:r>
        <w:rPr>
          <w:rFonts w:hint="eastAsia" w:ascii="方正小标宋简体" w:eastAsia="方正小标宋简体"/>
          <w:sz w:val="72"/>
          <w:szCs w:val="72"/>
        </w:rPr>
        <w:t>间距测量规则及标准</w:t>
      </w:r>
    </w:p>
    <w:p>
      <w:pPr>
        <w:keepNext w:val="0"/>
        <w:keepLines w:val="0"/>
        <w:pageBreakBefore w:val="0"/>
        <w:widowControl w:val="0"/>
        <w:kinsoku/>
        <w:wordWrap/>
        <w:overflowPunct/>
        <w:topLinePunct w:val="0"/>
        <w:autoSpaceDE/>
        <w:autoSpaceDN/>
        <w:bidi w:val="0"/>
        <w:adjustRightInd/>
        <w:ind w:firstLine="0"/>
        <w:textAlignment w:val="auto"/>
      </w:pPr>
    </w:p>
    <w:p>
      <w:pPr>
        <w:widowControl/>
        <w:tabs>
          <w:tab w:val="left" w:pos="2723"/>
        </w:tabs>
        <w:spacing w:before="86" w:line="360" w:lineRule="auto"/>
        <w:ind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根据昆明市嵩明县辖区实际情况，现明确《云南省嵩明县烟草制品零售点合理布局规划》第九条中有关的“零售点间距”测量规则及标准如下：</w:t>
      </w:r>
    </w:p>
    <w:p>
      <w:pPr>
        <w:widowControl/>
        <w:spacing w:before="86" w:line="360" w:lineRule="auto"/>
        <w:ind w:firstLine="880" w:firstLineChars="200"/>
        <w:jc w:val="left"/>
        <w:rPr>
          <w:rFonts w:ascii="黑体" w:hAnsi="黑体" w:eastAsia="黑体" w:cs="黑体"/>
          <w:sz w:val="44"/>
          <w:szCs w:val="44"/>
        </w:rPr>
      </w:pPr>
      <w:r>
        <w:rPr>
          <w:rFonts w:hint="eastAsia" w:ascii="黑体" w:hAnsi="黑体" w:eastAsia="黑体" w:cs="黑体"/>
          <w:sz w:val="44"/>
          <w:szCs w:val="44"/>
        </w:rPr>
        <w:t>一、测量规则</w:t>
      </w:r>
    </w:p>
    <w:p>
      <w:pPr>
        <w:pStyle w:val="19"/>
        <w:numPr>
          <w:ilvl w:val="0"/>
          <w:numId w:val="1"/>
        </w:numPr>
        <w:ind w:firstLineChars="0"/>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现场核查零售点间距的测量以“可安全步行最短距离”为总体原则，其他未穷尽列举的情形均参照本原则测量。</w:t>
      </w:r>
    </w:p>
    <w:p>
      <w:pPr>
        <w:widowControl/>
        <w:numPr>
          <w:ilvl w:val="0"/>
          <w:numId w:val="1"/>
        </w:numPr>
        <w:spacing w:before="86" w:line="360" w:lineRule="auto"/>
        <w:ind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应当使用符合国家距离测量标准的测量工具。</w:t>
      </w:r>
    </w:p>
    <w:p>
      <w:pPr>
        <w:widowControl/>
        <w:numPr>
          <w:ilvl w:val="0"/>
          <w:numId w:val="1"/>
        </w:numPr>
        <w:spacing w:before="86" w:line="360" w:lineRule="auto"/>
        <w:ind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w:t>
      </w:r>
      <w:r>
        <w:rPr>
          <w:rFonts w:hint="eastAsia" w:ascii="仿宋_GB2312" w:hAnsi="仿宋_GB2312" w:eastAsia="仿宋_GB2312" w:cs="仿宋_GB2312"/>
          <w:spacing w:val="10"/>
          <w:sz w:val="44"/>
          <w:szCs w:val="44"/>
        </w:rPr>
        <w:t>零售点间距</w:t>
      </w:r>
      <w:r>
        <w:rPr>
          <w:rFonts w:hint="eastAsia" w:ascii="仿宋_GB2312" w:hAnsi="仿宋_GB2312" w:eastAsia="仿宋_GB2312" w:cs="仿宋_GB2312"/>
          <w:sz w:val="44"/>
          <w:szCs w:val="44"/>
        </w:rPr>
        <w:t>”是指申请点与参照零售点（周边已设最近的零售点）之间按“门边到门边”原则进行测量。测量数据精确到小数点后一位，如“30.0米”或“100.0米”。</w:t>
      </w:r>
    </w:p>
    <w:p>
      <w:pPr>
        <w:widowControl/>
        <w:numPr>
          <w:ilvl w:val="0"/>
          <w:numId w:val="1"/>
        </w:numPr>
        <w:spacing w:before="86" w:line="360" w:lineRule="auto"/>
        <w:ind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实地测量时，由两名及以上烟草专卖执法核查人员在申请人或代理人现场见证下完成。最后由申请人或代理人对测量工具、测量过程、测量结果进行书面签字确认。申请人或代理人拒绝签字的，由核查人员在实地核查记录上注明情况，由见证人签字。测量过程应当全过程记录，包括但不限于文字记录和音像记录。</w:t>
      </w:r>
    </w:p>
    <w:p>
      <w:pPr>
        <w:widowControl/>
        <w:numPr>
          <w:ilvl w:val="0"/>
          <w:numId w:val="1"/>
        </w:numPr>
        <w:spacing w:before="86" w:line="360" w:lineRule="auto"/>
        <w:ind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测量</w:t>
      </w:r>
      <w:r>
        <w:rPr>
          <w:rFonts w:hint="eastAsia" w:ascii="仿宋_GB2312" w:hAnsi="仿宋_GB2312" w:eastAsia="仿宋_GB2312" w:cs="仿宋_GB2312"/>
          <w:sz w:val="44"/>
          <w:szCs w:val="44"/>
          <w:lang w:bidi="ug-CN"/>
        </w:rPr>
        <w:t>间距距离时，应使用具备准确刻度的</w:t>
      </w:r>
      <w:r>
        <w:rPr>
          <w:rFonts w:hint="eastAsia" w:ascii="仿宋_GB2312" w:hAnsi="仿宋_GB2312" w:eastAsia="仿宋_GB2312" w:cs="仿宋_GB2312"/>
          <w:kern w:val="0"/>
          <w:sz w:val="44"/>
          <w:szCs w:val="44"/>
          <w:lang w:bidi="ug-CN"/>
        </w:rPr>
        <w:t>测量工具。测量结果介于零售点间距距离的标准值正</w:t>
      </w:r>
      <w:r>
        <w:rPr>
          <w:rFonts w:hint="eastAsia" w:ascii="仿宋_GB2312" w:hAnsi="仿宋_GB2312" w:eastAsia="仿宋_GB2312" w:cs="仿宋_GB2312"/>
          <w:sz w:val="44"/>
          <w:szCs w:val="44"/>
        </w:rPr>
        <w:t>负百分之二范围以内的情况下，如果申请人、代理人或利害关系人对该结果有异议，可以申请重新实地测量一次，以最后一次测量结果为准。测量时，申请人或代理人、利害关系人和烟草核查人员须同时全程在场。</w:t>
      </w:r>
    </w:p>
    <w:p>
      <w:pPr>
        <w:widowControl/>
        <w:numPr>
          <w:ilvl w:val="0"/>
          <w:numId w:val="1"/>
        </w:numPr>
        <w:spacing w:before="86" w:line="360" w:lineRule="auto"/>
        <w:ind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政府有关部门在街道或道路中设置的行人隔离带（栏）、绿化带等视为障碍物，测量时应当按道路交通规则绕行。</w:t>
      </w:r>
    </w:p>
    <w:p>
      <w:pPr>
        <w:widowControl/>
        <w:numPr>
          <w:ilvl w:val="0"/>
          <w:numId w:val="1"/>
        </w:numPr>
        <w:spacing w:before="86" w:line="360" w:lineRule="auto"/>
        <w:ind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不视为障碍物的情形：在通行道路上临时设置的安全设施；临时放置的建筑材料、物品、车辆等；擅自设立、建造的建筑物、构筑物或其他物体等；以及因施工影响通行的围挡设施。</w:t>
      </w:r>
    </w:p>
    <w:p>
      <w:pPr>
        <w:widowControl/>
        <w:spacing w:before="86" w:line="360" w:lineRule="auto"/>
        <w:ind w:firstLine="880" w:firstLineChars="200"/>
        <w:jc w:val="left"/>
        <w:rPr>
          <w:rFonts w:ascii="黑体" w:hAnsi="黑体" w:eastAsia="黑体" w:cs="黑体"/>
          <w:sz w:val="44"/>
          <w:szCs w:val="44"/>
        </w:rPr>
      </w:pPr>
      <w:r>
        <w:rPr>
          <w:rFonts w:hint="eastAsia" w:ascii="黑体" w:hAnsi="黑体" w:eastAsia="黑体" w:cs="黑体"/>
          <w:sz w:val="44"/>
          <w:szCs w:val="44"/>
        </w:rPr>
        <w:t>二、测量标准</w:t>
      </w:r>
    </w:p>
    <w:p>
      <w:pPr>
        <w:pStyle w:val="4"/>
        <w:numPr>
          <w:ilvl w:val="0"/>
          <w:numId w:val="2"/>
        </w:numPr>
        <w:spacing w:after="0" w:line="360" w:lineRule="auto"/>
        <w:ind w:right="2"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店面同一侧无障碍物距离测量示意图，</w:t>
      </w:r>
      <w:r>
        <w:rPr>
          <w:rFonts w:hint="eastAsia" w:ascii="仿宋_GB2312" w:hAnsi="仿宋_GB2312" w:eastAsia="仿宋_GB2312" w:cs="仿宋_GB2312"/>
          <w:sz w:val="44"/>
          <w:szCs w:val="44"/>
        </w:rPr>
        <w:t>申请点与参照零售点</w:t>
      </w:r>
      <w:r>
        <w:rPr>
          <w:rFonts w:hint="eastAsia" w:ascii="仿宋_GB2312" w:hAnsi="仿宋_GB2312" w:eastAsia="仿宋_GB2312" w:cs="仿宋_GB2312"/>
          <w:spacing w:val="10"/>
          <w:sz w:val="44"/>
          <w:szCs w:val="44"/>
        </w:rPr>
        <w:t>间距。（如图1）</w:t>
      </w:r>
    </w:p>
    <w:p>
      <w:pPr>
        <w:pStyle w:val="4"/>
        <w:spacing w:after="0" w:line="360" w:lineRule="auto"/>
        <w:ind w:left="420" w:leftChars="200" w:right="2" w:firstLine="920" w:firstLineChars="200"/>
        <w:jc w:val="center"/>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drawing>
          <wp:inline distT="0" distB="0" distL="114300" distR="114300">
            <wp:extent cx="3970020" cy="1748155"/>
            <wp:effectExtent l="0" t="0" r="11430" b="4445"/>
            <wp:docPr id="23" name="图片 23" descr="微信图片_2023121210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1212104854"/>
                    <pic:cNvPicPr>
                      <a:picLocks noChangeAspect="1"/>
                    </pic:cNvPicPr>
                  </pic:nvPicPr>
                  <pic:blipFill>
                    <a:blip r:embed="rId4"/>
                    <a:stretch>
                      <a:fillRect/>
                    </a:stretch>
                  </pic:blipFill>
                  <pic:spPr>
                    <a:xfrm>
                      <a:off x="0" y="0"/>
                      <a:ext cx="3970020" cy="1748155"/>
                    </a:xfrm>
                    <a:prstGeom prst="rect">
                      <a:avLst/>
                    </a:prstGeom>
                  </pic:spPr>
                </pic:pic>
              </a:graphicData>
            </a:graphic>
          </wp:inline>
        </w:drawing>
      </w:r>
    </w:p>
    <w:p>
      <w:pPr>
        <w:pStyle w:val="4"/>
        <w:spacing w:after="0" w:line="360" w:lineRule="auto"/>
        <w:ind w:left="420" w:leftChars="200" w:right="2" w:firstLine="920" w:firstLineChars="200"/>
        <w:jc w:val="center"/>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图1</w:t>
      </w:r>
    </w:p>
    <w:p>
      <w:pPr>
        <w:pStyle w:val="4"/>
        <w:numPr>
          <w:ilvl w:val="0"/>
          <w:numId w:val="2"/>
        </w:numPr>
        <w:spacing w:after="0" w:line="360" w:lineRule="auto"/>
        <w:ind w:right="2"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店面同一侧有障碍物距离测量示意图，</w:t>
      </w:r>
      <w:r>
        <w:rPr>
          <w:rFonts w:hint="eastAsia" w:ascii="仿宋_GB2312" w:hAnsi="仿宋_GB2312" w:eastAsia="仿宋_GB2312" w:cs="仿宋_GB2312"/>
          <w:sz w:val="44"/>
          <w:szCs w:val="44"/>
        </w:rPr>
        <w:t>申请点与参照零售点</w:t>
      </w:r>
      <w:r>
        <w:rPr>
          <w:rFonts w:hint="eastAsia" w:ascii="仿宋_GB2312" w:hAnsi="仿宋_GB2312" w:eastAsia="仿宋_GB2312" w:cs="仿宋_GB2312"/>
          <w:spacing w:val="10"/>
          <w:sz w:val="44"/>
          <w:szCs w:val="44"/>
        </w:rPr>
        <w:t>间距=a+b+c+d+e。（如图2）</w:t>
      </w:r>
    </w:p>
    <w:p>
      <w:pPr>
        <w:pStyle w:val="4"/>
        <w:spacing w:after="0" w:line="360" w:lineRule="auto"/>
        <w:ind w:right="2" w:firstLine="643"/>
        <w:rPr>
          <w:rFonts w:ascii="仿宋_GB2312" w:hAnsi="仿宋_GB2312" w:eastAsia="仿宋_GB2312" w:cs="仿宋_GB2312"/>
          <w:b/>
          <w:bCs/>
          <w:spacing w:val="10"/>
          <w:sz w:val="44"/>
          <w:szCs w:val="44"/>
        </w:rPr>
      </w:pPr>
      <w:r>
        <w:rPr>
          <w:rFonts w:hint="eastAsia" w:ascii="仿宋_GB2312" w:hAnsi="仿宋_GB2312" w:eastAsia="仿宋_GB2312" w:cs="仿宋_GB2312"/>
          <w:b/>
          <w:bCs/>
          <w:spacing w:val="10"/>
          <w:sz w:val="44"/>
          <w:szCs w:val="44"/>
        </w:rPr>
        <w:drawing>
          <wp:inline distT="0" distB="0" distL="114300" distR="114300">
            <wp:extent cx="5777865" cy="2081530"/>
            <wp:effectExtent l="0" t="0" r="13335" b="13970"/>
            <wp:docPr id="13" name="图片 13" descr="95a3e317d608213e56999ba42982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5a3e317d608213e56999ba429828da"/>
                    <pic:cNvPicPr>
                      <a:picLocks noChangeAspect="1"/>
                    </pic:cNvPicPr>
                  </pic:nvPicPr>
                  <pic:blipFill>
                    <a:blip r:embed="rId5"/>
                    <a:stretch>
                      <a:fillRect/>
                    </a:stretch>
                  </pic:blipFill>
                  <pic:spPr>
                    <a:xfrm>
                      <a:off x="0" y="0"/>
                      <a:ext cx="5777865" cy="2081530"/>
                    </a:xfrm>
                    <a:prstGeom prst="rect">
                      <a:avLst/>
                    </a:prstGeom>
                  </pic:spPr>
                </pic:pic>
              </a:graphicData>
            </a:graphic>
          </wp:inline>
        </w:drawing>
      </w:r>
    </w:p>
    <w:p>
      <w:pPr>
        <w:pStyle w:val="4"/>
        <w:spacing w:after="0" w:line="360" w:lineRule="auto"/>
        <w:ind w:right="2" w:firstLine="920" w:firstLineChars="200"/>
        <w:jc w:val="center"/>
        <w:rPr>
          <w:rFonts w:ascii="仿宋_GB2312" w:hAnsi="仿宋_GB2312" w:eastAsia="仿宋_GB2312" w:cs="仿宋_GB2312"/>
          <w:sz w:val="44"/>
          <w:szCs w:val="44"/>
          <w:lang w:bidi="ug-CN"/>
        </w:rPr>
      </w:pPr>
      <w:r>
        <w:rPr>
          <w:rFonts w:hint="eastAsia" w:ascii="仿宋_GB2312" w:hAnsi="仿宋_GB2312" w:eastAsia="仿宋_GB2312" w:cs="仿宋_GB2312"/>
          <w:spacing w:val="10"/>
          <w:sz w:val="44"/>
          <w:szCs w:val="44"/>
        </w:rPr>
        <w:t>图2</w:t>
      </w:r>
    </w:p>
    <w:p>
      <w:pPr>
        <w:pStyle w:val="4"/>
        <w:numPr>
          <w:ilvl w:val="0"/>
          <w:numId w:val="2"/>
        </w:numPr>
        <w:spacing w:after="0" w:line="360" w:lineRule="auto"/>
        <w:ind w:right="2" w:firstLine="88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z w:val="44"/>
          <w:szCs w:val="44"/>
        </w:rPr>
        <w:t>申请点与参照零售点</w:t>
      </w:r>
      <w:r>
        <w:rPr>
          <w:rFonts w:hint="eastAsia" w:ascii="仿宋_GB2312" w:hAnsi="仿宋_GB2312" w:eastAsia="仿宋_GB2312" w:cs="仿宋_GB2312"/>
          <w:spacing w:val="10"/>
          <w:sz w:val="44"/>
          <w:szCs w:val="44"/>
        </w:rPr>
        <w:t>异侧无障碍物，且道路无隔离带（包括无任何禁止通行交通标志的路段或有可通行的单虚线）和斑马线情形，可安全步行的。</w:t>
      </w:r>
    </w:p>
    <w:p>
      <w:pPr>
        <w:pStyle w:val="4"/>
        <w:spacing w:after="0" w:line="360" w:lineRule="auto"/>
        <w:ind w:right="2"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（1）申请点与参照零售点对称的，间距=a（如图3.1）</w:t>
      </w:r>
    </w:p>
    <w:p>
      <w:pPr>
        <w:pStyle w:val="4"/>
        <w:spacing w:after="0" w:line="360" w:lineRule="auto"/>
        <w:ind w:right="3"/>
        <w:rPr>
          <w:rFonts w:ascii="仿宋_GB2312" w:hAnsi="仿宋_GB2312" w:eastAsia="仿宋_GB2312" w:cs="仿宋_GB2312"/>
          <w:sz w:val="44"/>
          <w:szCs w:val="44"/>
        </w:rPr>
      </w:pPr>
    </w:p>
    <w:p>
      <w:pPr>
        <w:pStyle w:val="4"/>
        <w:spacing w:after="0" w:line="360" w:lineRule="auto"/>
        <w:ind w:right="3"/>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drawing>
          <wp:inline distT="0" distB="0" distL="114300" distR="114300">
            <wp:extent cx="4934585" cy="2446020"/>
            <wp:effectExtent l="0" t="0" r="18415" b="11430"/>
            <wp:docPr id="2" name="图片 2" descr="63bdaea5065e1670b8683357050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bdaea5065e1670b868335705003e0"/>
                    <pic:cNvPicPr>
                      <a:picLocks noChangeAspect="1"/>
                    </pic:cNvPicPr>
                  </pic:nvPicPr>
                  <pic:blipFill>
                    <a:blip r:embed="rId6"/>
                    <a:stretch>
                      <a:fillRect/>
                    </a:stretch>
                  </pic:blipFill>
                  <pic:spPr>
                    <a:xfrm>
                      <a:off x="0" y="0"/>
                      <a:ext cx="4934585" cy="2446020"/>
                    </a:xfrm>
                    <a:prstGeom prst="rect">
                      <a:avLst/>
                    </a:prstGeom>
                  </pic:spPr>
                </pic:pic>
              </a:graphicData>
            </a:graphic>
          </wp:inline>
        </w:drawing>
      </w:r>
    </w:p>
    <w:p>
      <w:pPr>
        <w:pStyle w:val="4"/>
        <w:spacing w:after="0" w:line="360" w:lineRule="auto"/>
        <w:ind w:right="3" w:firstLine="680"/>
        <w:jc w:val="center"/>
        <w:rPr>
          <w:rFonts w:ascii="仿宋_GB2312" w:hAnsi="仿宋_GB2312" w:eastAsia="仿宋_GB2312" w:cs="仿宋_GB2312"/>
          <w:sz w:val="44"/>
          <w:szCs w:val="44"/>
        </w:rPr>
      </w:pPr>
      <w:r>
        <w:rPr>
          <w:rFonts w:hint="eastAsia" w:ascii="仿宋_GB2312" w:hAnsi="仿宋_GB2312" w:eastAsia="仿宋_GB2312" w:cs="仿宋_GB2312"/>
          <w:spacing w:val="10"/>
          <w:sz w:val="44"/>
          <w:szCs w:val="44"/>
        </w:rPr>
        <w:t>图3.1</w:t>
      </w:r>
    </w:p>
    <w:p>
      <w:pPr>
        <w:pStyle w:val="4"/>
        <w:spacing w:after="0" w:line="360" w:lineRule="auto"/>
        <w:ind w:right="2" w:firstLine="88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z w:val="44"/>
          <w:szCs w:val="44"/>
        </w:rPr>
        <w:t>（2）</w:t>
      </w:r>
      <w:r>
        <w:rPr>
          <w:rFonts w:hint="eastAsia" w:ascii="仿宋_GB2312" w:hAnsi="仿宋_GB2312" w:eastAsia="仿宋_GB2312" w:cs="仿宋_GB2312"/>
          <w:spacing w:val="10"/>
          <w:sz w:val="44"/>
          <w:szCs w:val="44"/>
        </w:rPr>
        <w:t>申请点与参照零售点不对称的，间距=b（如图3.2）</w:t>
      </w:r>
    </w:p>
    <w:p>
      <w:pPr>
        <w:pStyle w:val="4"/>
        <w:spacing w:after="0" w:line="360" w:lineRule="auto"/>
        <w:ind w:right="2" w:firstLine="920" w:firstLineChars="200"/>
        <w:jc w:val="center"/>
        <w:rPr>
          <w:rFonts w:ascii="仿宋_GB2312" w:hAnsi="仿宋_GB2312" w:eastAsia="仿宋_GB2312" w:cs="仿宋_GB2312"/>
          <w:sz w:val="44"/>
          <w:szCs w:val="44"/>
        </w:rPr>
      </w:pPr>
      <w:r>
        <w:rPr>
          <w:rFonts w:hint="eastAsia" w:ascii="仿宋_GB2312" w:hAnsi="仿宋_GB2312" w:eastAsia="仿宋_GB2312" w:cs="仿宋_GB2312"/>
          <w:spacing w:val="10"/>
          <w:sz w:val="44"/>
          <w:szCs w:val="44"/>
        </w:rPr>
        <w:drawing>
          <wp:inline distT="0" distB="0" distL="114300" distR="114300">
            <wp:extent cx="5015865" cy="2638425"/>
            <wp:effectExtent l="0" t="0" r="13335" b="9525"/>
            <wp:docPr id="3" name="图片 3" descr="fae0954c900ff944af7dff9ce5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ae0954c900ff944af7dff9ce511727"/>
                    <pic:cNvPicPr>
                      <a:picLocks noChangeAspect="1"/>
                    </pic:cNvPicPr>
                  </pic:nvPicPr>
                  <pic:blipFill>
                    <a:blip r:embed="rId7"/>
                    <a:stretch>
                      <a:fillRect/>
                    </a:stretch>
                  </pic:blipFill>
                  <pic:spPr>
                    <a:xfrm>
                      <a:off x="0" y="0"/>
                      <a:ext cx="5015865" cy="2638425"/>
                    </a:xfrm>
                    <a:prstGeom prst="rect">
                      <a:avLst/>
                    </a:prstGeom>
                  </pic:spPr>
                </pic:pic>
              </a:graphicData>
            </a:graphic>
          </wp:inline>
        </w:drawing>
      </w:r>
    </w:p>
    <w:p>
      <w:pPr>
        <w:pStyle w:val="4"/>
        <w:spacing w:after="0" w:line="360" w:lineRule="auto"/>
        <w:ind w:left="420" w:leftChars="200" w:right="2" w:firstLine="920" w:firstLineChars="200"/>
        <w:jc w:val="center"/>
        <w:rPr>
          <w:rFonts w:ascii="仿宋_GB2312" w:hAnsi="仿宋_GB2312" w:eastAsia="仿宋_GB2312" w:cs="仿宋_GB2312"/>
          <w:sz w:val="44"/>
          <w:szCs w:val="44"/>
          <w:lang w:bidi="ug-CN"/>
        </w:rPr>
      </w:pPr>
      <w:r>
        <w:rPr>
          <w:rFonts w:hint="eastAsia" w:ascii="仿宋_GB2312" w:hAnsi="仿宋_GB2312" w:eastAsia="仿宋_GB2312" w:cs="仿宋_GB2312"/>
          <w:spacing w:val="10"/>
          <w:sz w:val="44"/>
          <w:szCs w:val="44"/>
        </w:rPr>
        <w:t>图3.2</w:t>
      </w:r>
      <w:r>
        <w:rPr>
          <w:rFonts w:hint="eastAsia" w:ascii="仿宋_GB2312" w:hAnsi="仿宋_GB2312" w:eastAsia="仿宋_GB2312" w:cs="仿宋_GB2312"/>
          <w:sz w:val="44"/>
          <w:szCs w:val="44"/>
          <w:lang w:bidi="ug-CN"/>
        </w:rPr>
        <w:tab/>
      </w:r>
    </w:p>
    <w:p>
      <w:pPr>
        <w:pStyle w:val="4"/>
        <w:numPr>
          <w:ilvl w:val="0"/>
          <w:numId w:val="2"/>
        </w:numPr>
        <w:spacing w:after="0" w:line="360" w:lineRule="auto"/>
        <w:ind w:right="2" w:firstLine="88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z w:val="44"/>
          <w:szCs w:val="44"/>
        </w:rPr>
        <w:t>申请点与参照零售点</w:t>
      </w:r>
      <w:r>
        <w:rPr>
          <w:rFonts w:hint="eastAsia" w:ascii="仿宋_GB2312" w:hAnsi="仿宋_GB2312" w:eastAsia="仿宋_GB2312" w:cs="仿宋_GB2312"/>
          <w:spacing w:val="10"/>
          <w:sz w:val="44"/>
          <w:szCs w:val="44"/>
        </w:rPr>
        <w:t>异侧存在障碍物的，测量按直角分段绕过障碍物测量，分段距离之和即为申请人的经营场所与最近零售点的经营场所间的距离。间距=a+b+c（如图4）</w:t>
      </w:r>
    </w:p>
    <w:p>
      <w:pPr>
        <w:pStyle w:val="4"/>
        <w:tabs>
          <w:tab w:val="left" w:pos="8197"/>
        </w:tabs>
        <w:spacing w:after="0" w:line="360" w:lineRule="auto"/>
        <w:ind w:right="3" w:firstLine="880" w:firstLineChars="200"/>
        <w:jc w:val="center"/>
        <w:rPr>
          <w:rFonts w:ascii="仿宋_GB2312" w:hAnsi="仿宋_GB2312" w:eastAsia="仿宋_GB2312" w:cs="仿宋_GB2312"/>
          <w:sz w:val="44"/>
          <w:szCs w:val="44"/>
          <w:lang w:bidi="ug-CN"/>
        </w:rPr>
      </w:pPr>
      <w:r>
        <w:rPr>
          <w:rFonts w:hint="eastAsia" w:ascii="仿宋_GB2312" w:hAnsi="仿宋_GB2312" w:eastAsia="仿宋_GB2312" w:cs="仿宋_GB2312"/>
          <w:sz w:val="44"/>
          <w:szCs w:val="44"/>
        </w:rPr>
        <w:drawing>
          <wp:inline distT="0" distB="0" distL="114300" distR="114300">
            <wp:extent cx="5194300" cy="2531745"/>
            <wp:effectExtent l="0" t="0" r="6350" b="1905"/>
            <wp:docPr id="15" name="图片 15" descr="93bb69265f29e745628043b5bcf2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3bb69265f29e745628043b5bcf20da"/>
                    <pic:cNvPicPr>
                      <a:picLocks noChangeAspect="1"/>
                    </pic:cNvPicPr>
                  </pic:nvPicPr>
                  <pic:blipFill>
                    <a:blip r:embed="rId8"/>
                    <a:stretch>
                      <a:fillRect/>
                    </a:stretch>
                  </pic:blipFill>
                  <pic:spPr>
                    <a:xfrm>
                      <a:off x="0" y="0"/>
                      <a:ext cx="5194300" cy="2531745"/>
                    </a:xfrm>
                    <a:prstGeom prst="rect">
                      <a:avLst/>
                    </a:prstGeom>
                  </pic:spPr>
                </pic:pic>
              </a:graphicData>
            </a:graphic>
          </wp:inline>
        </w:drawing>
      </w:r>
    </w:p>
    <w:p>
      <w:pPr>
        <w:pStyle w:val="4"/>
        <w:tabs>
          <w:tab w:val="left" w:pos="8197"/>
        </w:tabs>
        <w:spacing w:after="0" w:line="360" w:lineRule="auto"/>
        <w:ind w:right="3" w:firstLine="880" w:firstLineChars="200"/>
        <w:jc w:val="center"/>
        <w:rPr>
          <w:rFonts w:ascii="仿宋_GB2312" w:hAnsi="仿宋_GB2312" w:eastAsia="仿宋_GB2312" w:cs="仿宋_GB2312"/>
          <w:sz w:val="44"/>
          <w:szCs w:val="44"/>
          <w:lang w:bidi="ug-CN"/>
        </w:rPr>
      </w:pPr>
      <w:r>
        <w:rPr>
          <w:rFonts w:hint="eastAsia" w:ascii="仿宋_GB2312" w:hAnsi="仿宋_GB2312" w:eastAsia="仿宋_GB2312" w:cs="仿宋_GB2312"/>
          <w:sz w:val="44"/>
          <w:szCs w:val="44"/>
          <w:lang w:bidi="ug-CN"/>
        </w:rPr>
        <w:t>图4</w:t>
      </w:r>
    </w:p>
    <w:p>
      <w:pPr>
        <w:pStyle w:val="4"/>
        <w:numPr>
          <w:ilvl w:val="0"/>
          <w:numId w:val="2"/>
        </w:numPr>
        <w:spacing w:after="0" w:line="360" w:lineRule="auto"/>
        <w:ind w:right="2"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店面背靠背距离测量示意图，</w:t>
      </w:r>
      <w:r>
        <w:rPr>
          <w:rFonts w:hint="eastAsia" w:ascii="仿宋_GB2312" w:hAnsi="仿宋_GB2312" w:eastAsia="仿宋_GB2312" w:cs="仿宋_GB2312"/>
          <w:sz w:val="44"/>
          <w:szCs w:val="44"/>
        </w:rPr>
        <w:t>申请点与参照零售点</w:t>
      </w:r>
      <w:r>
        <w:rPr>
          <w:rFonts w:hint="eastAsia" w:ascii="仿宋_GB2312" w:hAnsi="仿宋_GB2312" w:eastAsia="仿宋_GB2312" w:cs="仿宋_GB2312"/>
          <w:spacing w:val="10"/>
          <w:sz w:val="44"/>
          <w:szCs w:val="44"/>
        </w:rPr>
        <w:t>间距=a+b+c。（如图5）</w:t>
      </w:r>
    </w:p>
    <w:p>
      <w:pPr>
        <w:pStyle w:val="4"/>
        <w:spacing w:after="0" w:line="360" w:lineRule="auto"/>
        <w:ind w:right="3" w:firstLine="880" w:firstLineChars="200"/>
        <w:jc w:val="center"/>
        <w:rPr>
          <w:rFonts w:ascii="仿宋_GB2312" w:hAnsi="仿宋_GB2312" w:eastAsia="仿宋_GB2312" w:cs="仿宋_GB2312"/>
          <w:spacing w:val="10"/>
          <w:sz w:val="44"/>
          <w:szCs w:val="44"/>
        </w:rPr>
      </w:pPr>
      <w:r>
        <w:rPr>
          <w:sz w:val="44"/>
          <w:szCs w:val="44"/>
        </w:rPr>
        <w:drawing>
          <wp:inline distT="0" distB="0" distL="114300" distR="114300">
            <wp:extent cx="4876800" cy="2405380"/>
            <wp:effectExtent l="0" t="0" r="0" b="139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clrChange>
                        <a:clrFrom>
                          <a:srgbClr val="FEFFFA">
                            <a:alpha val="100000"/>
                          </a:srgbClr>
                        </a:clrFrom>
                        <a:clrTo>
                          <a:srgbClr val="FEFFFA">
                            <a:alpha val="100000"/>
                            <a:alpha val="0"/>
                          </a:srgbClr>
                        </a:clrTo>
                      </a:clrChange>
                    </a:blip>
                    <a:stretch>
                      <a:fillRect/>
                    </a:stretch>
                  </pic:blipFill>
                  <pic:spPr>
                    <a:xfrm>
                      <a:off x="0" y="0"/>
                      <a:ext cx="4876800" cy="2405380"/>
                    </a:xfrm>
                    <a:prstGeom prst="rect">
                      <a:avLst/>
                    </a:prstGeom>
                    <a:noFill/>
                    <a:ln>
                      <a:noFill/>
                    </a:ln>
                  </pic:spPr>
                </pic:pic>
              </a:graphicData>
            </a:graphic>
          </wp:inline>
        </w:drawing>
      </w:r>
    </w:p>
    <w:p>
      <w:pPr>
        <w:pStyle w:val="4"/>
        <w:spacing w:after="0" w:line="360" w:lineRule="auto"/>
        <w:ind w:right="3" w:firstLine="920" w:firstLineChars="200"/>
        <w:jc w:val="center"/>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图5</w:t>
      </w:r>
    </w:p>
    <w:p>
      <w:pPr>
        <w:pStyle w:val="4"/>
        <w:numPr>
          <w:ilvl w:val="0"/>
          <w:numId w:val="2"/>
        </w:numPr>
        <w:spacing w:after="0" w:line="360" w:lineRule="auto"/>
        <w:ind w:right="2"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店面隔着街道转角的，分别计算沿街店面的两边距离再相加，</w:t>
      </w:r>
      <w:r>
        <w:rPr>
          <w:rFonts w:hint="eastAsia" w:ascii="仿宋_GB2312" w:hAnsi="仿宋_GB2312" w:eastAsia="仿宋_GB2312" w:cs="仿宋_GB2312"/>
          <w:sz w:val="44"/>
          <w:szCs w:val="44"/>
        </w:rPr>
        <w:t>申请点与参照零售点</w:t>
      </w:r>
      <w:r>
        <w:rPr>
          <w:rFonts w:hint="eastAsia" w:ascii="仿宋_GB2312" w:hAnsi="仿宋_GB2312" w:eastAsia="仿宋_GB2312" w:cs="仿宋_GB2312"/>
          <w:spacing w:val="10"/>
          <w:sz w:val="44"/>
          <w:szCs w:val="44"/>
        </w:rPr>
        <w:t>间距=a+b。（如图6）</w:t>
      </w:r>
    </w:p>
    <w:p>
      <w:pPr>
        <w:pStyle w:val="4"/>
        <w:spacing w:after="0" w:line="360" w:lineRule="auto"/>
        <w:ind w:right="64"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drawing>
          <wp:inline distT="0" distB="0" distL="114300" distR="114300">
            <wp:extent cx="4768850" cy="2709545"/>
            <wp:effectExtent l="0" t="0" r="12700" b="14605"/>
            <wp:docPr id="33" name="图片 33" descr="e4103bb42dbf83929f4d95fca555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4103bb42dbf83929f4d95fca555fcf"/>
                    <pic:cNvPicPr>
                      <a:picLocks noChangeAspect="1"/>
                    </pic:cNvPicPr>
                  </pic:nvPicPr>
                  <pic:blipFill>
                    <a:blip r:embed="rId10"/>
                    <a:srcRect t="17596"/>
                    <a:stretch>
                      <a:fillRect/>
                    </a:stretch>
                  </pic:blipFill>
                  <pic:spPr>
                    <a:xfrm>
                      <a:off x="0" y="0"/>
                      <a:ext cx="4768850" cy="2709545"/>
                    </a:xfrm>
                    <a:prstGeom prst="rect">
                      <a:avLst/>
                    </a:prstGeom>
                  </pic:spPr>
                </pic:pic>
              </a:graphicData>
            </a:graphic>
          </wp:inline>
        </w:drawing>
      </w:r>
    </w:p>
    <w:p>
      <w:pPr>
        <w:pStyle w:val="4"/>
        <w:spacing w:after="0" w:line="360" w:lineRule="auto"/>
        <w:ind w:right="64" w:firstLine="920" w:firstLineChars="200"/>
        <w:jc w:val="center"/>
        <w:rPr>
          <w:rFonts w:ascii="仿宋_GB2312" w:hAnsi="仿宋_GB2312" w:eastAsia="仿宋_GB2312" w:cs="仿宋_GB2312"/>
          <w:sz w:val="44"/>
          <w:szCs w:val="44"/>
        </w:rPr>
      </w:pPr>
      <w:r>
        <w:rPr>
          <w:rFonts w:hint="eastAsia" w:ascii="仿宋_GB2312" w:hAnsi="仿宋_GB2312" w:eastAsia="仿宋_GB2312" w:cs="仿宋_GB2312"/>
          <w:spacing w:val="10"/>
          <w:sz w:val="44"/>
          <w:szCs w:val="44"/>
        </w:rPr>
        <w:t>图6</w:t>
      </w:r>
    </w:p>
    <w:p>
      <w:pPr>
        <w:pStyle w:val="4"/>
        <w:numPr>
          <w:ilvl w:val="0"/>
          <w:numId w:val="2"/>
        </w:numPr>
        <w:spacing w:after="0" w:line="360" w:lineRule="auto"/>
        <w:ind w:right="2"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十字路口</w:t>
      </w:r>
    </w:p>
    <w:p>
      <w:pPr>
        <w:pStyle w:val="4"/>
        <w:spacing w:after="0" w:line="360" w:lineRule="auto"/>
        <w:ind w:right="64" w:firstLine="880" w:firstLineChars="200"/>
        <w:rPr>
          <w:rFonts w:ascii="仿宋_GB2312" w:hAnsi="仿宋_GB2312" w:eastAsia="仿宋_GB2312" w:cs="仿宋_GB2312"/>
          <w:sz w:val="44"/>
          <w:szCs w:val="44"/>
        </w:rPr>
      </w:pPr>
      <w:r>
        <w:rPr>
          <w:rFonts w:hint="eastAsia" w:ascii="仿宋_GB2312" w:hAnsi="仿宋_GB2312" w:eastAsia="仿宋_GB2312" w:cs="仿宋_GB2312"/>
          <w:sz w:val="44"/>
          <w:szCs w:val="44"/>
        </w:rPr>
        <w:t>（1）申请点与参照零售点在十字路口中轴线同一半侧的道路对侧的，可参照道路对侧情况进行测量，按申请点门边至零售点门边</w:t>
      </w:r>
      <w:r>
        <w:rPr>
          <w:rFonts w:hint="eastAsia" w:ascii="仿宋_GB2312" w:hAnsi="仿宋_GB2312" w:eastAsia="仿宋_GB2312" w:cs="仿宋_GB2312"/>
          <w:spacing w:val="10"/>
          <w:sz w:val="44"/>
          <w:szCs w:val="44"/>
        </w:rPr>
        <w:t>可安全步行最短距离</w:t>
      </w:r>
      <w:r>
        <w:rPr>
          <w:rFonts w:hint="eastAsia" w:ascii="仿宋_GB2312" w:hAnsi="仿宋_GB2312" w:eastAsia="仿宋_GB2312" w:cs="仿宋_GB2312"/>
          <w:sz w:val="44"/>
          <w:szCs w:val="44"/>
        </w:rPr>
        <w:t>测量。具体测量办法视有无交通信号灯、人行横道或过街设施的路段以及障碍物情况而定。（如图7.1）</w:t>
      </w:r>
    </w:p>
    <w:p>
      <w:pPr>
        <w:pStyle w:val="4"/>
        <w:spacing w:after="0" w:line="360" w:lineRule="auto"/>
        <w:ind w:left="420" w:leftChars="200" w:right="64"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drawing>
          <wp:inline distT="0" distB="0" distL="114300" distR="114300">
            <wp:extent cx="3064510" cy="2741930"/>
            <wp:effectExtent l="0" t="0" r="2540" b="1270"/>
            <wp:docPr id="29" name="图片 29" descr="微信图片_202312121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31212104934"/>
                    <pic:cNvPicPr>
                      <a:picLocks noChangeAspect="1"/>
                    </pic:cNvPicPr>
                  </pic:nvPicPr>
                  <pic:blipFill>
                    <a:blip r:embed="rId11"/>
                    <a:stretch>
                      <a:fillRect/>
                    </a:stretch>
                  </pic:blipFill>
                  <pic:spPr>
                    <a:xfrm>
                      <a:off x="0" y="0"/>
                      <a:ext cx="3064510" cy="2741930"/>
                    </a:xfrm>
                    <a:prstGeom prst="rect">
                      <a:avLst/>
                    </a:prstGeom>
                  </pic:spPr>
                </pic:pic>
              </a:graphicData>
            </a:graphic>
          </wp:inline>
        </w:drawing>
      </w:r>
    </w:p>
    <w:p>
      <w:pPr>
        <w:pStyle w:val="4"/>
        <w:spacing w:after="0" w:line="360" w:lineRule="auto"/>
        <w:ind w:left="420" w:leftChars="200" w:right="64"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t>图7.1</w:t>
      </w:r>
    </w:p>
    <w:p>
      <w:pPr>
        <w:pStyle w:val="4"/>
        <w:spacing w:after="0" w:line="360" w:lineRule="auto"/>
        <w:ind w:right="64"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（2）十字路口对角（有交通信号灯、人行横道或过街设施）</w:t>
      </w:r>
    </w:p>
    <w:p>
      <w:pPr>
        <w:pStyle w:val="4"/>
        <w:spacing w:after="0" w:line="360" w:lineRule="auto"/>
        <w:ind w:right="64"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申请点与参照零售点位于十字路口对角位置的，且路口中间设有交通信号灯、人行横道或过街设施的，应按照交通规则，通过人行横道或过街设施，按申请点门边至零售点门边</w:t>
      </w:r>
      <w:r>
        <w:rPr>
          <w:rFonts w:hint="eastAsia" w:ascii="仿宋_GB2312" w:hAnsi="仿宋_GB2312" w:eastAsia="仿宋_GB2312" w:cs="仿宋_GB2312"/>
          <w:spacing w:val="10"/>
          <w:sz w:val="44"/>
          <w:szCs w:val="44"/>
        </w:rPr>
        <w:t>可安全步行最短距离</w:t>
      </w:r>
      <w:r>
        <w:rPr>
          <w:rFonts w:hint="eastAsia" w:ascii="仿宋_GB2312" w:hAnsi="仿宋_GB2312" w:eastAsia="仿宋_GB2312" w:cs="仿宋_GB2312"/>
          <w:sz w:val="44"/>
          <w:szCs w:val="44"/>
        </w:rPr>
        <w:t>测量。（如图7.2中存在a、b两条线路，取其中一条</w:t>
      </w:r>
      <w:r>
        <w:rPr>
          <w:rFonts w:hint="eastAsia" w:ascii="仿宋_GB2312" w:hAnsi="仿宋_GB2312" w:eastAsia="仿宋_GB2312" w:cs="仿宋_GB2312"/>
          <w:spacing w:val="10"/>
          <w:sz w:val="44"/>
          <w:szCs w:val="44"/>
        </w:rPr>
        <w:t>可安全步行最短距离线路测量</w:t>
      </w:r>
      <w:r>
        <w:rPr>
          <w:rFonts w:hint="eastAsia" w:ascii="仿宋_GB2312" w:hAnsi="仿宋_GB2312" w:eastAsia="仿宋_GB2312" w:cs="仿宋_GB2312"/>
          <w:sz w:val="44"/>
          <w:szCs w:val="44"/>
        </w:rPr>
        <w:t>）</w:t>
      </w:r>
    </w:p>
    <w:p>
      <w:pPr>
        <w:pStyle w:val="4"/>
        <w:spacing w:after="0" w:line="360" w:lineRule="auto"/>
        <w:ind w:left="420" w:leftChars="200" w:right="64"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drawing>
          <wp:inline distT="0" distB="0" distL="114300" distR="114300">
            <wp:extent cx="3562350" cy="3176270"/>
            <wp:effectExtent l="0" t="0" r="0" b="5080"/>
            <wp:docPr id="20" name="图片 20" descr="e3dd04eb18af5a2a848cca0133a5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3dd04eb18af5a2a848cca0133a5d97"/>
                    <pic:cNvPicPr>
                      <a:picLocks noChangeAspect="1"/>
                    </pic:cNvPicPr>
                  </pic:nvPicPr>
                  <pic:blipFill>
                    <a:blip r:embed="rId12"/>
                    <a:stretch>
                      <a:fillRect/>
                    </a:stretch>
                  </pic:blipFill>
                  <pic:spPr>
                    <a:xfrm>
                      <a:off x="0" y="0"/>
                      <a:ext cx="3562350" cy="3176270"/>
                    </a:xfrm>
                    <a:prstGeom prst="rect">
                      <a:avLst/>
                    </a:prstGeom>
                  </pic:spPr>
                </pic:pic>
              </a:graphicData>
            </a:graphic>
          </wp:inline>
        </w:drawing>
      </w:r>
    </w:p>
    <w:p>
      <w:pPr>
        <w:pStyle w:val="4"/>
        <w:spacing w:after="0" w:line="360" w:lineRule="auto"/>
        <w:ind w:left="420" w:leftChars="200" w:right="64" w:firstLine="4400" w:firstLineChars="1000"/>
        <w:rPr>
          <w:rFonts w:ascii="仿宋_GB2312" w:hAnsi="仿宋_GB2312" w:eastAsia="仿宋_GB2312" w:cs="仿宋_GB2312"/>
          <w:sz w:val="44"/>
          <w:szCs w:val="44"/>
        </w:rPr>
      </w:pPr>
      <w:r>
        <w:rPr>
          <w:rFonts w:hint="eastAsia" w:ascii="仿宋_GB2312" w:hAnsi="仿宋_GB2312" w:eastAsia="仿宋_GB2312" w:cs="仿宋_GB2312"/>
          <w:sz w:val="44"/>
          <w:szCs w:val="44"/>
        </w:rPr>
        <w:t>图7.2</w:t>
      </w:r>
    </w:p>
    <w:p>
      <w:pPr>
        <w:pStyle w:val="4"/>
        <w:spacing w:after="0" w:line="360" w:lineRule="auto"/>
        <w:ind w:left="420" w:leftChars="200" w:right="64" w:firstLine="880" w:firstLineChars="200"/>
        <w:jc w:val="center"/>
        <w:rPr>
          <w:rFonts w:ascii="仿宋_GB2312" w:hAnsi="仿宋_GB2312" w:eastAsia="仿宋_GB2312" w:cs="仿宋_GB2312"/>
          <w:sz w:val="44"/>
          <w:szCs w:val="44"/>
        </w:rPr>
      </w:pPr>
    </w:p>
    <w:p>
      <w:pPr>
        <w:pStyle w:val="4"/>
        <w:spacing w:after="0" w:line="360" w:lineRule="auto"/>
        <w:ind w:right="64"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（3）十字路口对角（无交通信号灯、人行横道或过街设施）</w:t>
      </w:r>
    </w:p>
    <w:p>
      <w:pPr>
        <w:pStyle w:val="4"/>
        <w:spacing w:after="0" w:line="360" w:lineRule="auto"/>
        <w:ind w:right="64" w:firstLine="880" w:firstLineChars="200"/>
        <w:rPr>
          <w:rFonts w:ascii="仿宋_GB2312" w:hAnsi="仿宋_GB2312" w:eastAsia="仿宋_GB2312" w:cs="仿宋_GB2312"/>
          <w:sz w:val="44"/>
          <w:szCs w:val="44"/>
        </w:rPr>
      </w:pPr>
      <w:r>
        <w:rPr>
          <w:rFonts w:hint="eastAsia" w:ascii="仿宋_GB2312" w:hAnsi="仿宋_GB2312" w:eastAsia="仿宋_GB2312" w:cs="仿宋_GB2312"/>
          <w:sz w:val="44"/>
          <w:szCs w:val="44"/>
        </w:rPr>
        <w:t>申请点与参照零售点位于十字路口对角位置的，且路口中间未设有交通信号灯、人行横道或过街设施的，按申请点门边至零售点门边</w:t>
      </w:r>
      <w:r>
        <w:rPr>
          <w:rFonts w:hint="eastAsia" w:ascii="仿宋_GB2312" w:hAnsi="仿宋_GB2312" w:eastAsia="仿宋_GB2312" w:cs="仿宋_GB2312"/>
          <w:spacing w:val="10"/>
          <w:sz w:val="44"/>
          <w:szCs w:val="44"/>
        </w:rPr>
        <w:t>可安全步行最短距离</w:t>
      </w:r>
      <w:r>
        <w:rPr>
          <w:rFonts w:hint="eastAsia" w:ascii="仿宋_GB2312" w:hAnsi="仿宋_GB2312" w:eastAsia="仿宋_GB2312" w:cs="仿宋_GB2312"/>
          <w:sz w:val="44"/>
          <w:szCs w:val="44"/>
        </w:rPr>
        <w:t>测量。（图7.3）</w:t>
      </w:r>
    </w:p>
    <w:p>
      <w:pPr>
        <w:pStyle w:val="4"/>
        <w:spacing w:after="0" w:line="360" w:lineRule="auto"/>
        <w:ind w:left="420" w:leftChars="200" w:right="64" w:firstLine="920" w:firstLineChars="200"/>
        <w:jc w:val="center"/>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drawing>
          <wp:inline distT="0" distB="0" distL="114300" distR="114300">
            <wp:extent cx="2703830" cy="2475865"/>
            <wp:effectExtent l="0" t="0" r="1270" b="635"/>
            <wp:docPr id="21" name="图片 21" descr="00184291e613f2b487271c531d8e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0184291e613f2b487271c531d8edb7"/>
                    <pic:cNvPicPr>
                      <a:picLocks noChangeAspect="1"/>
                    </pic:cNvPicPr>
                  </pic:nvPicPr>
                  <pic:blipFill>
                    <a:blip r:embed="rId13"/>
                    <a:stretch>
                      <a:fillRect/>
                    </a:stretch>
                  </pic:blipFill>
                  <pic:spPr>
                    <a:xfrm>
                      <a:off x="0" y="0"/>
                      <a:ext cx="2703830" cy="2475865"/>
                    </a:xfrm>
                    <a:prstGeom prst="rect">
                      <a:avLst/>
                    </a:prstGeom>
                  </pic:spPr>
                </pic:pic>
              </a:graphicData>
            </a:graphic>
          </wp:inline>
        </w:drawing>
      </w:r>
    </w:p>
    <w:p>
      <w:pPr>
        <w:pStyle w:val="4"/>
        <w:spacing w:after="0" w:line="360" w:lineRule="auto"/>
        <w:ind w:left="420" w:leftChars="200" w:right="64" w:firstLine="880" w:firstLineChars="200"/>
        <w:jc w:val="center"/>
        <w:rPr>
          <w:rFonts w:ascii="仿宋_GB2312" w:hAnsi="仿宋_GB2312" w:eastAsia="仿宋_GB2312" w:cs="仿宋_GB2312"/>
          <w:spacing w:val="10"/>
          <w:sz w:val="44"/>
          <w:szCs w:val="44"/>
        </w:rPr>
      </w:pPr>
      <w:r>
        <w:rPr>
          <w:rFonts w:hint="eastAsia" w:ascii="仿宋_GB2312" w:hAnsi="仿宋_GB2312" w:eastAsia="仿宋_GB2312" w:cs="仿宋_GB2312"/>
          <w:sz w:val="44"/>
          <w:szCs w:val="44"/>
        </w:rPr>
        <w:t>图7.3</w:t>
      </w:r>
    </w:p>
    <w:p>
      <w:pPr>
        <w:pStyle w:val="4"/>
        <w:numPr>
          <w:ilvl w:val="0"/>
          <w:numId w:val="2"/>
        </w:numPr>
        <w:spacing w:after="0" w:line="360" w:lineRule="auto"/>
        <w:ind w:right="2"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中小学校、幼儿园的测量起始点为上述学校学生正常出入的校门口。有多个进出通道口的，选择距离零售点最短的进出通道口的门边，作为测量起始点。</w:t>
      </w:r>
    </w:p>
    <w:p>
      <w:pPr>
        <w:pStyle w:val="4"/>
        <w:spacing w:after="0" w:line="360" w:lineRule="auto"/>
        <w:ind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申请点与中小学校、幼儿园通道口之间距离测量示意图。（如图8）</w:t>
      </w:r>
    </w:p>
    <w:p>
      <w:pPr>
        <w:spacing w:line="360" w:lineRule="auto"/>
        <w:ind w:firstLine="920" w:firstLineChars="200"/>
        <w:jc w:val="center"/>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drawing>
          <wp:inline distT="0" distB="0" distL="114300" distR="114300">
            <wp:extent cx="3474085" cy="2620010"/>
            <wp:effectExtent l="0" t="0" r="12065" b="8890"/>
            <wp:docPr id="22" name="图片 22" descr="356d27789946a0c2406ddfd75b14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56d27789946a0c2406ddfd75b14e94"/>
                    <pic:cNvPicPr>
                      <a:picLocks noChangeAspect="1"/>
                    </pic:cNvPicPr>
                  </pic:nvPicPr>
                  <pic:blipFill>
                    <a:blip r:embed="rId14"/>
                    <a:stretch>
                      <a:fillRect/>
                    </a:stretch>
                  </pic:blipFill>
                  <pic:spPr>
                    <a:xfrm>
                      <a:off x="0" y="0"/>
                      <a:ext cx="3474085" cy="2620010"/>
                    </a:xfrm>
                    <a:prstGeom prst="rect">
                      <a:avLst/>
                    </a:prstGeom>
                  </pic:spPr>
                </pic:pic>
              </a:graphicData>
            </a:graphic>
          </wp:inline>
        </w:drawing>
      </w:r>
    </w:p>
    <w:p>
      <w:pPr>
        <w:spacing w:line="360" w:lineRule="auto"/>
        <w:ind w:firstLine="920" w:firstLineChars="200"/>
        <w:jc w:val="center"/>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图8</w:t>
      </w:r>
    </w:p>
    <w:p>
      <w:pPr>
        <w:pStyle w:val="4"/>
        <w:numPr>
          <w:ilvl w:val="0"/>
          <w:numId w:val="2"/>
        </w:numPr>
        <w:spacing w:after="0" w:line="360" w:lineRule="auto"/>
        <w:ind w:right="2" w:firstLine="88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z w:val="44"/>
          <w:szCs w:val="44"/>
        </w:rPr>
        <w:t>申请点与参照零售点</w:t>
      </w:r>
      <w:r>
        <w:rPr>
          <w:rFonts w:hint="eastAsia" w:ascii="仿宋_GB2312" w:hAnsi="仿宋_GB2312" w:eastAsia="仿宋_GB2312" w:cs="仿宋_GB2312"/>
          <w:spacing w:val="10"/>
          <w:sz w:val="44"/>
          <w:szCs w:val="44"/>
        </w:rPr>
        <w:t>之间有道路隔离情形的：</w:t>
      </w:r>
    </w:p>
    <w:p>
      <w:pPr>
        <w:pStyle w:val="4"/>
        <w:numPr>
          <w:ilvl w:val="0"/>
          <w:numId w:val="3"/>
        </w:numPr>
        <w:spacing w:after="0" w:line="360" w:lineRule="auto"/>
        <w:ind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主干道上有禁止行人行走隔离带的（包括禁止通行的双实线、单实线等交通标志），测量从隔离带最近开口处过斑马线、天桥等行人可安全步行通道，以直线距离为测量标准，申请点与参照零售点间距=a+b+c。（如图9.1）</w:t>
      </w:r>
    </w:p>
    <w:p>
      <w:pPr>
        <w:pStyle w:val="4"/>
        <w:spacing w:after="0" w:line="360" w:lineRule="auto"/>
        <w:ind w:firstLine="920" w:firstLineChars="200"/>
        <w:jc w:val="center"/>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drawing>
          <wp:inline distT="0" distB="0" distL="114300" distR="114300">
            <wp:extent cx="4906010" cy="3133090"/>
            <wp:effectExtent l="0" t="0" r="0" b="0"/>
            <wp:docPr id="26" name="图片 26" descr="8ba54ecd243e5522fac748aa3cc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ba54ecd243e5522fac748aa3cc0758"/>
                    <pic:cNvPicPr>
                      <a:picLocks noChangeAspect="1"/>
                    </pic:cNvPicPr>
                  </pic:nvPicPr>
                  <pic:blipFill>
                    <a:blip r:embed="rId15">
                      <a:clrChange>
                        <a:clrFrom>
                          <a:srgbClr val="FBFCF7">
                            <a:alpha val="100000"/>
                          </a:srgbClr>
                        </a:clrFrom>
                        <a:clrTo>
                          <a:srgbClr val="FBFCF7">
                            <a:alpha val="100000"/>
                            <a:alpha val="0"/>
                          </a:srgbClr>
                        </a:clrTo>
                      </a:clrChange>
                    </a:blip>
                    <a:stretch>
                      <a:fillRect/>
                    </a:stretch>
                  </pic:blipFill>
                  <pic:spPr>
                    <a:xfrm>
                      <a:off x="0" y="0"/>
                      <a:ext cx="4906010" cy="3133090"/>
                    </a:xfrm>
                    <a:prstGeom prst="rect">
                      <a:avLst/>
                    </a:prstGeom>
                  </pic:spPr>
                </pic:pic>
              </a:graphicData>
            </a:graphic>
          </wp:inline>
        </w:drawing>
      </w:r>
    </w:p>
    <w:p>
      <w:pPr>
        <w:spacing w:line="360" w:lineRule="auto"/>
        <w:ind w:firstLine="920" w:firstLineChars="200"/>
        <w:jc w:val="center"/>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图9.1</w:t>
      </w:r>
    </w:p>
    <w:p>
      <w:pPr>
        <w:pStyle w:val="4"/>
        <w:numPr>
          <w:ilvl w:val="0"/>
          <w:numId w:val="3"/>
        </w:numPr>
        <w:spacing w:after="0" w:line="360" w:lineRule="auto"/>
        <w:ind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无隔离带（包括无任何禁止通行交通标志的路段或有可通行的单虚线），但两个零售点之间有斑马线的，按照“边对边”过斑马线垂直距离为测量标准。</w:t>
      </w:r>
      <w:r>
        <w:rPr>
          <w:rFonts w:hint="eastAsia" w:ascii="仿宋_GB2312" w:hAnsi="仿宋_GB2312" w:eastAsia="仿宋_GB2312" w:cs="仿宋_GB2312"/>
          <w:sz w:val="44"/>
          <w:szCs w:val="44"/>
        </w:rPr>
        <w:t>申请点与参照零售点</w:t>
      </w:r>
      <w:r>
        <w:rPr>
          <w:rFonts w:hint="eastAsia" w:ascii="仿宋_GB2312" w:hAnsi="仿宋_GB2312" w:eastAsia="仿宋_GB2312" w:cs="仿宋_GB2312"/>
          <w:spacing w:val="10"/>
          <w:sz w:val="44"/>
          <w:szCs w:val="44"/>
        </w:rPr>
        <w:t>间距=a+b+c。（如图9.2）</w:t>
      </w:r>
    </w:p>
    <w:p>
      <w:pPr>
        <w:pStyle w:val="4"/>
        <w:spacing w:after="0" w:line="360" w:lineRule="auto"/>
        <w:ind w:firstLine="920" w:firstLineChars="200"/>
        <w:jc w:val="center"/>
        <w:rPr>
          <w:rFonts w:ascii="仿宋_GB2312" w:hAnsi="仿宋_GB2312" w:eastAsia="仿宋_GB2312" w:cs="仿宋_GB2312"/>
          <w:sz w:val="44"/>
          <w:szCs w:val="44"/>
        </w:rPr>
      </w:pPr>
      <w:r>
        <w:rPr>
          <w:rFonts w:hint="eastAsia" w:ascii="仿宋_GB2312" w:hAnsi="仿宋_GB2312" w:eastAsia="仿宋_GB2312" w:cs="仿宋_GB2312"/>
          <w:spacing w:val="10"/>
          <w:sz w:val="44"/>
          <w:szCs w:val="44"/>
        </w:rPr>
        <w:drawing>
          <wp:inline distT="0" distB="0" distL="114300" distR="114300">
            <wp:extent cx="4220210" cy="2446020"/>
            <wp:effectExtent l="0" t="0" r="8890" b="11430"/>
            <wp:docPr id="34" name="图片 34" descr="c278b0802036915e85f53d70bcbf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278b0802036915e85f53d70bcbf8a1"/>
                    <pic:cNvPicPr>
                      <a:picLocks noChangeAspect="1"/>
                    </pic:cNvPicPr>
                  </pic:nvPicPr>
                  <pic:blipFill>
                    <a:blip r:embed="rId16"/>
                    <a:srcRect t="11409"/>
                    <a:stretch>
                      <a:fillRect/>
                    </a:stretch>
                  </pic:blipFill>
                  <pic:spPr>
                    <a:xfrm>
                      <a:off x="0" y="0"/>
                      <a:ext cx="4220210" cy="2446020"/>
                    </a:xfrm>
                    <a:prstGeom prst="rect">
                      <a:avLst/>
                    </a:prstGeom>
                  </pic:spPr>
                </pic:pic>
              </a:graphicData>
            </a:graphic>
          </wp:inline>
        </w:drawing>
      </w:r>
      <w:bookmarkStart w:id="0" w:name="Fuzhu"/>
      <w:bookmarkEnd w:id="0"/>
      <w:bookmarkStart w:id="1" w:name="attache_title"/>
      <w:bookmarkEnd w:id="1"/>
    </w:p>
    <w:p>
      <w:pPr>
        <w:spacing w:line="360" w:lineRule="auto"/>
        <w:ind w:right="-512" w:rightChars="-244" w:firstLine="920" w:firstLineChars="200"/>
        <w:jc w:val="center"/>
        <w:rPr>
          <w:rFonts w:ascii="仿宋_GB2312" w:hAnsi="仿宋_GB2312" w:eastAsia="仿宋_GB2312" w:cs="仿宋_GB2312"/>
          <w:sz w:val="44"/>
          <w:szCs w:val="44"/>
        </w:rPr>
      </w:pPr>
      <w:r>
        <w:rPr>
          <w:rFonts w:hint="eastAsia" w:ascii="仿宋_GB2312" w:hAnsi="仿宋_GB2312" w:eastAsia="仿宋_GB2312" w:cs="仿宋_GB2312"/>
          <w:spacing w:val="10"/>
          <w:sz w:val="44"/>
          <w:szCs w:val="44"/>
        </w:rPr>
        <w:t>图9.2</w:t>
      </w:r>
    </w:p>
    <w:p>
      <w:pPr>
        <w:spacing w:line="360" w:lineRule="auto"/>
        <w:ind w:firstLine="920" w:firstLineChars="200"/>
        <w:jc w:val="left"/>
        <w:rPr>
          <w:rFonts w:ascii="仿宋_GB2312" w:hAnsi="仿宋_GB2312" w:eastAsia="仿宋_GB2312" w:cs="仿宋_GB2312"/>
          <w:spacing w:val="10"/>
          <w:sz w:val="44"/>
          <w:szCs w:val="44"/>
        </w:rPr>
      </w:pPr>
    </w:p>
    <w:p>
      <w:pPr>
        <w:pStyle w:val="4"/>
        <w:numPr>
          <w:ilvl w:val="0"/>
          <w:numId w:val="2"/>
        </w:numPr>
        <w:spacing w:after="0" w:line="360" w:lineRule="auto"/>
        <w:ind w:right="2" w:firstLine="920" w:firstLineChars="200"/>
        <w:jc w:val="left"/>
        <w:rPr>
          <w:rFonts w:ascii="仿宋_GB2312" w:hAnsi="仿宋_GB2312" w:eastAsia="仿宋_GB2312" w:cs="仿宋_GB2312"/>
          <w:sz w:val="44"/>
          <w:szCs w:val="44"/>
        </w:rPr>
      </w:pPr>
      <w:r>
        <w:rPr>
          <w:rFonts w:hint="eastAsia" w:ascii="仿宋_GB2312" w:hAnsi="仿宋_GB2312" w:eastAsia="仿宋_GB2312" w:cs="仿宋_GB2312"/>
          <w:spacing w:val="10"/>
          <w:sz w:val="44"/>
          <w:szCs w:val="44"/>
        </w:rPr>
        <w:t>各类综合性商品批发市场、专业市场、集贸市场内部距离测量示意图，</w:t>
      </w:r>
      <w:r>
        <w:rPr>
          <w:rFonts w:hint="eastAsia" w:ascii="仿宋_GB2312" w:hAnsi="仿宋_GB2312" w:eastAsia="仿宋_GB2312" w:cs="仿宋_GB2312"/>
          <w:sz w:val="44"/>
          <w:szCs w:val="44"/>
        </w:rPr>
        <w:t>申请点与参照零售点间距</w:t>
      </w:r>
      <w:r>
        <w:rPr>
          <w:rFonts w:hint="eastAsia" w:ascii="仿宋_GB2312" w:hAnsi="仿宋_GB2312" w:eastAsia="仿宋_GB2312" w:cs="仿宋_GB2312"/>
          <w:spacing w:val="10"/>
          <w:sz w:val="44"/>
          <w:szCs w:val="44"/>
        </w:rPr>
        <w:t>=a+b+c。（如图10）</w:t>
      </w:r>
    </w:p>
    <w:p>
      <w:pPr>
        <w:spacing w:line="360" w:lineRule="auto"/>
        <w:ind w:firstLine="920" w:firstLineChars="200"/>
        <w:jc w:val="center"/>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drawing>
          <wp:inline distT="0" distB="0" distL="114300" distR="114300">
            <wp:extent cx="3851275" cy="2245360"/>
            <wp:effectExtent l="0" t="0" r="15875" b="2540"/>
            <wp:docPr id="36" name="图片 36" descr="2f67498772cdcce961f622af2fa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f67498772cdcce961f622af2fa8684"/>
                    <pic:cNvPicPr>
                      <a:picLocks noChangeAspect="1"/>
                    </pic:cNvPicPr>
                  </pic:nvPicPr>
                  <pic:blipFill>
                    <a:blip r:embed="rId17"/>
                    <a:stretch>
                      <a:fillRect/>
                    </a:stretch>
                  </pic:blipFill>
                  <pic:spPr>
                    <a:xfrm>
                      <a:off x="0" y="0"/>
                      <a:ext cx="3851275" cy="2245360"/>
                    </a:xfrm>
                    <a:prstGeom prst="rect">
                      <a:avLst/>
                    </a:prstGeom>
                  </pic:spPr>
                </pic:pic>
              </a:graphicData>
            </a:graphic>
          </wp:inline>
        </w:drawing>
      </w:r>
    </w:p>
    <w:p>
      <w:pPr>
        <w:spacing w:line="360" w:lineRule="auto"/>
        <w:ind w:firstLine="920" w:firstLineChars="200"/>
        <w:jc w:val="center"/>
        <w:rPr>
          <w:rFonts w:ascii="仿宋_GB2312" w:hAnsi="仿宋_GB2312" w:eastAsia="仿宋_GB2312" w:cs="仿宋_GB2312"/>
          <w:sz w:val="44"/>
          <w:szCs w:val="44"/>
        </w:rPr>
      </w:pPr>
      <w:r>
        <w:rPr>
          <w:rFonts w:hint="eastAsia" w:ascii="仿宋_GB2312" w:hAnsi="仿宋_GB2312" w:eastAsia="仿宋_GB2312" w:cs="仿宋_GB2312"/>
          <w:spacing w:val="10"/>
          <w:sz w:val="44"/>
          <w:szCs w:val="44"/>
        </w:rPr>
        <w:t>图10</w:t>
      </w:r>
    </w:p>
    <w:p>
      <w:pPr>
        <w:pStyle w:val="4"/>
        <w:numPr>
          <w:ilvl w:val="0"/>
          <w:numId w:val="2"/>
        </w:numPr>
        <w:spacing w:after="0" w:line="360" w:lineRule="auto"/>
        <w:ind w:right="2"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申请点与参照零售点</w:t>
      </w:r>
      <w:r>
        <w:rPr>
          <w:rFonts w:hint="eastAsia" w:ascii="仿宋_GB2312" w:hAnsi="仿宋_GB2312" w:eastAsia="仿宋_GB2312" w:cs="仿宋_GB2312"/>
          <w:spacing w:val="10"/>
          <w:sz w:val="44"/>
          <w:szCs w:val="44"/>
        </w:rPr>
        <w:t>的经营场所之间有台阶、楼梯的，以其平面坡长进行测量；有电梯的，以层高进行测量；楼梯与电梯并存的，以最短距离的为准。（如图11）</w:t>
      </w:r>
    </w:p>
    <w:p>
      <w:pPr>
        <w:spacing w:line="360" w:lineRule="auto"/>
        <w:ind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drawing>
          <wp:inline distT="0" distB="0" distL="114300" distR="114300">
            <wp:extent cx="5163185" cy="2213610"/>
            <wp:effectExtent l="0" t="0" r="18415" b="15240"/>
            <wp:docPr id="37" name="图片 37" descr="b08fff5a5926b05bdda889babaae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08fff5a5926b05bdda889babaaeb28"/>
                    <pic:cNvPicPr>
                      <a:picLocks noChangeAspect="1"/>
                    </pic:cNvPicPr>
                  </pic:nvPicPr>
                  <pic:blipFill>
                    <a:blip r:embed="rId18"/>
                    <a:stretch>
                      <a:fillRect/>
                    </a:stretch>
                  </pic:blipFill>
                  <pic:spPr>
                    <a:xfrm>
                      <a:off x="0" y="0"/>
                      <a:ext cx="5163185" cy="2213610"/>
                    </a:xfrm>
                    <a:prstGeom prst="rect">
                      <a:avLst/>
                    </a:prstGeom>
                  </pic:spPr>
                </pic:pic>
              </a:graphicData>
            </a:graphic>
          </wp:inline>
        </w:drawing>
      </w:r>
    </w:p>
    <w:p>
      <w:pPr>
        <w:tabs>
          <w:tab w:val="left" w:pos="1331"/>
        </w:tabs>
        <w:spacing w:line="360" w:lineRule="auto"/>
        <w:ind w:firstLine="920" w:firstLineChars="200"/>
        <w:jc w:val="center"/>
        <w:rPr>
          <w:rFonts w:ascii="仿宋_GB2312" w:hAnsi="仿宋_GB2312" w:eastAsia="仿宋_GB2312" w:cs="仿宋_GB2312"/>
          <w:sz w:val="44"/>
          <w:szCs w:val="44"/>
        </w:rPr>
      </w:pPr>
      <w:r>
        <w:rPr>
          <w:rFonts w:hint="eastAsia" w:ascii="仿宋_GB2312" w:hAnsi="仿宋_GB2312" w:eastAsia="仿宋_GB2312" w:cs="仿宋_GB2312"/>
          <w:spacing w:val="10"/>
          <w:sz w:val="44"/>
          <w:szCs w:val="44"/>
        </w:rPr>
        <w:t>图11</w:t>
      </w:r>
    </w:p>
    <w:p>
      <w:pPr>
        <w:pStyle w:val="4"/>
        <w:numPr>
          <w:ilvl w:val="0"/>
          <w:numId w:val="2"/>
        </w:numPr>
        <w:spacing w:after="0" w:line="360" w:lineRule="auto"/>
        <w:ind w:right="2"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申请点或零售点多门情况</w:t>
      </w:r>
    </w:p>
    <w:p>
      <w:pPr>
        <w:pStyle w:val="4"/>
        <w:spacing w:after="0" w:line="360" w:lineRule="auto"/>
        <w:ind w:right="2"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申请人经营场所门面多面（多间）贯通且多面经营的，测量起始点的选取规则是：申请人与参照零售点之间距离最近的门面为起始点测量。</w:t>
      </w:r>
    </w:p>
    <w:p>
      <w:pPr>
        <w:spacing w:line="360" w:lineRule="auto"/>
        <w:ind w:firstLine="880" w:firstLineChars="200"/>
        <w:rPr>
          <w:rFonts w:ascii="仿宋_GB2312" w:hAnsi="仿宋_GB2312" w:eastAsia="仿宋_GB2312" w:cs="仿宋_GB2312"/>
          <w:sz w:val="44"/>
          <w:szCs w:val="44"/>
        </w:rPr>
      </w:pPr>
      <w:r>
        <w:rPr>
          <w:rFonts w:hint="eastAsia" w:ascii="仿宋_GB2312" w:hAnsi="仿宋_GB2312" w:eastAsia="仿宋_GB2312" w:cs="仿宋_GB2312"/>
          <w:sz w:val="44"/>
          <w:szCs w:val="44"/>
        </w:rPr>
        <w:t>（1）道路同侧情况</w:t>
      </w:r>
    </w:p>
    <w:p>
      <w:pPr>
        <w:spacing w:line="360" w:lineRule="auto"/>
        <w:ind w:firstLine="880" w:firstLineChars="200"/>
        <w:rPr>
          <w:rFonts w:ascii="仿宋_GB2312" w:hAnsi="仿宋_GB2312" w:eastAsia="仿宋_GB2312" w:cs="仿宋_GB2312"/>
          <w:sz w:val="44"/>
          <w:szCs w:val="44"/>
        </w:rPr>
      </w:pPr>
      <w:r>
        <w:rPr>
          <w:rFonts w:hint="eastAsia" w:ascii="仿宋_GB2312" w:hAnsi="仿宋_GB2312" w:eastAsia="仿宋_GB2312" w:cs="仿宋_GB2312"/>
          <w:sz w:val="44"/>
          <w:szCs w:val="44"/>
        </w:rPr>
        <w:t>申请点出入口较多，取与最近零售点经营场所最短的出入口进行测量。（如图12.1）</w:t>
      </w:r>
    </w:p>
    <w:p>
      <w:pPr>
        <w:spacing w:line="360" w:lineRule="auto"/>
        <w:ind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drawing>
          <wp:inline distT="0" distB="0" distL="114300" distR="114300">
            <wp:extent cx="4333875" cy="2213610"/>
            <wp:effectExtent l="0" t="0" r="9525" b="15240"/>
            <wp:docPr id="38" name="图片 38" descr="b861e0d0513f560d18e101d62e6c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861e0d0513f560d18e101d62e6c6ff"/>
                    <pic:cNvPicPr>
                      <a:picLocks noChangeAspect="1"/>
                    </pic:cNvPicPr>
                  </pic:nvPicPr>
                  <pic:blipFill>
                    <a:blip r:embed="rId19"/>
                    <a:stretch>
                      <a:fillRect/>
                    </a:stretch>
                  </pic:blipFill>
                  <pic:spPr>
                    <a:xfrm rot="10800000" flipH="1" flipV="1">
                      <a:off x="0" y="0"/>
                      <a:ext cx="4333875" cy="2213610"/>
                    </a:xfrm>
                    <a:prstGeom prst="rect">
                      <a:avLst/>
                    </a:prstGeom>
                  </pic:spPr>
                </pic:pic>
              </a:graphicData>
            </a:graphic>
          </wp:inline>
        </w:drawing>
      </w:r>
    </w:p>
    <w:p>
      <w:pPr>
        <w:spacing w:line="360" w:lineRule="auto"/>
        <w:ind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t>图12.1</w:t>
      </w:r>
    </w:p>
    <w:p>
      <w:pPr>
        <w:spacing w:line="360" w:lineRule="auto"/>
        <w:ind w:firstLine="880" w:firstLineChars="200"/>
        <w:rPr>
          <w:rFonts w:ascii="仿宋_GB2312" w:hAnsi="仿宋_GB2312" w:eastAsia="仿宋_GB2312" w:cs="仿宋_GB2312"/>
          <w:sz w:val="44"/>
          <w:szCs w:val="44"/>
        </w:rPr>
      </w:pPr>
      <w:r>
        <w:rPr>
          <w:rFonts w:hint="eastAsia" w:ascii="仿宋_GB2312" w:hAnsi="仿宋_GB2312" w:eastAsia="仿宋_GB2312" w:cs="仿宋_GB2312"/>
          <w:sz w:val="44"/>
          <w:szCs w:val="44"/>
        </w:rPr>
        <w:t>（2）十字路口情况</w:t>
      </w:r>
    </w:p>
    <w:p>
      <w:pPr>
        <w:spacing w:line="360" w:lineRule="auto"/>
        <w:ind w:firstLine="880" w:firstLineChars="200"/>
        <w:rPr>
          <w:rFonts w:ascii="仿宋_GB2312" w:hAnsi="仿宋_GB2312" w:eastAsia="仿宋_GB2312" w:cs="仿宋_GB2312"/>
          <w:sz w:val="44"/>
          <w:szCs w:val="44"/>
        </w:rPr>
      </w:pPr>
      <w:r>
        <w:rPr>
          <w:rFonts w:hint="eastAsia" w:ascii="仿宋_GB2312" w:hAnsi="仿宋_GB2312" w:eastAsia="仿宋_GB2312" w:cs="仿宋_GB2312"/>
          <w:sz w:val="44"/>
          <w:szCs w:val="44"/>
        </w:rPr>
        <w:t>A.申请点与参照零售点在十字路口中轴线同一半侧的道路对侧的，取申请点至零售点最近一侧的门边，测量</w:t>
      </w:r>
      <w:r>
        <w:rPr>
          <w:rFonts w:hint="eastAsia" w:ascii="仿宋_GB2312" w:hAnsi="仿宋_GB2312" w:eastAsia="仿宋_GB2312" w:cs="仿宋_GB2312"/>
          <w:spacing w:val="10"/>
          <w:sz w:val="44"/>
          <w:szCs w:val="44"/>
        </w:rPr>
        <w:t>可安全步行的最短距离</w:t>
      </w:r>
      <w:r>
        <w:rPr>
          <w:rFonts w:hint="eastAsia" w:ascii="仿宋_GB2312" w:hAnsi="仿宋_GB2312" w:eastAsia="仿宋_GB2312" w:cs="仿宋_GB2312"/>
          <w:sz w:val="44"/>
          <w:szCs w:val="44"/>
        </w:rPr>
        <w:t>。具体测量办法视有无交通信号灯、人行横道或过街设施的路段以及障碍物情况而定。（如图12.2）</w:t>
      </w:r>
    </w:p>
    <w:p>
      <w:pPr>
        <w:spacing w:line="360" w:lineRule="auto"/>
        <w:ind w:firstLine="880" w:firstLineChars="200"/>
        <w:jc w:val="center"/>
        <w:rPr>
          <w:rFonts w:ascii="仿宋_GB2312" w:hAnsi="仿宋_GB2312" w:eastAsia="仿宋_GB2312" w:cs="仿宋_GB2312"/>
          <w:sz w:val="44"/>
          <w:szCs w:val="44"/>
        </w:rPr>
      </w:pPr>
    </w:p>
    <w:p>
      <w:pPr>
        <w:spacing w:line="360" w:lineRule="auto"/>
        <w:ind w:firstLine="880" w:firstLineChars="200"/>
        <w:jc w:val="center"/>
        <w:rPr>
          <w:rFonts w:ascii="仿宋_GB2312" w:hAnsi="仿宋_GB2312" w:eastAsia="仿宋_GB2312" w:cs="仿宋_GB2312"/>
          <w:sz w:val="44"/>
          <w:szCs w:val="44"/>
        </w:rPr>
      </w:pPr>
      <w:r>
        <w:rPr>
          <w:rFonts w:ascii="仿宋_GB2312" w:hAnsi="仿宋_GB2312" w:eastAsia="仿宋_GB2312" w:cs="仿宋_GB2312"/>
          <w:sz w:val="44"/>
          <w:szCs w:val="44"/>
        </w:rPr>
        <w:drawing>
          <wp:inline distT="0" distB="0" distL="0" distR="0">
            <wp:extent cx="2657475" cy="2441575"/>
            <wp:effectExtent l="0" t="0" r="9525" b="15875"/>
            <wp:docPr id="286644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44646"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677368" cy="2459787"/>
                    </a:xfrm>
                    <a:prstGeom prst="rect">
                      <a:avLst/>
                    </a:prstGeom>
                    <a:noFill/>
                    <a:ln>
                      <a:noFill/>
                    </a:ln>
                  </pic:spPr>
                </pic:pic>
              </a:graphicData>
            </a:graphic>
          </wp:inline>
        </w:drawing>
      </w:r>
    </w:p>
    <w:p>
      <w:pPr>
        <w:spacing w:line="360" w:lineRule="auto"/>
        <w:ind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t>图12.2</w:t>
      </w:r>
    </w:p>
    <w:p>
      <w:pPr>
        <w:spacing w:line="360" w:lineRule="auto"/>
        <w:ind w:firstLine="880" w:firstLineChars="200"/>
        <w:rPr>
          <w:rFonts w:ascii="仿宋_GB2312" w:hAnsi="仿宋_GB2312" w:eastAsia="仿宋_GB2312" w:cs="仿宋_GB2312"/>
          <w:sz w:val="44"/>
          <w:szCs w:val="44"/>
        </w:rPr>
      </w:pPr>
      <w:r>
        <w:rPr>
          <w:rFonts w:hint="eastAsia" w:ascii="仿宋_GB2312" w:hAnsi="仿宋_GB2312" w:eastAsia="仿宋_GB2312" w:cs="仿宋_GB2312"/>
          <w:sz w:val="44"/>
          <w:szCs w:val="44"/>
        </w:rPr>
        <w:t>B.申请点与参照零售点位于十字路口对角位置的，且路口中间设有交通信号灯、人行横道或过街设施的，应按照交通规则，通过人行横道或过街设施，按申请点最近一侧门边至零售点最近一侧门边</w:t>
      </w:r>
      <w:r>
        <w:rPr>
          <w:rFonts w:hint="eastAsia" w:ascii="仿宋_GB2312" w:hAnsi="仿宋_GB2312" w:eastAsia="仿宋_GB2312" w:cs="仿宋_GB2312"/>
          <w:spacing w:val="10"/>
          <w:sz w:val="44"/>
          <w:szCs w:val="44"/>
        </w:rPr>
        <w:t>可安全步行最短距离</w:t>
      </w:r>
      <w:r>
        <w:rPr>
          <w:rFonts w:hint="eastAsia" w:ascii="仿宋_GB2312" w:hAnsi="仿宋_GB2312" w:eastAsia="仿宋_GB2312" w:cs="仿宋_GB2312"/>
          <w:sz w:val="44"/>
          <w:szCs w:val="44"/>
        </w:rPr>
        <w:t>。（如图12.3存在多条线路取其中</w:t>
      </w:r>
      <w:r>
        <w:rPr>
          <w:rFonts w:hint="eastAsia" w:ascii="仿宋_GB2312" w:hAnsi="仿宋_GB2312" w:eastAsia="仿宋_GB2312" w:cs="仿宋_GB2312"/>
          <w:spacing w:val="10"/>
          <w:sz w:val="44"/>
          <w:szCs w:val="44"/>
        </w:rPr>
        <w:t>可安全步行最短距离线路测量</w:t>
      </w:r>
      <w:r>
        <w:rPr>
          <w:rFonts w:hint="eastAsia" w:ascii="仿宋_GB2312" w:hAnsi="仿宋_GB2312" w:eastAsia="仿宋_GB2312" w:cs="仿宋_GB2312"/>
          <w:sz w:val="44"/>
          <w:szCs w:val="44"/>
        </w:rPr>
        <w:t>）</w:t>
      </w:r>
    </w:p>
    <w:p>
      <w:pPr>
        <w:spacing w:line="360" w:lineRule="auto"/>
        <w:ind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drawing>
          <wp:inline distT="0" distB="0" distL="114300" distR="114300">
            <wp:extent cx="3131185" cy="2522855"/>
            <wp:effectExtent l="0" t="0" r="12065" b="10795"/>
            <wp:docPr id="43" name="图片 43" descr="991a379882017bdd4fda0c6acf0b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991a379882017bdd4fda0c6acf0b3cf"/>
                    <pic:cNvPicPr>
                      <a:picLocks noChangeAspect="1"/>
                    </pic:cNvPicPr>
                  </pic:nvPicPr>
                  <pic:blipFill>
                    <a:blip r:embed="rId21"/>
                    <a:stretch>
                      <a:fillRect/>
                    </a:stretch>
                  </pic:blipFill>
                  <pic:spPr>
                    <a:xfrm>
                      <a:off x="0" y="0"/>
                      <a:ext cx="3131185" cy="2522855"/>
                    </a:xfrm>
                    <a:prstGeom prst="rect">
                      <a:avLst/>
                    </a:prstGeom>
                  </pic:spPr>
                </pic:pic>
              </a:graphicData>
            </a:graphic>
          </wp:inline>
        </w:drawing>
      </w:r>
    </w:p>
    <w:p>
      <w:pPr>
        <w:spacing w:line="360" w:lineRule="auto"/>
        <w:ind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t>图12.3</w:t>
      </w:r>
    </w:p>
    <w:p>
      <w:pPr>
        <w:spacing w:line="360" w:lineRule="auto"/>
        <w:ind w:firstLine="880" w:firstLineChars="200"/>
        <w:rPr>
          <w:rFonts w:ascii="仿宋_GB2312" w:hAnsi="仿宋_GB2312" w:eastAsia="仿宋_GB2312" w:cs="仿宋_GB2312"/>
          <w:sz w:val="44"/>
          <w:szCs w:val="44"/>
        </w:rPr>
      </w:pPr>
      <w:r>
        <w:rPr>
          <w:rFonts w:hint="eastAsia" w:ascii="仿宋_GB2312" w:hAnsi="仿宋_GB2312" w:eastAsia="仿宋_GB2312" w:cs="仿宋_GB2312"/>
          <w:sz w:val="44"/>
          <w:szCs w:val="44"/>
        </w:rPr>
        <w:t>C.申请点与参照零售点位于十字路口对角位置，且路口中间未设有交通信号灯、人行横道或过街设施的，按申请点至零售点最近一侧的门边，测量</w:t>
      </w:r>
      <w:r>
        <w:rPr>
          <w:rFonts w:hint="eastAsia" w:ascii="仿宋_GB2312" w:hAnsi="仿宋_GB2312" w:eastAsia="仿宋_GB2312" w:cs="仿宋_GB2312"/>
          <w:spacing w:val="10"/>
          <w:sz w:val="44"/>
          <w:szCs w:val="44"/>
        </w:rPr>
        <w:t>可安全步行最短距离</w:t>
      </w:r>
      <w:r>
        <w:rPr>
          <w:rFonts w:hint="eastAsia" w:ascii="仿宋_GB2312" w:hAnsi="仿宋_GB2312" w:eastAsia="仿宋_GB2312" w:cs="仿宋_GB2312"/>
          <w:sz w:val="44"/>
          <w:szCs w:val="44"/>
        </w:rPr>
        <w:t>。（如图12.4存在多条线路，取其中一条</w:t>
      </w:r>
      <w:r>
        <w:rPr>
          <w:rFonts w:hint="eastAsia" w:ascii="仿宋_GB2312" w:hAnsi="仿宋_GB2312" w:eastAsia="仿宋_GB2312" w:cs="仿宋_GB2312"/>
          <w:spacing w:val="10"/>
          <w:sz w:val="44"/>
          <w:szCs w:val="44"/>
        </w:rPr>
        <w:t>可安全步行最短距离线路测量</w:t>
      </w:r>
      <w:r>
        <w:rPr>
          <w:rFonts w:hint="eastAsia" w:ascii="仿宋_GB2312" w:hAnsi="仿宋_GB2312" w:eastAsia="仿宋_GB2312" w:cs="仿宋_GB2312"/>
          <w:sz w:val="44"/>
          <w:szCs w:val="44"/>
        </w:rPr>
        <w:t>）</w:t>
      </w:r>
    </w:p>
    <w:p>
      <w:pPr>
        <w:spacing w:line="360" w:lineRule="auto"/>
        <w:ind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drawing>
          <wp:inline distT="0" distB="0" distL="114300" distR="114300">
            <wp:extent cx="3330575" cy="2741930"/>
            <wp:effectExtent l="0" t="0" r="3175" b="1270"/>
            <wp:docPr id="46" name="图片 46" descr="9255d481f7a56990fb4032b60a1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255d481f7a56990fb4032b60a15101"/>
                    <pic:cNvPicPr>
                      <a:picLocks noChangeAspect="1"/>
                    </pic:cNvPicPr>
                  </pic:nvPicPr>
                  <pic:blipFill>
                    <a:blip r:embed="rId22"/>
                    <a:stretch>
                      <a:fillRect/>
                    </a:stretch>
                  </pic:blipFill>
                  <pic:spPr>
                    <a:xfrm>
                      <a:off x="0" y="0"/>
                      <a:ext cx="3330575" cy="2741930"/>
                    </a:xfrm>
                    <a:prstGeom prst="rect">
                      <a:avLst/>
                    </a:prstGeom>
                  </pic:spPr>
                </pic:pic>
              </a:graphicData>
            </a:graphic>
          </wp:inline>
        </w:drawing>
      </w:r>
    </w:p>
    <w:p>
      <w:pPr>
        <w:spacing w:line="360" w:lineRule="auto"/>
        <w:ind w:firstLine="880" w:firstLineChars="20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t>图12.4</w:t>
      </w:r>
    </w:p>
    <w:p>
      <w:pPr>
        <w:pStyle w:val="4"/>
        <w:numPr>
          <w:ilvl w:val="0"/>
          <w:numId w:val="2"/>
        </w:numPr>
        <w:spacing w:after="0" w:line="360" w:lineRule="auto"/>
        <w:ind w:right="2" w:firstLine="920" w:firstLineChars="200"/>
        <w:jc w:val="left"/>
        <w:rPr>
          <w:rFonts w:ascii="仿宋_GB2312" w:hAnsi="仿宋_GB2312" w:eastAsia="仿宋_GB2312" w:cs="仿宋_GB2312"/>
          <w:spacing w:val="10"/>
          <w:sz w:val="44"/>
          <w:szCs w:val="44"/>
        </w:rPr>
      </w:pPr>
      <w:r>
        <w:rPr>
          <w:rFonts w:hint="eastAsia" w:ascii="仿宋_GB2312" w:hAnsi="仿宋_GB2312" w:eastAsia="仿宋_GB2312" w:cs="仿宋_GB2312"/>
          <w:spacing w:val="10"/>
          <w:sz w:val="44"/>
          <w:szCs w:val="44"/>
        </w:rPr>
        <w:t>封闭式小区内部、广场等区域零售点的间距测量方法均以原设计道路、人行通道正常安全步行的最短距离进行测量。</w:t>
      </w:r>
    </w:p>
    <w:p>
      <w:pPr>
        <w:pStyle w:val="4"/>
        <w:numPr>
          <w:ilvl w:val="0"/>
          <w:numId w:val="2"/>
        </w:numPr>
        <w:spacing w:after="0" w:line="360" w:lineRule="auto"/>
        <w:ind w:right="2" w:firstLine="920" w:firstLineChars="200"/>
        <w:jc w:val="left"/>
        <w:rPr>
          <w:rFonts w:ascii="仿宋_GB2312" w:hAnsi="黑体" w:eastAsia="仿宋_GB2312" w:cs="宋体"/>
          <w:sz w:val="44"/>
          <w:szCs w:val="44"/>
          <w:lang w:bidi="ug-CN"/>
        </w:rPr>
      </w:pPr>
      <w:r>
        <w:rPr>
          <w:rFonts w:hint="eastAsia" w:ascii="仿宋_GB2312" w:hAnsi="仿宋_GB2312" w:eastAsia="仿宋_GB2312" w:cs="仿宋_GB2312"/>
          <w:spacing w:val="10"/>
          <w:sz w:val="44"/>
          <w:szCs w:val="44"/>
        </w:rPr>
        <w:t>特殊地形测量：因地形、地貌或设计等原因导致道路、通道成不规则形态，通过前述方法无法测量的，以可安全步行最短距离进行测量。</w:t>
      </w:r>
    </w:p>
    <w:p>
      <w:pPr>
        <w:ind w:firstLine="680"/>
        <w:rPr>
          <w:rFonts w:ascii="仿宋_GB2312" w:hAnsi="仿宋_GB2312" w:eastAsia="仿宋_GB2312" w:cs="仿宋_GB2312"/>
          <w:spacing w:val="10"/>
          <w:sz w:val="44"/>
          <w:szCs w:val="44"/>
        </w:rPr>
      </w:pPr>
    </w:p>
    <w:p>
      <w:pPr>
        <w:ind w:firstLine="680"/>
        <w:rPr>
          <w:rFonts w:ascii="仿宋_GB2312" w:hAnsi="仿宋_GB2312" w:eastAsia="仿宋_GB2312" w:cs="仿宋_GB2312"/>
          <w:spacing w:val="10"/>
          <w:sz w:val="44"/>
          <w:szCs w:val="44"/>
        </w:rPr>
      </w:pPr>
    </w:p>
    <w:p>
      <w:pPr>
        <w:ind w:firstLine="680"/>
        <w:rPr>
          <w:rFonts w:ascii="仿宋_GB2312" w:hAnsi="仿宋_GB2312" w:eastAsia="仿宋_GB2312" w:cs="仿宋_GB2312"/>
          <w:spacing w:val="10"/>
          <w:sz w:val="44"/>
          <w:szCs w:val="44"/>
        </w:rPr>
      </w:pPr>
    </w:p>
    <w:sectPr>
      <w:pgSz w:w="16838" w:h="23811"/>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国标黑体">
    <w:panose1 w:val="02000500000000000000"/>
    <w:charset w:val="86"/>
    <w:family w:val="auto"/>
    <w:pitch w:val="default"/>
    <w:sig w:usb0="00000001" w:usb1="08000000" w:usb2="00000000" w:usb3="00000000" w:csb0="00060007"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33B175"/>
    <w:multiLevelType w:val="singleLevel"/>
    <w:tmpl w:val="8C33B175"/>
    <w:lvl w:ilvl="0" w:tentative="0">
      <w:start w:val="1"/>
      <w:numFmt w:val="chineseCounting"/>
      <w:suff w:val="nothing"/>
      <w:lvlText w:val="（%1）"/>
      <w:lvlJc w:val="left"/>
      <w:pPr>
        <w:ind w:left="0" w:firstLine="420"/>
      </w:pPr>
      <w:rPr>
        <w:rFonts w:hint="eastAsia"/>
      </w:rPr>
    </w:lvl>
  </w:abstractNum>
  <w:abstractNum w:abstractNumId="1">
    <w:nsid w:val="8D2C3E46"/>
    <w:multiLevelType w:val="singleLevel"/>
    <w:tmpl w:val="8D2C3E46"/>
    <w:lvl w:ilvl="0" w:tentative="0">
      <w:start w:val="1"/>
      <w:numFmt w:val="decimal"/>
      <w:suff w:val="nothing"/>
      <w:lvlText w:val="%1．"/>
      <w:lvlJc w:val="left"/>
      <w:pPr>
        <w:ind w:left="0" w:firstLine="400"/>
      </w:pPr>
      <w:rPr>
        <w:rFonts w:hint="default"/>
        <w:sz w:val="44"/>
        <w:szCs w:val="44"/>
      </w:rPr>
    </w:lvl>
  </w:abstractNum>
  <w:abstractNum w:abstractNumId="2">
    <w:nsid w:val="434CEC37"/>
    <w:multiLevelType w:val="singleLevel"/>
    <w:tmpl w:val="434CEC37"/>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1NmRhMjg1NDM4MjAxZmRmYjRiNjA5YTg0NjQ1YTAifQ=="/>
  </w:docVars>
  <w:rsids>
    <w:rsidRoot w:val="00B54FA4"/>
    <w:rsid w:val="00007C10"/>
    <w:rsid w:val="000529AD"/>
    <w:rsid w:val="0008195B"/>
    <w:rsid w:val="000A0310"/>
    <w:rsid w:val="000A1377"/>
    <w:rsid w:val="000A2396"/>
    <w:rsid w:val="000A26C4"/>
    <w:rsid w:val="000B6281"/>
    <w:rsid w:val="000F2F6B"/>
    <w:rsid w:val="000F3D15"/>
    <w:rsid w:val="000F6997"/>
    <w:rsid w:val="001018DB"/>
    <w:rsid w:val="001347F6"/>
    <w:rsid w:val="001404E3"/>
    <w:rsid w:val="00150260"/>
    <w:rsid w:val="001546B9"/>
    <w:rsid w:val="00160FAF"/>
    <w:rsid w:val="00173DCF"/>
    <w:rsid w:val="001A5052"/>
    <w:rsid w:val="001B7C81"/>
    <w:rsid w:val="001C03A3"/>
    <w:rsid w:val="001C14AE"/>
    <w:rsid w:val="001C6D63"/>
    <w:rsid w:val="001D09D6"/>
    <w:rsid w:val="001D2B5D"/>
    <w:rsid w:val="001F1E16"/>
    <w:rsid w:val="00200368"/>
    <w:rsid w:val="00213156"/>
    <w:rsid w:val="0023233B"/>
    <w:rsid w:val="00247651"/>
    <w:rsid w:val="002552C7"/>
    <w:rsid w:val="00260E8E"/>
    <w:rsid w:val="00265C47"/>
    <w:rsid w:val="0026700E"/>
    <w:rsid w:val="002735B8"/>
    <w:rsid w:val="00294F19"/>
    <w:rsid w:val="00297F6D"/>
    <w:rsid w:val="002A38D2"/>
    <w:rsid w:val="002B247F"/>
    <w:rsid w:val="002B782D"/>
    <w:rsid w:val="002B7CAE"/>
    <w:rsid w:val="002C17A2"/>
    <w:rsid w:val="002C239B"/>
    <w:rsid w:val="002E6EBD"/>
    <w:rsid w:val="002E7E4C"/>
    <w:rsid w:val="002F305A"/>
    <w:rsid w:val="002F77F6"/>
    <w:rsid w:val="003037FA"/>
    <w:rsid w:val="003154B0"/>
    <w:rsid w:val="00323A6A"/>
    <w:rsid w:val="00324B1C"/>
    <w:rsid w:val="00335A1B"/>
    <w:rsid w:val="00337CE0"/>
    <w:rsid w:val="00363728"/>
    <w:rsid w:val="003852F3"/>
    <w:rsid w:val="00393A70"/>
    <w:rsid w:val="003C70A9"/>
    <w:rsid w:val="003C73AD"/>
    <w:rsid w:val="003D31C0"/>
    <w:rsid w:val="003E5B74"/>
    <w:rsid w:val="003F0F32"/>
    <w:rsid w:val="0041095A"/>
    <w:rsid w:val="004242ED"/>
    <w:rsid w:val="00432168"/>
    <w:rsid w:val="0044320B"/>
    <w:rsid w:val="0047543D"/>
    <w:rsid w:val="004804CC"/>
    <w:rsid w:val="00486990"/>
    <w:rsid w:val="004951A5"/>
    <w:rsid w:val="004B1123"/>
    <w:rsid w:val="004B1F17"/>
    <w:rsid w:val="004D09BB"/>
    <w:rsid w:val="00500E60"/>
    <w:rsid w:val="00513BFF"/>
    <w:rsid w:val="005177DF"/>
    <w:rsid w:val="0052201A"/>
    <w:rsid w:val="0053297E"/>
    <w:rsid w:val="005511F7"/>
    <w:rsid w:val="00552C3F"/>
    <w:rsid w:val="0055303F"/>
    <w:rsid w:val="00586E6F"/>
    <w:rsid w:val="00593015"/>
    <w:rsid w:val="00594897"/>
    <w:rsid w:val="00595643"/>
    <w:rsid w:val="0059713E"/>
    <w:rsid w:val="005D458E"/>
    <w:rsid w:val="00603E50"/>
    <w:rsid w:val="00615BF6"/>
    <w:rsid w:val="006269E4"/>
    <w:rsid w:val="006559BF"/>
    <w:rsid w:val="00676732"/>
    <w:rsid w:val="006841EA"/>
    <w:rsid w:val="006A121B"/>
    <w:rsid w:val="006F68EE"/>
    <w:rsid w:val="00706726"/>
    <w:rsid w:val="007171C6"/>
    <w:rsid w:val="00720605"/>
    <w:rsid w:val="00757036"/>
    <w:rsid w:val="007724CB"/>
    <w:rsid w:val="0077625F"/>
    <w:rsid w:val="00786C4D"/>
    <w:rsid w:val="00790AF5"/>
    <w:rsid w:val="00797C99"/>
    <w:rsid w:val="007A3F52"/>
    <w:rsid w:val="007A51B4"/>
    <w:rsid w:val="007A6670"/>
    <w:rsid w:val="007A7E3E"/>
    <w:rsid w:val="007B14D1"/>
    <w:rsid w:val="007D5488"/>
    <w:rsid w:val="008218C1"/>
    <w:rsid w:val="008426C5"/>
    <w:rsid w:val="0085301E"/>
    <w:rsid w:val="0086389D"/>
    <w:rsid w:val="00893EE4"/>
    <w:rsid w:val="008B4B50"/>
    <w:rsid w:val="008B5613"/>
    <w:rsid w:val="00904118"/>
    <w:rsid w:val="00907288"/>
    <w:rsid w:val="00921E9A"/>
    <w:rsid w:val="009432B0"/>
    <w:rsid w:val="009514B1"/>
    <w:rsid w:val="0095596D"/>
    <w:rsid w:val="009776AF"/>
    <w:rsid w:val="00992098"/>
    <w:rsid w:val="00996ED8"/>
    <w:rsid w:val="009B3BA6"/>
    <w:rsid w:val="009C1532"/>
    <w:rsid w:val="009C297C"/>
    <w:rsid w:val="009C43EC"/>
    <w:rsid w:val="009E5347"/>
    <w:rsid w:val="009F5D3B"/>
    <w:rsid w:val="009F79D1"/>
    <w:rsid w:val="00A1054E"/>
    <w:rsid w:val="00A11C0B"/>
    <w:rsid w:val="00A27AF9"/>
    <w:rsid w:val="00A749A6"/>
    <w:rsid w:val="00A83BDF"/>
    <w:rsid w:val="00A860DA"/>
    <w:rsid w:val="00A87185"/>
    <w:rsid w:val="00A92B33"/>
    <w:rsid w:val="00AC7961"/>
    <w:rsid w:val="00B012FD"/>
    <w:rsid w:val="00B07554"/>
    <w:rsid w:val="00B50238"/>
    <w:rsid w:val="00B54FA4"/>
    <w:rsid w:val="00B77EDD"/>
    <w:rsid w:val="00B916BB"/>
    <w:rsid w:val="00B91768"/>
    <w:rsid w:val="00BF0062"/>
    <w:rsid w:val="00C00931"/>
    <w:rsid w:val="00C010A1"/>
    <w:rsid w:val="00C05886"/>
    <w:rsid w:val="00C26A6B"/>
    <w:rsid w:val="00C4477D"/>
    <w:rsid w:val="00C46F67"/>
    <w:rsid w:val="00C514FC"/>
    <w:rsid w:val="00C67B98"/>
    <w:rsid w:val="00C76D8C"/>
    <w:rsid w:val="00C82E5E"/>
    <w:rsid w:val="00C95017"/>
    <w:rsid w:val="00CB3EFB"/>
    <w:rsid w:val="00CD4310"/>
    <w:rsid w:val="00CE4AE2"/>
    <w:rsid w:val="00D1266A"/>
    <w:rsid w:val="00D12FE7"/>
    <w:rsid w:val="00D13827"/>
    <w:rsid w:val="00D267E4"/>
    <w:rsid w:val="00D51D18"/>
    <w:rsid w:val="00D83712"/>
    <w:rsid w:val="00DA0B70"/>
    <w:rsid w:val="00DA3EA5"/>
    <w:rsid w:val="00DB0CB9"/>
    <w:rsid w:val="00DB6C0F"/>
    <w:rsid w:val="00DC1862"/>
    <w:rsid w:val="00DC3B44"/>
    <w:rsid w:val="00DD05BE"/>
    <w:rsid w:val="00E15D71"/>
    <w:rsid w:val="00E249DD"/>
    <w:rsid w:val="00E4002C"/>
    <w:rsid w:val="00E649F9"/>
    <w:rsid w:val="00E663A5"/>
    <w:rsid w:val="00E71C47"/>
    <w:rsid w:val="00E855F2"/>
    <w:rsid w:val="00E91613"/>
    <w:rsid w:val="00EA1AF7"/>
    <w:rsid w:val="00EA6D96"/>
    <w:rsid w:val="00EB6970"/>
    <w:rsid w:val="00ED17C4"/>
    <w:rsid w:val="00ED649C"/>
    <w:rsid w:val="00ED6532"/>
    <w:rsid w:val="00EE6D12"/>
    <w:rsid w:val="00F02ED9"/>
    <w:rsid w:val="00F3194E"/>
    <w:rsid w:val="00F44038"/>
    <w:rsid w:val="00F519DA"/>
    <w:rsid w:val="00F5202D"/>
    <w:rsid w:val="00F544A3"/>
    <w:rsid w:val="00F925EC"/>
    <w:rsid w:val="00F9555E"/>
    <w:rsid w:val="00FC7F42"/>
    <w:rsid w:val="00FD56D0"/>
    <w:rsid w:val="013E61E2"/>
    <w:rsid w:val="01B97F5E"/>
    <w:rsid w:val="01BD7A4F"/>
    <w:rsid w:val="01F62F61"/>
    <w:rsid w:val="020B07BA"/>
    <w:rsid w:val="023F74A5"/>
    <w:rsid w:val="02873BB9"/>
    <w:rsid w:val="028D5673"/>
    <w:rsid w:val="03630182"/>
    <w:rsid w:val="03724869"/>
    <w:rsid w:val="03764359"/>
    <w:rsid w:val="038A3960"/>
    <w:rsid w:val="03977E2B"/>
    <w:rsid w:val="03B22EB7"/>
    <w:rsid w:val="03F434D0"/>
    <w:rsid w:val="03FB03BA"/>
    <w:rsid w:val="04073203"/>
    <w:rsid w:val="04463D2B"/>
    <w:rsid w:val="049F168E"/>
    <w:rsid w:val="055367AA"/>
    <w:rsid w:val="05A01219"/>
    <w:rsid w:val="05C9691D"/>
    <w:rsid w:val="05E337FC"/>
    <w:rsid w:val="05F72E03"/>
    <w:rsid w:val="061439B5"/>
    <w:rsid w:val="065B7836"/>
    <w:rsid w:val="06862B05"/>
    <w:rsid w:val="069F7723"/>
    <w:rsid w:val="06FF01C2"/>
    <w:rsid w:val="07375BAD"/>
    <w:rsid w:val="07464042"/>
    <w:rsid w:val="07B471FE"/>
    <w:rsid w:val="08153021"/>
    <w:rsid w:val="084E7652"/>
    <w:rsid w:val="08A454C4"/>
    <w:rsid w:val="08B51480"/>
    <w:rsid w:val="08B5322E"/>
    <w:rsid w:val="08E0142B"/>
    <w:rsid w:val="09120680"/>
    <w:rsid w:val="09267C87"/>
    <w:rsid w:val="09510A7C"/>
    <w:rsid w:val="09945539"/>
    <w:rsid w:val="0A186A74"/>
    <w:rsid w:val="0A4505E1"/>
    <w:rsid w:val="0A6F38B0"/>
    <w:rsid w:val="0AAF0151"/>
    <w:rsid w:val="0BA457DB"/>
    <w:rsid w:val="0C3D1EB8"/>
    <w:rsid w:val="0C531E05"/>
    <w:rsid w:val="0C566AD6"/>
    <w:rsid w:val="0C6C1D6D"/>
    <w:rsid w:val="0CDD0FA5"/>
    <w:rsid w:val="0D3C216F"/>
    <w:rsid w:val="0D703BC7"/>
    <w:rsid w:val="0D9E6986"/>
    <w:rsid w:val="0DD95C10"/>
    <w:rsid w:val="0DE93979"/>
    <w:rsid w:val="0E3F3599"/>
    <w:rsid w:val="0E9B4D6B"/>
    <w:rsid w:val="0F2B249C"/>
    <w:rsid w:val="0F331350"/>
    <w:rsid w:val="0F8472AC"/>
    <w:rsid w:val="0FB81855"/>
    <w:rsid w:val="0FC83699"/>
    <w:rsid w:val="10352EA6"/>
    <w:rsid w:val="10724BC2"/>
    <w:rsid w:val="10F7015B"/>
    <w:rsid w:val="10FE773C"/>
    <w:rsid w:val="112E1DCF"/>
    <w:rsid w:val="11317B11"/>
    <w:rsid w:val="116D6693"/>
    <w:rsid w:val="1182211B"/>
    <w:rsid w:val="11BD13A5"/>
    <w:rsid w:val="121D3BF2"/>
    <w:rsid w:val="12282CC2"/>
    <w:rsid w:val="124F64A1"/>
    <w:rsid w:val="128D6FC9"/>
    <w:rsid w:val="12FD414F"/>
    <w:rsid w:val="13053004"/>
    <w:rsid w:val="136E2957"/>
    <w:rsid w:val="13A2286C"/>
    <w:rsid w:val="14290F74"/>
    <w:rsid w:val="145A737F"/>
    <w:rsid w:val="14773A8D"/>
    <w:rsid w:val="149363ED"/>
    <w:rsid w:val="14CB202B"/>
    <w:rsid w:val="14EF3F6B"/>
    <w:rsid w:val="1537321C"/>
    <w:rsid w:val="155A6964"/>
    <w:rsid w:val="15DB629E"/>
    <w:rsid w:val="16161084"/>
    <w:rsid w:val="16315EBE"/>
    <w:rsid w:val="16CA07EC"/>
    <w:rsid w:val="17222B54"/>
    <w:rsid w:val="17345C65"/>
    <w:rsid w:val="176B052A"/>
    <w:rsid w:val="1787048B"/>
    <w:rsid w:val="17884203"/>
    <w:rsid w:val="17B2794F"/>
    <w:rsid w:val="17D336D0"/>
    <w:rsid w:val="17FB2C27"/>
    <w:rsid w:val="18E90CD1"/>
    <w:rsid w:val="19520625"/>
    <w:rsid w:val="19595E57"/>
    <w:rsid w:val="19740ACF"/>
    <w:rsid w:val="19AD7F51"/>
    <w:rsid w:val="19E842EE"/>
    <w:rsid w:val="1A2226ED"/>
    <w:rsid w:val="1A7F369B"/>
    <w:rsid w:val="1B972C67"/>
    <w:rsid w:val="1C617E78"/>
    <w:rsid w:val="1C9A0C60"/>
    <w:rsid w:val="1D4E37F9"/>
    <w:rsid w:val="1DEC54EC"/>
    <w:rsid w:val="1E0A13E9"/>
    <w:rsid w:val="1EBF675C"/>
    <w:rsid w:val="1EDE2594"/>
    <w:rsid w:val="1EF75A46"/>
    <w:rsid w:val="1F5822FF"/>
    <w:rsid w:val="1F5E110A"/>
    <w:rsid w:val="1F5E5F75"/>
    <w:rsid w:val="1F6A2B6C"/>
    <w:rsid w:val="1F980D5B"/>
    <w:rsid w:val="1FE346CD"/>
    <w:rsid w:val="20210D51"/>
    <w:rsid w:val="20256A93"/>
    <w:rsid w:val="20407429"/>
    <w:rsid w:val="205630F0"/>
    <w:rsid w:val="20AC2D10"/>
    <w:rsid w:val="20DB7E87"/>
    <w:rsid w:val="21723F5A"/>
    <w:rsid w:val="217F0425"/>
    <w:rsid w:val="2185711A"/>
    <w:rsid w:val="21F77FBB"/>
    <w:rsid w:val="222A359C"/>
    <w:rsid w:val="235A2EF8"/>
    <w:rsid w:val="23641680"/>
    <w:rsid w:val="23B95264"/>
    <w:rsid w:val="23CB7951"/>
    <w:rsid w:val="23ED3D6C"/>
    <w:rsid w:val="23FE1AD5"/>
    <w:rsid w:val="24305A06"/>
    <w:rsid w:val="24A106B2"/>
    <w:rsid w:val="24A501A2"/>
    <w:rsid w:val="24A563F4"/>
    <w:rsid w:val="24D32F62"/>
    <w:rsid w:val="251A293E"/>
    <w:rsid w:val="253432D4"/>
    <w:rsid w:val="254C2D14"/>
    <w:rsid w:val="256B319A"/>
    <w:rsid w:val="259B3353"/>
    <w:rsid w:val="25DF1492"/>
    <w:rsid w:val="267E0CAB"/>
    <w:rsid w:val="271635D9"/>
    <w:rsid w:val="27A6670B"/>
    <w:rsid w:val="27BF3329"/>
    <w:rsid w:val="27F07987"/>
    <w:rsid w:val="281C077C"/>
    <w:rsid w:val="28243AD4"/>
    <w:rsid w:val="287E31E4"/>
    <w:rsid w:val="2886653D"/>
    <w:rsid w:val="289C7B0E"/>
    <w:rsid w:val="28AA3FD9"/>
    <w:rsid w:val="28C66939"/>
    <w:rsid w:val="28D14EFE"/>
    <w:rsid w:val="29186701"/>
    <w:rsid w:val="29BE79F2"/>
    <w:rsid w:val="29D657BC"/>
    <w:rsid w:val="2A47728D"/>
    <w:rsid w:val="2AC006D5"/>
    <w:rsid w:val="2ACF5F79"/>
    <w:rsid w:val="2AD27817"/>
    <w:rsid w:val="2AD96DF8"/>
    <w:rsid w:val="2AE5579D"/>
    <w:rsid w:val="2B465B0F"/>
    <w:rsid w:val="2B5E72FD"/>
    <w:rsid w:val="2BCC4267"/>
    <w:rsid w:val="2BD31A99"/>
    <w:rsid w:val="2BE62698"/>
    <w:rsid w:val="2C0C4FAB"/>
    <w:rsid w:val="2C365B84"/>
    <w:rsid w:val="2C550700"/>
    <w:rsid w:val="2CC43190"/>
    <w:rsid w:val="2CEE645F"/>
    <w:rsid w:val="2CFC0B7C"/>
    <w:rsid w:val="2D2D6F87"/>
    <w:rsid w:val="2DC72F38"/>
    <w:rsid w:val="2E76670C"/>
    <w:rsid w:val="2EAC70DE"/>
    <w:rsid w:val="2EF44200"/>
    <w:rsid w:val="2F223CE4"/>
    <w:rsid w:val="2F61116A"/>
    <w:rsid w:val="2FF344B8"/>
    <w:rsid w:val="2FF41FDE"/>
    <w:rsid w:val="2FF67B04"/>
    <w:rsid w:val="3029612C"/>
    <w:rsid w:val="30E61BF3"/>
    <w:rsid w:val="30FD526E"/>
    <w:rsid w:val="313905F0"/>
    <w:rsid w:val="31BB30A3"/>
    <w:rsid w:val="31CC3212"/>
    <w:rsid w:val="31CF5374"/>
    <w:rsid w:val="31D16A7B"/>
    <w:rsid w:val="31EC4B25"/>
    <w:rsid w:val="31F6028F"/>
    <w:rsid w:val="32820142"/>
    <w:rsid w:val="33067842"/>
    <w:rsid w:val="33423060"/>
    <w:rsid w:val="335C6818"/>
    <w:rsid w:val="338B4A07"/>
    <w:rsid w:val="33BA709B"/>
    <w:rsid w:val="33FC76B3"/>
    <w:rsid w:val="341A6CD0"/>
    <w:rsid w:val="345B087E"/>
    <w:rsid w:val="34A35D81"/>
    <w:rsid w:val="34B82A8C"/>
    <w:rsid w:val="35577297"/>
    <w:rsid w:val="35876C0D"/>
    <w:rsid w:val="35935DF5"/>
    <w:rsid w:val="359A7184"/>
    <w:rsid w:val="35A16764"/>
    <w:rsid w:val="35E240AE"/>
    <w:rsid w:val="35F42D38"/>
    <w:rsid w:val="35F9034E"/>
    <w:rsid w:val="35FB40C6"/>
    <w:rsid w:val="3619454C"/>
    <w:rsid w:val="36242A76"/>
    <w:rsid w:val="36413BB2"/>
    <w:rsid w:val="366F3577"/>
    <w:rsid w:val="36B10C29"/>
    <w:rsid w:val="37070849"/>
    <w:rsid w:val="372E4027"/>
    <w:rsid w:val="373158C6"/>
    <w:rsid w:val="373F6235"/>
    <w:rsid w:val="377D0B0B"/>
    <w:rsid w:val="37D42E21"/>
    <w:rsid w:val="37D95A6E"/>
    <w:rsid w:val="380A05F1"/>
    <w:rsid w:val="3842422E"/>
    <w:rsid w:val="38D806EF"/>
    <w:rsid w:val="391E1E7A"/>
    <w:rsid w:val="39445D84"/>
    <w:rsid w:val="396B3311"/>
    <w:rsid w:val="3980739E"/>
    <w:rsid w:val="39873EC3"/>
    <w:rsid w:val="39C80763"/>
    <w:rsid w:val="3A5F274A"/>
    <w:rsid w:val="3A95616C"/>
    <w:rsid w:val="3AAA1C17"/>
    <w:rsid w:val="3ABD5DEE"/>
    <w:rsid w:val="3AE570F3"/>
    <w:rsid w:val="3B3B4F65"/>
    <w:rsid w:val="3B6224F2"/>
    <w:rsid w:val="3B985F13"/>
    <w:rsid w:val="3BD50F16"/>
    <w:rsid w:val="3C4816E7"/>
    <w:rsid w:val="3C7F0E81"/>
    <w:rsid w:val="3C86437D"/>
    <w:rsid w:val="3D597924"/>
    <w:rsid w:val="3DB01C3A"/>
    <w:rsid w:val="3DBEA6F7"/>
    <w:rsid w:val="3DD35929"/>
    <w:rsid w:val="3DE96EFA"/>
    <w:rsid w:val="3E5311DB"/>
    <w:rsid w:val="3E612F34"/>
    <w:rsid w:val="3EEB27FE"/>
    <w:rsid w:val="3EEF22EE"/>
    <w:rsid w:val="3F1E7746"/>
    <w:rsid w:val="3F281CA4"/>
    <w:rsid w:val="3F982986"/>
    <w:rsid w:val="3FA532F5"/>
    <w:rsid w:val="3FB672B0"/>
    <w:rsid w:val="3FD31C10"/>
    <w:rsid w:val="3FEF2A7C"/>
    <w:rsid w:val="40330901"/>
    <w:rsid w:val="40503261"/>
    <w:rsid w:val="40642868"/>
    <w:rsid w:val="406867FC"/>
    <w:rsid w:val="40730CFD"/>
    <w:rsid w:val="407A208B"/>
    <w:rsid w:val="407F76A2"/>
    <w:rsid w:val="40ED6D01"/>
    <w:rsid w:val="40FC5196"/>
    <w:rsid w:val="41E77BF5"/>
    <w:rsid w:val="41E81277"/>
    <w:rsid w:val="4204563D"/>
    <w:rsid w:val="421656DC"/>
    <w:rsid w:val="42B94406"/>
    <w:rsid w:val="42D31F27"/>
    <w:rsid w:val="431B5DA8"/>
    <w:rsid w:val="43362BE2"/>
    <w:rsid w:val="43741014"/>
    <w:rsid w:val="43947908"/>
    <w:rsid w:val="43EC14F2"/>
    <w:rsid w:val="44240C8C"/>
    <w:rsid w:val="449753BF"/>
    <w:rsid w:val="45244CBC"/>
    <w:rsid w:val="459B6D2C"/>
    <w:rsid w:val="45E462DA"/>
    <w:rsid w:val="460348D1"/>
    <w:rsid w:val="460F14C8"/>
    <w:rsid w:val="46511AE0"/>
    <w:rsid w:val="46737CA9"/>
    <w:rsid w:val="47226FD9"/>
    <w:rsid w:val="473016F6"/>
    <w:rsid w:val="476D64A6"/>
    <w:rsid w:val="47777325"/>
    <w:rsid w:val="47A605B8"/>
    <w:rsid w:val="47CE36D2"/>
    <w:rsid w:val="47E80223"/>
    <w:rsid w:val="482C010F"/>
    <w:rsid w:val="48401E0D"/>
    <w:rsid w:val="48403BBB"/>
    <w:rsid w:val="489F4D85"/>
    <w:rsid w:val="48D52555"/>
    <w:rsid w:val="493354CD"/>
    <w:rsid w:val="49697141"/>
    <w:rsid w:val="49867CF3"/>
    <w:rsid w:val="49BA174B"/>
    <w:rsid w:val="49FE3D2D"/>
    <w:rsid w:val="4AA5064D"/>
    <w:rsid w:val="4AB34B18"/>
    <w:rsid w:val="4AD36F68"/>
    <w:rsid w:val="4AD8457E"/>
    <w:rsid w:val="4B0D06CC"/>
    <w:rsid w:val="4C376A6D"/>
    <w:rsid w:val="4C787DC7"/>
    <w:rsid w:val="4C9B1D07"/>
    <w:rsid w:val="4CAF7561"/>
    <w:rsid w:val="4CB701C3"/>
    <w:rsid w:val="4D426A4E"/>
    <w:rsid w:val="4D461C73"/>
    <w:rsid w:val="4DA370C6"/>
    <w:rsid w:val="4DBA61BD"/>
    <w:rsid w:val="4DEE5E67"/>
    <w:rsid w:val="4F0F2539"/>
    <w:rsid w:val="4F5B577E"/>
    <w:rsid w:val="4F844CD5"/>
    <w:rsid w:val="4F8C5937"/>
    <w:rsid w:val="4FF7A1AF"/>
    <w:rsid w:val="50324731"/>
    <w:rsid w:val="503C735D"/>
    <w:rsid w:val="504A7CCC"/>
    <w:rsid w:val="50CC248F"/>
    <w:rsid w:val="51256043"/>
    <w:rsid w:val="513B7615"/>
    <w:rsid w:val="51497F84"/>
    <w:rsid w:val="517F7502"/>
    <w:rsid w:val="5181771E"/>
    <w:rsid w:val="51D51818"/>
    <w:rsid w:val="522B58DB"/>
    <w:rsid w:val="527821A3"/>
    <w:rsid w:val="52C35B14"/>
    <w:rsid w:val="52D47D21"/>
    <w:rsid w:val="52EC6E19"/>
    <w:rsid w:val="537F5EDF"/>
    <w:rsid w:val="53BD2563"/>
    <w:rsid w:val="53E53868"/>
    <w:rsid w:val="53E93358"/>
    <w:rsid w:val="548E3F00"/>
    <w:rsid w:val="54D20290"/>
    <w:rsid w:val="558275C0"/>
    <w:rsid w:val="55AD03B6"/>
    <w:rsid w:val="55EC5382"/>
    <w:rsid w:val="56A17F1A"/>
    <w:rsid w:val="56C836F9"/>
    <w:rsid w:val="56D31B27"/>
    <w:rsid w:val="56D77DE0"/>
    <w:rsid w:val="5726041F"/>
    <w:rsid w:val="575C02E5"/>
    <w:rsid w:val="57631674"/>
    <w:rsid w:val="577675F9"/>
    <w:rsid w:val="57F95B34"/>
    <w:rsid w:val="58005114"/>
    <w:rsid w:val="59441031"/>
    <w:rsid w:val="59FA62BF"/>
    <w:rsid w:val="5AB66875"/>
    <w:rsid w:val="5ADD34EB"/>
    <w:rsid w:val="5AEC372E"/>
    <w:rsid w:val="5AF32D0E"/>
    <w:rsid w:val="5B4B48F9"/>
    <w:rsid w:val="5C3830CF"/>
    <w:rsid w:val="5C583771"/>
    <w:rsid w:val="5C6F4617"/>
    <w:rsid w:val="5CEE7C31"/>
    <w:rsid w:val="5DB06C95"/>
    <w:rsid w:val="5E361890"/>
    <w:rsid w:val="5E432182"/>
    <w:rsid w:val="5E6A778C"/>
    <w:rsid w:val="5E9640DD"/>
    <w:rsid w:val="5EB86749"/>
    <w:rsid w:val="5EBC7D66"/>
    <w:rsid w:val="5ED13367"/>
    <w:rsid w:val="5ED35331"/>
    <w:rsid w:val="5EEB245D"/>
    <w:rsid w:val="5F7AECB8"/>
    <w:rsid w:val="5F7E235B"/>
    <w:rsid w:val="5FBEEEE2"/>
    <w:rsid w:val="60687CFB"/>
    <w:rsid w:val="608F34D9"/>
    <w:rsid w:val="608F7035"/>
    <w:rsid w:val="60C767CF"/>
    <w:rsid w:val="60F670B5"/>
    <w:rsid w:val="615D506D"/>
    <w:rsid w:val="61F335F4"/>
    <w:rsid w:val="620A1069"/>
    <w:rsid w:val="620F4796"/>
    <w:rsid w:val="623065F6"/>
    <w:rsid w:val="62562501"/>
    <w:rsid w:val="62EC2BEB"/>
    <w:rsid w:val="634B2982"/>
    <w:rsid w:val="636B5B38"/>
    <w:rsid w:val="636D5D54"/>
    <w:rsid w:val="6386611B"/>
    <w:rsid w:val="638C5AAE"/>
    <w:rsid w:val="63974B7F"/>
    <w:rsid w:val="639826A5"/>
    <w:rsid w:val="63C27722"/>
    <w:rsid w:val="63DA4A6C"/>
    <w:rsid w:val="646507D9"/>
    <w:rsid w:val="64963088"/>
    <w:rsid w:val="64C03C61"/>
    <w:rsid w:val="64CA0F84"/>
    <w:rsid w:val="64DD0CB7"/>
    <w:rsid w:val="64F1206D"/>
    <w:rsid w:val="6518584B"/>
    <w:rsid w:val="6546685C"/>
    <w:rsid w:val="658E5B0E"/>
    <w:rsid w:val="659B647C"/>
    <w:rsid w:val="65F8742B"/>
    <w:rsid w:val="662D3578"/>
    <w:rsid w:val="66BC66AA"/>
    <w:rsid w:val="66F916AD"/>
    <w:rsid w:val="670A1E61"/>
    <w:rsid w:val="67515045"/>
    <w:rsid w:val="67531FA6"/>
    <w:rsid w:val="67F1BB04"/>
    <w:rsid w:val="680227E3"/>
    <w:rsid w:val="680F5A43"/>
    <w:rsid w:val="682664D1"/>
    <w:rsid w:val="68460921"/>
    <w:rsid w:val="687E630D"/>
    <w:rsid w:val="69540E1C"/>
    <w:rsid w:val="69A134ED"/>
    <w:rsid w:val="69A27DD9"/>
    <w:rsid w:val="6A3F387A"/>
    <w:rsid w:val="6A486BD3"/>
    <w:rsid w:val="6A507835"/>
    <w:rsid w:val="6AC00E5F"/>
    <w:rsid w:val="6AD9782B"/>
    <w:rsid w:val="6AE83309"/>
    <w:rsid w:val="6B0C5E52"/>
    <w:rsid w:val="6B767770"/>
    <w:rsid w:val="6BDF70C3"/>
    <w:rsid w:val="6BE26BB3"/>
    <w:rsid w:val="6BF6440D"/>
    <w:rsid w:val="6C4909E0"/>
    <w:rsid w:val="6C7041BF"/>
    <w:rsid w:val="6CA95923"/>
    <w:rsid w:val="6CE93F71"/>
    <w:rsid w:val="6CFF50B4"/>
    <w:rsid w:val="6D147240"/>
    <w:rsid w:val="6DE24C48"/>
    <w:rsid w:val="6E4753F3"/>
    <w:rsid w:val="6E7686A2"/>
    <w:rsid w:val="6E7D7067"/>
    <w:rsid w:val="6E8977BA"/>
    <w:rsid w:val="6EF74724"/>
    <w:rsid w:val="6F215C44"/>
    <w:rsid w:val="6F751AEC"/>
    <w:rsid w:val="6F9208F0"/>
    <w:rsid w:val="6FB10D76"/>
    <w:rsid w:val="6FFFC2D5"/>
    <w:rsid w:val="70231548"/>
    <w:rsid w:val="704A67F1"/>
    <w:rsid w:val="7060279C"/>
    <w:rsid w:val="70A46B2D"/>
    <w:rsid w:val="70B96ED9"/>
    <w:rsid w:val="71017ADB"/>
    <w:rsid w:val="717A4EF4"/>
    <w:rsid w:val="71E46F88"/>
    <w:rsid w:val="729A3D44"/>
    <w:rsid w:val="72A2709C"/>
    <w:rsid w:val="72A53BF3"/>
    <w:rsid w:val="72B051CE"/>
    <w:rsid w:val="72B62B48"/>
    <w:rsid w:val="734905CF"/>
    <w:rsid w:val="734939BC"/>
    <w:rsid w:val="735A7977"/>
    <w:rsid w:val="737F08B5"/>
    <w:rsid w:val="739015EB"/>
    <w:rsid w:val="749173C8"/>
    <w:rsid w:val="74C27F31"/>
    <w:rsid w:val="74F82FA3"/>
    <w:rsid w:val="750B717B"/>
    <w:rsid w:val="750E0A19"/>
    <w:rsid w:val="750E6C6B"/>
    <w:rsid w:val="752E2E69"/>
    <w:rsid w:val="75846F2D"/>
    <w:rsid w:val="75E17EDC"/>
    <w:rsid w:val="75F95225"/>
    <w:rsid w:val="75FB71EF"/>
    <w:rsid w:val="76206C56"/>
    <w:rsid w:val="76283D5C"/>
    <w:rsid w:val="76515061"/>
    <w:rsid w:val="76516E0F"/>
    <w:rsid w:val="767FA4CA"/>
    <w:rsid w:val="768A2321"/>
    <w:rsid w:val="76CC293A"/>
    <w:rsid w:val="77043E82"/>
    <w:rsid w:val="77065E4C"/>
    <w:rsid w:val="771D13E7"/>
    <w:rsid w:val="776F1352"/>
    <w:rsid w:val="779F46D8"/>
    <w:rsid w:val="77A25449"/>
    <w:rsid w:val="782D6ECE"/>
    <w:rsid w:val="78713799"/>
    <w:rsid w:val="7962758B"/>
    <w:rsid w:val="79660E24"/>
    <w:rsid w:val="79915775"/>
    <w:rsid w:val="7A666C01"/>
    <w:rsid w:val="7B9A3006"/>
    <w:rsid w:val="7BA06143"/>
    <w:rsid w:val="7BDF6C6B"/>
    <w:rsid w:val="7BFC5A6F"/>
    <w:rsid w:val="7BFD06DC"/>
    <w:rsid w:val="7C2C27A1"/>
    <w:rsid w:val="7C6B04FF"/>
    <w:rsid w:val="7C75312C"/>
    <w:rsid w:val="7CAF351E"/>
    <w:rsid w:val="7CEE0A08"/>
    <w:rsid w:val="7CF73522"/>
    <w:rsid w:val="7D4A280A"/>
    <w:rsid w:val="7D5176F5"/>
    <w:rsid w:val="7D5B0573"/>
    <w:rsid w:val="7D9B4E14"/>
    <w:rsid w:val="7DC0487A"/>
    <w:rsid w:val="7DC51E91"/>
    <w:rsid w:val="7E0D5D12"/>
    <w:rsid w:val="7E187A46"/>
    <w:rsid w:val="7E77762F"/>
    <w:rsid w:val="7E7C4C45"/>
    <w:rsid w:val="7E9755DB"/>
    <w:rsid w:val="7F0709B3"/>
    <w:rsid w:val="7FE66938"/>
    <w:rsid w:val="7FEA5BDF"/>
    <w:rsid w:val="7FFFC000"/>
    <w:rsid w:val="997E2EF4"/>
    <w:rsid w:val="AFBF9A89"/>
    <w:rsid w:val="AFFE3E23"/>
    <w:rsid w:val="DF5FCC3D"/>
    <w:rsid w:val="F7FF01A8"/>
    <w:rsid w:val="FFBC5A52"/>
    <w:rsid w:val="FFCF18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576" w:lineRule="auto"/>
      <w:outlineLvl w:val="0"/>
    </w:pPr>
    <w:rPr>
      <w:b/>
      <w:kern w:val="44"/>
      <w:sz w:val="4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link w:val="15"/>
    <w:unhideWhenUsed/>
    <w:qFormat/>
    <w:uiPriority w:val="0"/>
    <w:pPr>
      <w:spacing w:after="120"/>
    </w:pPr>
  </w:style>
  <w:style w:type="paragraph" w:styleId="5">
    <w:name w:val="Balloon Text"/>
    <w:basedOn w:val="1"/>
    <w:link w:val="18"/>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17"/>
    <w:qFormat/>
    <w:uiPriority w:val="11"/>
    <w:pPr>
      <w:spacing w:before="240" w:after="240" w:line="312" w:lineRule="auto"/>
      <w:jc w:val="center"/>
      <w:outlineLvl w:val="1"/>
    </w:pPr>
    <w:rPr>
      <w:rFonts w:ascii="等线" w:hAnsi="等线" w:eastAsia="等线"/>
      <w:kern w:val="28"/>
      <w:sz w:val="40"/>
      <w:szCs w:val="40"/>
    </w:rPr>
  </w:style>
  <w:style w:type="paragraph" w:styleId="9">
    <w:name w:val="Normal (Web)"/>
    <w:basedOn w:val="1"/>
    <w:qFormat/>
    <w:uiPriority w:val="0"/>
    <w:pPr>
      <w:spacing w:beforeAutospacing="1" w:afterAutospacing="1"/>
      <w:jc w:val="left"/>
    </w:pPr>
    <w:rPr>
      <w:kern w:val="0"/>
      <w:sz w:val="24"/>
    </w:rPr>
  </w:style>
  <w:style w:type="paragraph" w:styleId="10">
    <w:name w:val="Title"/>
    <w:basedOn w:val="1"/>
    <w:next w:val="1"/>
    <w:link w:val="16"/>
    <w:qFormat/>
    <w:uiPriority w:val="10"/>
    <w:pPr>
      <w:spacing w:before="120" w:after="120"/>
      <w:jc w:val="center"/>
      <w:outlineLvl w:val="0"/>
    </w:pPr>
    <w:rPr>
      <w:rFonts w:ascii="微软雅黑" w:hAnsi="等线 Light" w:eastAsia="微软雅黑"/>
      <w:sz w:val="44"/>
      <w:szCs w:val="44"/>
    </w:rPr>
  </w:style>
  <w:style w:type="character" w:customStyle="1" w:styleId="13">
    <w:name w:val="页眉 字符"/>
    <w:basedOn w:val="12"/>
    <w:link w:val="7"/>
    <w:qFormat/>
    <w:uiPriority w:val="0"/>
    <w:rPr>
      <w:sz w:val="18"/>
      <w:szCs w:val="18"/>
    </w:rPr>
  </w:style>
  <w:style w:type="character" w:customStyle="1" w:styleId="14">
    <w:name w:val="页脚 字符"/>
    <w:basedOn w:val="12"/>
    <w:link w:val="6"/>
    <w:qFormat/>
    <w:uiPriority w:val="99"/>
    <w:rPr>
      <w:sz w:val="18"/>
      <w:szCs w:val="18"/>
    </w:rPr>
  </w:style>
  <w:style w:type="character" w:customStyle="1" w:styleId="15">
    <w:name w:val="正文文本 字符"/>
    <w:basedOn w:val="12"/>
    <w:link w:val="4"/>
    <w:qFormat/>
    <w:uiPriority w:val="0"/>
    <w:rPr>
      <w:rFonts w:ascii="Times New Roman" w:hAnsi="Times New Roman" w:eastAsia="宋体" w:cs="Times New Roman"/>
      <w:szCs w:val="24"/>
    </w:rPr>
  </w:style>
  <w:style w:type="character" w:customStyle="1" w:styleId="16">
    <w:name w:val="标题 字符"/>
    <w:basedOn w:val="12"/>
    <w:link w:val="10"/>
    <w:qFormat/>
    <w:uiPriority w:val="10"/>
    <w:rPr>
      <w:rFonts w:ascii="微软雅黑" w:hAnsi="等线 Light" w:eastAsia="微软雅黑" w:cs="Times New Roman"/>
      <w:sz w:val="44"/>
      <w:szCs w:val="44"/>
    </w:rPr>
  </w:style>
  <w:style w:type="character" w:customStyle="1" w:styleId="17">
    <w:name w:val="副标题 字符"/>
    <w:basedOn w:val="12"/>
    <w:link w:val="8"/>
    <w:qFormat/>
    <w:uiPriority w:val="11"/>
    <w:rPr>
      <w:rFonts w:ascii="等线" w:hAnsi="等线" w:eastAsia="等线" w:cs="Times New Roman"/>
      <w:kern w:val="28"/>
      <w:sz w:val="40"/>
      <w:szCs w:val="40"/>
    </w:rPr>
  </w:style>
  <w:style w:type="character" w:customStyle="1" w:styleId="18">
    <w:name w:val="批注框文本 字符"/>
    <w:basedOn w:val="12"/>
    <w:link w:val="5"/>
    <w:semiHidden/>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table" w:customStyle="1" w:styleId="20">
    <w:name w:val="Table Normal"/>
    <w:semiHidden/>
    <w:unhideWhenUsed/>
    <w:qFormat/>
    <w:uiPriority w:val="0"/>
    <w:rPr>
      <w:rFonts w:ascii="Arial" w:hAnsi="Arial" w:cs="Arial" w:eastAsiaTheme="minorEastAsia"/>
      <w:snapToGrid w:val="0"/>
      <w:color w:val="000000"/>
      <w:sz w:val="21"/>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383</Words>
  <Characters>2188</Characters>
  <Lines>18</Lines>
  <Paragraphs>5</Paragraphs>
  <TotalTime>318</TotalTime>
  <ScaleCrop>false</ScaleCrop>
  <LinksUpToDate>false</LinksUpToDate>
  <CharactersWithSpaces>2566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2023-12-08T11:27:00Z</dcterms:created>
  <dc:creator>Windows 用户</dc:creator>
  <cp:lastModifiedBy>user</cp:lastModifiedBy>
  <cp:lastPrinted>2024-09-21T18:27:00Z</cp:lastPrinted>
  <dcterms:modified xsi:type="dcterms:W3CDTF">2026-08-12T09:02:49Z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71317D15E2BB4BC2B7E45D9C1F0D05FA_13</vt:lpwstr>
  </property>
</Properties>
</file>