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D71D1">
      <w:pPr>
        <w:spacing w:line="590" w:lineRule="exact"/>
        <w:jc w:val="center"/>
        <w:rPr>
          <w:rFonts w:hint="eastAsia" w:ascii="方正小标宋简体" w:hAnsi="Times New Roman" w:eastAsia="方正小标宋简体" w:cs="Times New Roman"/>
          <w:spacing w:val="6"/>
          <w:kern w:val="36"/>
          <w:sz w:val="44"/>
          <w:szCs w:val="44"/>
          <w:highlight w:val="none"/>
        </w:rPr>
      </w:pPr>
      <w:bookmarkStart w:id="0" w:name="_Toc18024"/>
      <w:bookmarkStart w:id="1" w:name="_Toc4101"/>
      <w:r>
        <w:rPr>
          <w:rFonts w:hint="eastAsia" w:ascii="方正小标宋简体" w:eastAsia="方正小标宋简体" w:cs="Times New Roman"/>
          <w:spacing w:val="6"/>
          <w:kern w:val="36"/>
          <w:sz w:val="44"/>
          <w:szCs w:val="44"/>
          <w:highlight w:val="none"/>
          <w:lang w:eastAsia="zh-CN"/>
        </w:rPr>
        <w:t>嵩明县政务服务管理局2024年</w:t>
      </w:r>
      <w:r>
        <w:rPr>
          <w:rFonts w:hint="eastAsia" w:ascii="方正小标宋简体" w:hAnsi="Times New Roman" w:eastAsia="方正小标宋简体" w:cs="Times New Roman"/>
          <w:spacing w:val="6"/>
          <w:kern w:val="36"/>
          <w:sz w:val="44"/>
          <w:szCs w:val="44"/>
          <w:highlight w:val="none"/>
        </w:rPr>
        <w:t>部门整体</w:t>
      </w:r>
    </w:p>
    <w:p w14:paraId="04702E70">
      <w:pPr>
        <w:spacing w:line="590" w:lineRule="exact"/>
        <w:jc w:val="center"/>
        <w:rPr>
          <w:rFonts w:hint="eastAsia" w:ascii="方正小标宋简体" w:hAnsi="Times New Roman" w:eastAsia="方正小标宋简体" w:cs="Times New Roman"/>
          <w:spacing w:val="6"/>
          <w:kern w:val="36"/>
          <w:sz w:val="44"/>
          <w:szCs w:val="44"/>
          <w:highlight w:val="none"/>
        </w:rPr>
      </w:pPr>
      <w:r>
        <w:rPr>
          <w:rFonts w:hint="eastAsia" w:ascii="方正小标宋简体" w:hAnsi="Times New Roman" w:eastAsia="方正小标宋简体" w:cs="Times New Roman"/>
          <w:spacing w:val="6"/>
          <w:kern w:val="36"/>
          <w:sz w:val="44"/>
          <w:szCs w:val="44"/>
          <w:highlight w:val="none"/>
        </w:rPr>
        <w:t>支出绩效评价报告</w:t>
      </w:r>
    </w:p>
    <w:p w14:paraId="27D2C2E9">
      <w:pPr>
        <w:spacing w:line="579" w:lineRule="exact"/>
        <w:rPr>
          <w:rFonts w:hAnsi="仿宋"/>
          <w:spacing w:val="6"/>
          <w:sz w:val="36"/>
          <w:szCs w:val="36"/>
          <w:highlight w:val="yellow"/>
        </w:rPr>
      </w:pPr>
    </w:p>
    <w:p w14:paraId="6B14FAB7">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rPr>
      </w:pPr>
      <w:r>
        <w:rPr>
          <w:rFonts w:hint="eastAsia" w:ascii="仿宋_GB2312" w:hAnsi="仿宋_GB2312" w:eastAsia="仿宋_GB2312" w:cs="仿宋_GB2312"/>
          <w:spacing w:val="6"/>
          <w:sz w:val="30"/>
          <w:szCs w:val="30"/>
          <w:highlight w:val="none"/>
        </w:rPr>
        <w:t>根据《项目支出绩效评价管理办法》（财预〔2020〕10号）、《中共云南省委 云南省政府关于全面实施预算绩效管理的实施意见》（云发〔2019〕11号）、《云南省财政厅关于印发</w:t>
      </w:r>
      <w:r>
        <w:rPr>
          <w:rFonts w:hint="eastAsia" w:ascii="仿宋_GB2312" w:hAnsi="仿宋_GB2312" w:eastAsia="仿宋_GB2312" w:cs="仿宋_GB2312"/>
          <w:spacing w:val="6"/>
          <w:sz w:val="30"/>
          <w:szCs w:val="30"/>
          <w:highlight w:val="none"/>
          <w:lang w:eastAsia="zh-CN"/>
        </w:rPr>
        <w:t>〈</w:t>
      </w:r>
      <w:r>
        <w:rPr>
          <w:rFonts w:hint="eastAsia" w:ascii="仿宋_GB2312" w:hAnsi="仿宋_GB2312" w:eastAsia="仿宋_GB2312" w:cs="仿宋_GB2312"/>
          <w:spacing w:val="6"/>
          <w:sz w:val="30"/>
          <w:szCs w:val="30"/>
          <w:highlight w:val="none"/>
        </w:rPr>
        <w:t>云南省项目支出绩效评价管理办法</w:t>
      </w:r>
      <w:r>
        <w:rPr>
          <w:rFonts w:hint="eastAsia" w:ascii="仿宋_GB2312" w:hAnsi="仿宋_GB2312" w:eastAsia="仿宋_GB2312" w:cs="仿宋_GB2312"/>
          <w:spacing w:val="6"/>
          <w:sz w:val="30"/>
          <w:szCs w:val="30"/>
          <w:highlight w:val="none"/>
          <w:lang w:eastAsia="zh-CN"/>
        </w:rPr>
        <w:t>〉的通知》</w:t>
      </w:r>
      <w:r>
        <w:rPr>
          <w:rFonts w:hint="eastAsia" w:ascii="仿宋_GB2312" w:hAnsi="仿宋_GB2312" w:eastAsia="仿宋_GB2312" w:cs="仿宋_GB2312"/>
          <w:spacing w:val="6"/>
          <w:sz w:val="30"/>
          <w:szCs w:val="30"/>
          <w:highlight w:val="none"/>
        </w:rPr>
        <w:t>（云财绩〔2020〕11号）、《中共昆明市委昆明市人民政府关于全面实施预算绩效管理的实施意见》（昆发〔2019〕12号）和《嵩明县财政局</w:t>
      </w:r>
      <w:r>
        <w:rPr>
          <w:rFonts w:hint="eastAsia" w:ascii="仿宋_GB2312" w:hAnsi="仿宋_GB2312" w:eastAsia="仿宋_GB2312" w:cs="仿宋_GB2312"/>
          <w:spacing w:val="6"/>
          <w:sz w:val="30"/>
          <w:szCs w:val="30"/>
          <w:highlight w:val="none"/>
          <w:lang w:eastAsia="zh-CN"/>
        </w:rPr>
        <w:t>关于</w:t>
      </w:r>
      <w:r>
        <w:rPr>
          <w:rFonts w:hint="eastAsia" w:ascii="仿宋_GB2312" w:hAnsi="仿宋_GB2312" w:eastAsia="仿宋_GB2312" w:cs="仿宋_GB2312"/>
          <w:spacing w:val="6"/>
          <w:sz w:val="30"/>
          <w:szCs w:val="30"/>
          <w:highlight w:val="none"/>
        </w:rPr>
        <w:t>开展2025年财政重点绩效评价及召开相关工作会议的通知》的要求，云南啟元管理咨询有限公司接受嵩明县财政局（以下简称“县财政局”）委托，于2025年10月至12月对</w:t>
      </w:r>
      <w:r>
        <w:rPr>
          <w:rFonts w:hint="eastAsia" w:ascii="仿宋_GB2312" w:hAnsi="仿宋_GB2312" w:eastAsia="仿宋_GB2312" w:cs="仿宋_GB2312"/>
          <w:spacing w:val="6"/>
          <w:sz w:val="30"/>
          <w:szCs w:val="30"/>
          <w:highlight w:val="none"/>
          <w:lang w:eastAsia="zh-CN"/>
        </w:rPr>
        <w:t>嵩明县政务服务管理局</w:t>
      </w:r>
      <w:r>
        <w:rPr>
          <w:rFonts w:hint="eastAsia" w:ascii="仿宋_GB2312" w:hAnsi="仿宋_GB2312" w:eastAsia="仿宋_GB2312" w:cs="仿宋_GB2312"/>
          <w:spacing w:val="6"/>
          <w:sz w:val="30"/>
          <w:szCs w:val="30"/>
          <w:highlight w:val="none"/>
        </w:rPr>
        <w:t>（以下简称“</w:t>
      </w:r>
      <w:r>
        <w:rPr>
          <w:rFonts w:hint="eastAsia" w:ascii="仿宋_GB2312" w:hAnsi="仿宋_GB2312" w:eastAsia="仿宋_GB2312" w:cs="仿宋_GB2312"/>
          <w:spacing w:val="6"/>
          <w:sz w:val="30"/>
          <w:szCs w:val="30"/>
          <w:highlight w:val="none"/>
          <w:lang w:eastAsia="zh-CN"/>
        </w:rPr>
        <w:t>县政务服务管理局</w:t>
      </w:r>
      <w:r>
        <w:rPr>
          <w:rFonts w:hint="eastAsia" w:ascii="仿宋_GB2312" w:hAnsi="仿宋_GB2312" w:eastAsia="仿宋_GB2312" w:cs="仿宋_GB2312"/>
          <w:spacing w:val="6"/>
          <w:sz w:val="30"/>
          <w:szCs w:val="30"/>
          <w:highlight w:val="none"/>
        </w:rPr>
        <w:t>”）</w:t>
      </w:r>
      <w:r>
        <w:rPr>
          <w:rFonts w:hint="eastAsia" w:ascii="仿宋_GB2312" w:hAnsi="仿宋_GB2312" w:eastAsia="仿宋_GB2312" w:cs="仿宋_GB2312"/>
          <w:spacing w:val="6"/>
          <w:sz w:val="30"/>
          <w:szCs w:val="30"/>
          <w:highlight w:val="none"/>
          <w:lang w:eastAsia="zh-CN"/>
        </w:rPr>
        <w:t>2024年</w:t>
      </w:r>
      <w:r>
        <w:rPr>
          <w:rFonts w:hint="eastAsia" w:ascii="仿宋_GB2312" w:hAnsi="仿宋_GB2312" w:eastAsia="仿宋_GB2312" w:cs="仿宋_GB2312"/>
          <w:spacing w:val="6"/>
          <w:sz w:val="30"/>
          <w:szCs w:val="30"/>
          <w:highlight w:val="none"/>
        </w:rPr>
        <w:t>部门整体开展绩效评价。现将评价情况报告如下：</w:t>
      </w:r>
    </w:p>
    <w:p w14:paraId="7E07DE85">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黑体" w:hAnsi="黑体" w:eastAsia="黑体" w:cs="黑体"/>
          <w:spacing w:val="6"/>
          <w:szCs w:val="30"/>
          <w:highlight w:val="none"/>
        </w:rPr>
      </w:pPr>
      <w:r>
        <w:rPr>
          <w:rFonts w:hint="eastAsia" w:ascii="黑体" w:hAnsi="黑体" w:eastAsia="黑体" w:cs="黑体"/>
          <w:spacing w:val="6"/>
          <w:szCs w:val="30"/>
          <w:highlight w:val="none"/>
        </w:rPr>
        <w:t>一、基本情况</w:t>
      </w:r>
      <w:bookmarkEnd w:id="0"/>
      <w:bookmarkEnd w:id="1"/>
    </w:p>
    <w:p w14:paraId="247CF0DE">
      <w:pPr>
        <w:keepNext w:val="0"/>
        <w:keepLines w:val="0"/>
        <w:pageBreakBefore w:val="0"/>
        <w:widowControl w:val="0"/>
        <w:kinsoku/>
        <w:wordWrap/>
        <w:topLinePunct w:val="0"/>
        <w:autoSpaceDE/>
        <w:autoSpaceDN/>
        <w:bidi w:val="0"/>
        <w:adjustRightInd/>
        <w:snapToGrid/>
        <w:spacing w:line="590" w:lineRule="exact"/>
        <w:ind w:firstLine="654" w:firstLineChars="200"/>
        <w:textAlignment w:val="auto"/>
        <w:outlineLvl w:val="9"/>
        <w:rPr>
          <w:rFonts w:hint="default" w:ascii="仿宋_GB2312" w:hAnsi="仿宋" w:eastAsia="仿宋_GB2312" w:cs="Times New Roman"/>
          <w:spacing w:val="6"/>
          <w:sz w:val="30"/>
          <w:szCs w:val="30"/>
          <w:highlight w:val="none"/>
          <w:lang w:val="en-US" w:eastAsia="zh-CN"/>
        </w:rPr>
      </w:pPr>
      <w:r>
        <w:rPr>
          <w:rFonts w:hint="eastAsia" w:ascii="仿宋_GB2312" w:hAnsi="仿宋" w:eastAsia="仿宋_GB2312" w:cs="Times New Roman"/>
          <w:spacing w:val="6"/>
          <w:szCs w:val="30"/>
          <w:highlight w:val="none"/>
          <w:lang w:val="en-US" w:eastAsia="zh-CN"/>
        </w:rPr>
        <w:t>嵩明县政务服务管理局</w:t>
      </w:r>
      <w:r>
        <w:rPr>
          <w:rFonts w:hint="eastAsia" w:ascii="仿宋_GB2312" w:hAnsi="仿宋_GB2312" w:eastAsia="仿宋_GB2312" w:cs="仿宋_GB2312"/>
          <w:spacing w:val="6"/>
          <w:sz w:val="30"/>
          <w:szCs w:val="30"/>
          <w:highlight w:val="none"/>
          <w:lang w:eastAsia="zh-CN"/>
        </w:rPr>
        <w:t>（以下简称“县政务服务管理局”）</w:t>
      </w:r>
      <w:r>
        <w:rPr>
          <w:rFonts w:hint="eastAsia" w:ascii="仿宋_GB2312" w:hAnsi="仿宋_GB2312" w:eastAsia="仿宋_GB2312" w:cs="仿宋_GB2312"/>
          <w:spacing w:val="6"/>
          <w:sz w:val="30"/>
          <w:szCs w:val="30"/>
          <w:highlight w:val="none"/>
        </w:rPr>
        <w:t>是</w:t>
      </w:r>
      <w:r>
        <w:rPr>
          <w:rFonts w:hint="eastAsia" w:ascii="仿宋_GB2312" w:hAnsi="仿宋_GB2312" w:eastAsia="仿宋_GB2312" w:cs="仿宋_GB2312"/>
          <w:spacing w:val="6"/>
          <w:sz w:val="30"/>
          <w:szCs w:val="30"/>
          <w:highlight w:val="none"/>
          <w:lang w:val="en-US" w:eastAsia="zh-CN"/>
        </w:rPr>
        <w:t>县政府工作部门，为正科级</w:t>
      </w:r>
      <w:r>
        <w:rPr>
          <w:rFonts w:hint="eastAsia" w:ascii="仿宋_GB2312" w:hAnsi="仿宋" w:eastAsia="仿宋_GB2312" w:cs="Times New Roman"/>
          <w:spacing w:val="6"/>
          <w:sz w:val="30"/>
          <w:szCs w:val="30"/>
          <w:highlight w:val="none"/>
          <w:lang w:val="en-US" w:eastAsia="zh-CN"/>
        </w:rPr>
        <w:t xml:space="preserve">。内设4个机构，下设2家事业单位，核定编制20个，截至2024年12月31日，在职实有人员19人。        </w:t>
      </w:r>
    </w:p>
    <w:p w14:paraId="6D567705">
      <w:pPr>
        <w:keepNext w:val="0"/>
        <w:keepLines w:val="0"/>
        <w:pageBreakBefore w:val="0"/>
        <w:widowControl w:val="0"/>
        <w:kinsoku/>
        <w:wordWrap/>
        <w:topLinePunct w:val="0"/>
        <w:autoSpaceDE/>
        <w:autoSpaceDN/>
        <w:bidi w:val="0"/>
        <w:adjustRightInd/>
        <w:snapToGrid/>
        <w:spacing w:line="590" w:lineRule="exact"/>
        <w:ind w:firstLine="654" w:firstLineChars="200"/>
        <w:textAlignment w:val="auto"/>
        <w:outlineLvl w:val="9"/>
        <w:rPr>
          <w:rFonts w:hint="eastAsia" w:ascii="仿宋_GB2312" w:hAnsi="仿宋" w:eastAsia="仿宋_GB2312" w:cs="Times New Roman"/>
          <w:spacing w:val="6"/>
          <w:szCs w:val="30"/>
          <w:highlight w:val="none"/>
          <w:lang w:val="en-US" w:eastAsia="zh-CN"/>
        </w:rPr>
      </w:pPr>
      <w:r>
        <w:rPr>
          <w:rFonts w:hint="eastAsia" w:ascii="仿宋_GB2312" w:hAnsi="仿宋" w:eastAsia="仿宋_GB2312" w:cs="Times New Roman"/>
          <w:spacing w:val="6"/>
          <w:szCs w:val="30"/>
          <w:highlight w:val="none"/>
          <w:lang w:val="en-US" w:eastAsia="zh-CN"/>
        </w:rPr>
        <w:t>2024年总收入5,635,530.66元，均为一般公共预算收入。2024年总支出5,635,530.66元，其中：基本支出4,255,355.87元（含：人员经费4,119,166.20元、公用经费136,189.67元），项目支出1,380,174.79元。</w:t>
      </w:r>
    </w:p>
    <w:p w14:paraId="777298D0">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黑体" w:hAnsi="黑体" w:eastAsia="黑体" w:cs="黑体"/>
          <w:spacing w:val="6"/>
          <w:szCs w:val="30"/>
          <w:highlight w:val="none"/>
        </w:rPr>
      </w:pPr>
      <w:bookmarkStart w:id="2" w:name="_Toc21113"/>
      <w:bookmarkStart w:id="3" w:name="_Toc4115"/>
      <w:r>
        <w:rPr>
          <w:rFonts w:hint="eastAsia" w:ascii="黑体" w:hAnsi="黑体" w:eastAsia="黑体" w:cs="黑体"/>
          <w:spacing w:val="6"/>
          <w:szCs w:val="30"/>
          <w:highlight w:val="none"/>
        </w:rPr>
        <w:t>二、绩效评价结论</w:t>
      </w:r>
      <w:bookmarkEnd w:id="2"/>
      <w:bookmarkEnd w:id="3"/>
    </w:p>
    <w:p w14:paraId="1509C189">
      <w:pPr>
        <w:keepNext w:val="0"/>
        <w:keepLines w:val="0"/>
        <w:pageBreakBefore w:val="0"/>
        <w:widowControl w:val="0"/>
        <w:kinsoku/>
        <w:wordWrap/>
        <w:topLinePunct w:val="0"/>
        <w:autoSpaceDE/>
        <w:autoSpaceDN/>
        <w:bidi w:val="0"/>
        <w:adjustRightInd/>
        <w:snapToGrid/>
        <w:spacing w:line="590" w:lineRule="exact"/>
        <w:ind w:firstLine="654" w:firstLineChars="200"/>
        <w:textAlignment w:val="auto"/>
        <w:outlineLvl w:val="9"/>
        <w:rPr>
          <w:rFonts w:hint="eastAsia" w:ascii="仿宋_GB2312" w:hAnsi="仿宋" w:eastAsia="仿宋_GB2312" w:cs="Times New Roman"/>
          <w:spacing w:val="6"/>
          <w:szCs w:val="30"/>
          <w:highlight w:val="none"/>
          <w:lang w:val="en-US" w:eastAsia="zh-CN"/>
        </w:rPr>
      </w:pPr>
      <w:r>
        <w:rPr>
          <w:rFonts w:hint="eastAsia" w:ascii="仿宋_GB2312" w:hAnsi="仿宋" w:eastAsia="仿宋_GB2312" w:cs="Times New Roman"/>
          <w:spacing w:val="6"/>
          <w:szCs w:val="30"/>
          <w:highlight w:val="none"/>
          <w:lang w:val="en-US" w:eastAsia="zh-CN"/>
        </w:rPr>
        <w:t>县政务服务管理局2024年部门整体绩效评价得分91.21分，评价等级为“优”。</w:t>
      </w:r>
    </w:p>
    <w:p w14:paraId="201F3CFF">
      <w:pPr>
        <w:keepNext w:val="0"/>
        <w:keepLines w:val="0"/>
        <w:pageBreakBefore w:val="0"/>
        <w:widowControl w:val="0"/>
        <w:kinsoku/>
        <w:wordWrap/>
        <w:topLinePunct w:val="0"/>
        <w:autoSpaceDE/>
        <w:autoSpaceDN/>
        <w:bidi w:val="0"/>
        <w:adjustRightInd/>
        <w:snapToGrid/>
        <w:spacing w:line="590" w:lineRule="exact"/>
        <w:ind w:firstLine="654" w:firstLineChars="200"/>
        <w:textAlignment w:val="auto"/>
        <w:outlineLvl w:val="9"/>
        <w:rPr>
          <w:rFonts w:hint="eastAsia" w:ascii="仿宋_GB2312" w:hAnsi="仿宋" w:eastAsia="仿宋_GB2312" w:cs="Times New Roman"/>
          <w:spacing w:val="6"/>
          <w:szCs w:val="30"/>
          <w:highlight w:val="none"/>
          <w:lang w:val="en-US" w:eastAsia="zh-CN"/>
        </w:rPr>
      </w:pPr>
      <w:r>
        <w:rPr>
          <w:rFonts w:hint="eastAsia" w:ascii="仿宋_GB2312" w:hAnsi="仿宋" w:eastAsia="仿宋_GB2312" w:cs="Times New Roman"/>
          <w:spacing w:val="6"/>
          <w:szCs w:val="30"/>
          <w:highlight w:val="none"/>
          <w:lang w:val="en-US" w:eastAsia="zh-CN"/>
        </w:rPr>
        <w:t>县政务服务管理局2024年度通过部门履职表现突出：产出与效益部分得分率均达100%，政务服务、营商环境、公共资源交易、标准化与监管建设四大核心工作成效显著，事项承接准确、流程优化高效、线上服务覆盖率超98%，公共资源交易电子化率、投诉办结率等关键指标均为100%，“轻嵩办”品牌入选市级创新案例，营商环境竞赛获全市第一，重大项目落地保障有力，政务服务好评率99.99%、综合满意度98.09%，经济社会效益显著；过程管理规范有序，管理制度健全、资金使用合规、预算执行率100%，预决算信息公开透明，公用经费与</w:t>
      </w:r>
      <w:bookmarkStart w:id="8" w:name="_GoBack"/>
      <w:r>
        <w:rPr>
          <w:rFonts w:hint="eastAsia" w:ascii="仿宋_GB2312" w:hAnsi="仿宋" w:eastAsia="仿宋_GB2312" w:cs="Times New Roman"/>
          <w:spacing w:val="6"/>
          <w:szCs w:val="30"/>
          <w:highlight w:val="none"/>
          <w:lang w:val="en-US" w:eastAsia="zh-CN"/>
        </w:rPr>
        <w:t>“三公”经费</w:t>
      </w:r>
      <w:bookmarkEnd w:id="8"/>
      <w:r>
        <w:rPr>
          <w:rFonts w:hint="eastAsia" w:ascii="仿宋_GB2312" w:hAnsi="仿宋" w:eastAsia="仿宋_GB2312" w:cs="Times New Roman"/>
          <w:spacing w:val="6"/>
          <w:szCs w:val="30"/>
          <w:highlight w:val="none"/>
          <w:lang w:val="en-US" w:eastAsia="zh-CN"/>
        </w:rPr>
        <w:t>控制有效，资产管理整体安全；预算配置合理可控，在职人员未超编，重点支出安排规范。同时仍存在不足：决策环节绩效指标明确性不足、绩效自评工作粗糙，管理细节上固定资产卡片信息更新不及时、部分资产未贴卡，政府采购预算执行率为0%且预算调整率达26.87%。总体来看，部门整体支出有效保障了“放管服”改革等重点工作推进，核心职能履行到位、资金使用合规高效，虽有薄弱环节但不影响整体绩效成果。</w:t>
      </w:r>
    </w:p>
    <w:p w14:paraId="7BDE7EE4">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黑体" w:hAnsi="黑体" w:eastAsia="黑体" w:cs="黑体"/>
          <w:spacing w:val="6"/>
          <w:szCs w:val="30"/>
          <w:highlight w:val="none"/>
        </w:rPr>
      </w:pPr>
      <w:bookmarkStart w:id="4" w:name="_Toc29821"/>
      <w:bookmarkStart w:id="5" w:name="_Toc2890"/>
      <w:r>
        <w:rPr>
          <w:rFonts w:hint="eastAsia" w:ascii="黑体" w:hAnsi="黑体" w:eastAsia="黑体" w:cs="黑体"/>
          <w:spacing w:val="6"/>
          <w:szCs w:val="30"/>
          <w:highlight w:val="none"/>
          <w:lang w:val="en-US" w:eastAsia="zh-CN"/>
        </w:rPr>
        <w:t>三</w:t>
      </w:r>
      <w:r>
        <w:rPr>
          <w:rFonts w:hint="eastAsia" w:ascii="黑体" w:hAnsi="黑体" w:eastAsia="黑体" w:cs="黑体"/>
          <w:spacing w:val="6"/>
          <w:szCs w:val="30"/>
          <w:highlight w:val="none"/>
        </w:rPr>
        <w:t>、存在的主要问题</w:t>
      </w:r>
      <w:bookmarkEnd w:id="4"/>
      <w:bookmarkEnd w:id="5"/>
    </w:p>
    <w:p w14:paraId="53200846">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（一）固定资产管理规范化程度不足，存在明显管控漏洞</w:t>
      </w:r>
    </w:p>
    <w:p w14:paraId="62A8A1BF">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一是资产基础信息管理混乱，现场抽查发现固定资产卡片关键信息维护不及时、不完整，存放地信息未随资产变动同步更新，部分近年新购入资产未登记使用科室、资产管理人等核心信息，导致资产实际存放位置无法精准核实，资产归属模糊。</w:t>
      </w:r>
    </w:p>
    <w:p w14:paraId="6C4B598A">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二是实物管控流于形式，部分固定资产未按制度要求粘贴标识卡片，资产身份识别缺乏直观依据，给资产的日常追溯、盘点核对带来极大不便，显著增加了资产流失、闲置或重复购置的风险，整体管控效率偏低。</w:t>
      </w:r>
    </w:p>
    <w:p w14:paraId="3BD9165B">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造成上述的主要原因是固定资产管理责任体系不健全，未明确资产从购入、登记、使用到处置全流程的责任主体，使得相关人员缺乏主动管理意识，加之日常核查与更新机制不完善，未定期开展资产清查盘点，对资产信息变动情况未能及时跟踪更新，且工作人员对固定资产管理规章制度执行不到位，缺乏规范化操作的自觉性，部门也未建立有效的监督检查机制，无法及时发现和纠正管理中的不规范行为，进一步加剧了管理漏洞。</w:t>
      </w:r>
    </w:p>
    <w:p w14:paraId="7CEB017B">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（二）预算管理精准度不足，执行调控滞后</w:t>
      </w:r>
    </w:p>
    <w:p w14:paraId="7A3BE2F6">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2024年初预算7,706,219.05元，调整后预算5,635,530.66元，调整率达26.87%，年初预算与实际执行偏差明显；公用经费年初预算254,442元，实际支出136,189.67元，控制率仅53.52%，预算编制合理性亟待提升。深究原因，一方面预算编制前期调研和需求预测不充分，未全面结合上年度预算执行数据、本年度工作任务增减变化及政策调整等关键因素开展科学测算，导致年初预算对实际需求的预判存在较大偏差；另一方面预算编制缺乏精细化考量，对公用经费的实际使用场景、合理需求分析不够深入，同时预算执行过程中动态监控与调控机制不完善，未能根据工作推进进度、资金使用情况及时优化调整预算安排，进一步放大了预算与实际执行的差距。</w:t>
      </w:r>
    </w:p>
    <w:p w14:paraId="29915D46">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（三）政府采购及“三公”经费统筹规划不足</w:t>
      </w:r>
    </w:p>
    <w:p w14:paraId="7C7E156A">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一是政府采购方面，2024年编制预算27.20万元、涉及2个采购项目，但实际支出为0元，执行率达0%，采购计划未有效落地，核心原因是采购计划制定与实际工作衔接不畅，前期未充分论证项目紧迫性与可行性，导致采购预算与实际需求脱节，且缺乏明确的执行责任体系，未指定专人推进项目，过程监管缺失，未建立进度台账，无法对采购延误、搁置等情况及时预警处置。</w:t>
      </w:r>
    </w:p>
    <w:p w14:paraId="187E40E2">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二是“三公”经费方面，2024年预算1,800元、实际支出0元，较2023年的0元出现无合理依据的变动，变动率大于0，根源在于预算编制缺乏严格审批论证流程，对支出的必要性、合理性审核不细致，未充分说明预算变动的政策依据与工作需求，日常管控中缺乏常态化监督机制，对“三公”经费预算制定、执行全流程跟踪不足，且未将其变动与年度工作重点紧密结合，导致预算与实际支出脱节。</w:t>
      </w:r>
    </w:p>
    <w:p w14:paraId="1595589F">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（四）</w:t>
      </w:r>
      <w:r>
        <w:rPr>
          <w:rFonts w:hint="default" w:ascii="楷体_GB2312" w:hAnsi="楷体" w:eastAsia="楷体_GB2312" w:cs="Times New Roman"/>
          <w:spacing w:val="6"/>
          <w:szCs w:val="30"/>
          <w:highlight w:val="none"/>
          <w:lang w:val="en-US" w:eastAsia="zh-CN"/>
        </w:rPr>
        <w:t>绩效管理</w:t>
      </w:r>
      <w:r>
        <w:rPr>
          <w:rFonts w:hint="eastAsia" w:ascii="楷体_GB2312" w:hAnsi="楷体" w:eastAsia="楷体_GB2312" w:cs="Times New Roman"/>
          <w:spacing w:val="6"/>
          <w:szCs w:val="30"/>
          <w:highlight w:val="none"/>
          <w:lang w:val="en-US" w:eastAsia="zh-CN"/>
        </w:rPr>
        <w:t>不到位</w:t>
      </w:r>
    </w:p>
    <w:p w14:paraId="402D416F">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绩效指标方面存在多重缺陷：一是指标覆盖不全面，“七办”“应进必进整改”等部分关键任务未匹配量化或定性评价标准，少数年度核心任务也未被指标纳入；二是指标本身规范性不足，数量指标存在语病表述及“≥100%”等不符合逻辑的量化标准，效益指标则出现类型混淆（如将服务质量类内容归为经济效益）、无法量化（如“提升营商环境建设≥100%”缺乏具体评判依据）、逻辑矛盾（同一指标同时归为生态效益与可持续影响指标）等问题；三是指标与预算资金衔接脱节，“提升政务服务能力”等需要资金支撑的任务，未明确资金投入与指标达成的对应关系。</w:t>
      </w:r>
    </w:p>
    <w:p w14:paraId="325636D1">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 w:eastAsia="仿宋_GB2312" w:cs="Times New Roman"/>
          <w:spacing w:val="6"/>
          <w:szCs w:val="30"/>
          <w:highlight w:val="none"/>
          <w:lang w:val="en-US" w:eastAsia="zh-CN"/>
        </w:rPr>
      </w:pPr>
      <w:r>
        <w:rPr>
          <w:rFonts w:hint="eastAsia" w:ascii="仿宋_GB2312" w:hAnsi="仿宋_GB2312" w:eastAsia="仿宋_GB2312" w:cs="仿宋_GB2312"/>
          <w:spacing w:val="6"/>
          <w:sz w:val="30"/>
          <w:szCs w:val="30"/>
          <w:highlight w:val="none"/>
          <w:lang w:val="en-US" w:eastAsia="zh-CN"/>
        </w:rPr>
        <w:t>绩效自评方面，未结合部门工作任务特点和项目实际，在通用指标体系基础上补充设计个性指标，导致自评针对性不强；提交的《绩效评价报告（自评）》内容粗糙简略，既未深入分析总结项目实施中的问题，也未将评价结果应用于后续工作改进、预算调整等环节，形成“评价与应用两张皮”的脱节局面。</w:t>
      </w:r>
    </w:p>
    <w:p w14:paraId="15268E87">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黑体" w:hAnsi="黑体" w:eastAsia="黑体" w:cs="黑体"/>
          <w:spacing w:val="6"/>
          <w:szCs w:val="30"/>
          <w:highlight w:val="none"/>
        </w:rPr>
      </w:pPr>
      <w:bookmarkStart w:id="6" w:name="_Toc145"/>
      <w:bookmarkStart w:id="7" w:name="_Toc1070"/>
      <w:r>
        <w:rPr>
          <w:rFonts w:hint="eastAsia" w:ascii="黑体" w:hAnsi="黑体" w:eastAsia="黑体" w:cs="黑体"/>
          <w:spacing w:val="6"/>
          <w:szCs w:val="30"/>
          <w:highlight w:val="none"/>
        </w:rPr>
        <w:t>四、建议</w:t>
      </w:r>
      <w:bookmarkEnd w:id="6"/>
      <w:bookmarkEnd w:id="7"/>
    </w:p>
    <w:p w14:paraId="739B022A">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（一）规范固定资产管理，筑牢管控防线</w:t>
      </w:r>
    </w:p>
    <w:p w14:paraId="72958CE1">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一是健全全生命周期责任体系，明确资产购入、登记、使用、维护、处置各环节的责任部门、责任人和具体职责，将资产管理纳入科室及个人绩效考核，倒逼责任落实，提升主动管理意识。</w:t>
      </w:r>
    </w:p>
    <w:p w14:paraId="450F8A38">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二是建立常态化清查与信息更新机制，每年开展一次全面资产清查，及时同步更新固定资产卡片的存放地、使用科室、资产管理人等关键信息，确保资产信息与实际状况一致。</w:t>
      </w:r>
    </w:p>
    <w:p w14:paraId="13089E48">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三是强化实物管控规范化，对未贴卡的固定资产限期补贴标识卡片，明确资产编号、名称、责任人等核心信息，提升资产追溯与盘点效率，降低流失、闲置及重复购置风险。</w:t>
      </w:r>
    </w:p>
    <w:p w14:paraId="466CF24D">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四是完善监督检查机制，定期开展资产管理专项督查，对信息漏填、更新不及时等不规范行为进行通报整改，推动管理制度落地见效。</w:t>
      </w:r>
    </w:p>
    <w:p w14:paraId="3B35B7ED">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（二）提升预算管理精准度，强化执行调控</w:t>
      </w:r>
    </w:p>
    <w:p w14:paraId="64D796A8">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一是优化预算编制流程，前期开展充分调研，全面整合上年度预算执行数据、本年度工作任务清单、政策调整文件等信息，由业务科室与财务科室联合测算，提高预算预判的合理性。</w:t>
      </w:r>
    </w:p>
    <w:p w14:paraId="7C35C56A">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二是推进预算编制精细化，深入分析公用经费的实际使用场景与合理需求，制定差异化分配标准，避免预算与实际支出差距过大。</w:t>
      </w:r>
    </w:p>
    <w:p w14:paraId="32C6E719">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三是建立动态监控与调控机制，按月跟踪预算执行进度，实时分析偏差原因，及时优化调整预算安排，有效降低预算调整幅度，提升资金使用效率。</w:t>
      </w:r>
    </w:p>
    <w:p w14:paraId="2D0F3693">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（三）加强政府采购与“三公”经费统筹管控</w:t>
      </w:r>
    </w:p>
    <w:p w14:paraId="531A984C">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一是优化政府采购管理。强化采购计划前期论证，结合工作实际需求，全面评估项目的紧迫性与可行性，确保采购预算与实际需求精准衔接。健全执行责任与监管体系，指定专人负责采购项目推进，建立采购执行进度台账，对采购流程中的延误、搁置等情况及时预警并协调处置。严格按照采购制度规范流程，加强对采购全流程的监督检查，确保采购计划有效落地，提升采购执行率。</w:t>
      </w:r>
    </w:p>
    <w:p w14:paraId="2775377F">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二是规范“三公”经费管理。完善预算审批论证流程，要求“三公”经费预算变动必须提供明确的政策依据、工作需求说明，经多部门联合审核后再上报，杜绝无依据变动。建立常态化监督机制，对“三公”经费预算制定、执行全流程进行跟踪管控，定期核查支出合理性，确保符合预算规定与政策要求。强化资源配置统筹，将“三公”经费变动与年度工作重点紧密结合，提升预算编制的科学性与针对性，避免预算与实际支出脱节。</w:t>
      </w:r>
    </w:p>
    <w:p w14:paraId="0702D565">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default" w:ascii="楷体_GB2312" w:hAnsi="楷体" w:eastAsia="楷体_GB2312" w:cs="Times New Roman"/>
          <w:spacing w:val="6"/>
          <w:szCs w:val="30"/>
          <w:highlight w:val="none"/>
          <w:lang w:val="en-US" w:eastAsia="zh-CN"/>
        </w:rPr>
      </w:pPr>
      <w:r>
        <w:rPr>
          <w:rFonts w:hint="eastAsia" w:ascii="楷体_GB2312" w:hAnsi="楷体" w:eastAsia="楷体_GB2312" w:cs="Times New Roman"/>
          <w:spacing w:val="6"/>
          <w:szCs w:val="30"/>
          <w:highlight w:val="none"/>
          <w:lang w:val="en-US" w:eastAsia="zh-CN"/>
        </w:rPr>
        <w:t>（四）完善绩效管理体系，提升评价实效</w:t>
      </w:r>
    </w:p>
    <w:p w14:paraId="3BF47863">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hint="eastAsia" w:ascii="仿宋_GB2312" w:hAnsi="仿宋_GB2312" w:eastAsia="仿宋_GB2312" w:cs="仿宋_GB2312"/>
          <w:spacing w:val="6"/>
          <w:sz w:val="30"/>
          <w:szCs w:val="30"/>
          <w:highlight w:val="none"/>
          <w:lang w:val="en-US" w:eastAsia="zh-CN"/>
        </w:rPr>
      </w:pPr>
      <w:r>
        <w:rPr>
          <w:rFonts w:hint="eastAsia" w:ascii="仿宋_GB2312" w:hAnsi="仿宋_GB2312" w:eastAsia="仿宋_GB2312" w:cs="仿宋_GB2312"/>
          <w:spacing w:val="6"/>
          <w:sz w:val="30"/>
          <w:szCs w:val="30"/>
          <w:highlight w:val="none"/>
          <w:lang w:val="en-US" w:eastAsia="zh-CN"/>
        </w:rPr>
        <w:t>一是优化绩效指标设计。补齐指标覆盖短板，针对“七办”“应进必进整改”等未匹配指标的关键任务，补充量化或定性评价标准，确保年度核心任务全覆盖。规范指标编制，修正数量指标中的语病表述及“≥100%”等逻辑矛盾，明确效益指标类型划分规则，将“提升营商环境建设”等模糊指标细化为“企业投诉办结率≥98%”“政策知晓度≥90%”等可量化、可操作的标准。建立指标与预算资金衔接机制，对 “提升政务服务能力”等需资金支撑的任务，制定资金投入与指标达成的对应关系表，确保绩效评价与资金使用紧密挂钩。</w:t>
      </w:r>
    </w:p>
    <w:p w14:paraId="4BF4971A">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outlineLvl w:val="9"/>
        <w:rPr>
          <w:rFonts w:ascii="方正小标宋简体" w:eastAsia="方正小标宋简体"/>
          <w:sz w:val="44"/>
          <w:szCs w:val="44"/>
          <w:highlight w:val="yellow"/>
        </w:rPr>
        <w:sectPr>
          <w:footerReference r:id="rId3" w:type="default"/>
          <w:footerReference r:id="rId4" w:type="even"/>
          <w:pgSz w:w="11906" w:h="16838"/>
          <w:pgMar w:top="2098" w:right="1474" w:bottom="1984" w:left="1587" w:header="851" w:footer="1474" w:gutter="0"/>
          <w:pgNumType w:fmt="decimal" w:start="1"/>
          <w:cols w:space="0" w:num="1"/>
          <w:rtlGutter w:val="0"/>
          <w:docGrid w:type="linesAndChars" w:linePitch="579" w:charSpace="3247"/>
        </w:sectPr>
      </w:pPr>
      <w:r>
        <w:rPr>
          <w:rFonts w:hint="eastAsia" w:ascii="仿宋_GB2312" w:hAnsi="仿宋_GB2312" w:eastAsia="仿宋_GB2312" w:cs="仿宋_GB2312"/>
          <w:spacing w:val="6"/>
          <w:sz w:val="30"/>
          <w:szCs w:val="30"/>
          <w:highlight w:val="none"/>
          <w:lang w:val="en-US" w:eastAsia="zh-CN"/>
        </w:rPr>
        <w:t>二是强化绩效自评与结果应用。提升自评针对性，结合部门工作任务特点和项目实际，在通用指标体系基础上补充设计个性指标，避免自评流于形式。规范自评报告编制，明确报告需包含工作完成情况、存在问题、原因分析、改进措施等核心内容，杜绝粗糙简略。建立评价结果闭环应用机制，将绩效评价结果与下一年度预算安排、工作改进直接挂钩，对发现的问题建立整改台账，明确整改时限与责任主体，定期开展“回头看”，破解“评价与应用两张皮”问题。</w:t>
      </w:r>
    </w:p>
    <w:p w14:paraId="3C18D481"/>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83FEE">
    <w:pPr>
      <w:pStyle w:val="3"/>
      <w:jc w:val="both"/>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038B2D">
                          <w:pPr>
                            <w:pStyle w:val="3"/>
                            <w:jc w:val="cente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v</w:t>
                          </w:r>
                          <w:r>
                            <w:rPr>
                              <w:rFonts w:ascii="仿宋" w:hAnsi="仿宋" w:eastAsia="仿宋"/>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8038B2D">
                    <w:pPr>
                      <w:pStyle w:val="3"/>
                      <w:jc w:val="cente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v</w:t>
                    </w:r>
                    <w:r>
                      <w:rPr>
                        <w:rFonts w:ascii="仿宋" w:hAnsi="仿宋" w:eastAsia="仿宋"/>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14DDF">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AF3A86">
                          <w:pPr>
                            <w:pStyle w:val="3"/>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ii</w:t>
                          </w:r>
                          <w:r>
                            <w:rPr>
                              <w:rFonts w:hint="eastAsia" w:ascii="仿宋" w:hAnsi="仿宋" w:eastAsia="仿宋" w:cs="仿宋"/>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2FAF3A86">
                    <w:pPr>
                      <w:pStyle w:val="3"/>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ii</w:t>
                    </w:r>
                    <w:r>
                      <w:rPr>
                        <w:rFonts w:hint="eastAsia" w:ascii="仿宋" w:hAnsi="仿宋" w:eastAsia="仿宋" w:cs="仿宋"/>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DC5306"/>
    <w:rsid w:val="29DC5306"/>
    <w:rsid w:val="360A6BB5"/>
    <w:rsid w:val="5E536E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19"/>
      <w:jc w:val="left"/>
    </w:pPr>
    <w:rPr>
      <w:rFonts w:ascii="仿宋_GB2312" w:hAnsi="仿宋_GB2312" w:eastAsia="仿宋_GB2312" w:cstheme="minorBidi"/>
      <w:kern w:val="0"/>
      <w:szCs w:val="30"/>
      <w:lang w:eastAsia="en-US"/>
    </w:rPr>
  </w:style>
  <w:style w:type="paragraph" w:styleId="3">
    <w:name w:val="footer"/>
    <w:basedOn w:val="1"/>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9</Pages>
  <Words>3750</Words>
  <Characters>3975</Characters>
  <Lines>0</Lines>
  <Paragraphs>0</Paragraphs>
  <TotalTime>3</TotalTime>
  <ScaleCrop>false</ScaleCrop>
  <LinksUpToDate>false</LinksUpToDate>
  <CharactersWithSpaces>3985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2026-07-02T07:08:00Z</dcterms:created>
  <dc:creator>Administrator</dc:creator>
  <cp:lastModifiedBy>景鸿成</cp:lastModifiedBy>
  <dcterms:modified xsi:type="dcterms:W3CDTF">2026-08-11T09:49:59Z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E6AEBF07A5ED46A9BBA676114F6FCFE8_13</vt:lpwstr>
  </property>
  <property fmtid="{D5CDD505-2E9C-101B-9397-08002B2CF9AE}" pid="4" name="KSOTemplateDocerSaveRecord">
    <vt:lpwstr>eyJoZGlkIjoiY2JlNzQyMzg5YmZjMjE5ZTE1MTdiMzJkYzQxNmE5NDciLCJ1c2VySWQiOiIyNTkzNDUzOTYifQ==</vt:lpwstr>
  </property>
</Properties>
</file>