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90" w:lineRule="exact"/>
        <w:jc w:val="center"/>
        <w:rPr>
          <w:rFonts w:hint="default" w:hAnsi="仿宋" w:eastAsia="仿宋"/>
          <w:sz w:val="36"/>
          <w:szCs w:val="36"/>
          <w:highlight w:val="none"/>
          <w:lang w:val="en-US" w:eastAsia="zh-CN"/>
        </w:rPr>
      </w:pPr>
      <w:r>
        <w:rPr>
          <w:rFonts w:hint="eastAsia" w:ascii="方正小标宋简体" w:eastAsia="方正小标宋简体" w:cs="Times New Roman"/>
          <w:spacing w:val="6"/>
          <w:kern w:val="36"/>
          <w:sz w:val="44"/>
          <w:szCs w:val="44"/>
          <w:highlight w:val="none"/>
          <w:lang w:val="en-US" w:eastAsia="zh-CN"/>
        </w:rPr>
        <w:t>杨桥街道办事处2024年杨桥街道综合居家养老中心建设项目资金绩效评价</w:t>
      </w:r>
      <w:r>
        <w:rPr>
          <w:rFonts w:hint="eastAsia" w:ascii="方正小标宋简体" w:hAnsi="Times New Roman" w:eastAsia="方正小标宋简体" w:cs="Times New Roman"/>
          <w:spacing w:val="6"/>
          <w:kern w:val="36"/>
          <w:sz w:val="44"/>
          <w:szCs w:val="44"/>
          <w:highlight w:val="none"/>
          <w:lang w:val="en-US" w:eastAsia="zh-CN"/>
        </w:rPr>
        <w:t>报告</w:t>
      </w:r>
    </w:p>
    <w:p>
      <w:pPr>
        <w:keepNext w:val="0"/>
        <w:keepLines w:val="0"/>
        <w:pageBreakBefore w:val="0"/>
        <w:kinsoku/>
        <w:wordWrap/>
        <w:topLinePunct w:val="0"/>
        <w:autoSpaceDE/>
        <w:autoSpaceDN/>
        <w:bidi w:val="0"/>
        <w:spacing w:line="590" w:lineRule="exact"/>
        <w:ind w:firstLine="624" w:firstLineChars="200"/>
        <w:rPr>
          <w:rFonts w:ascii="仿宋_GB2312" w:hAnsi="仿宋" w:eastAsia="仿宋_GB2312"/>
          <w:spacing w:val="6"/>
          <w:szCs w:val="30"/>
          <w:highlight w:val="yellow"/>
        </w:rPr>
      </w:pPr>
    </w:p>
    <w:p>
      <w:pPr>
        <w:spacing w:line="590" w:lineRule="exact"/>
        <w:ind w:firstLine="624" w:firstLineChars="200"/>
        <w:outlineLvl w:val="9"/>
        <w:rPr>
          <w:rFonts w:hint="eastAsia" w:eastAsia="黑体"/>
          <w:spacing w:val="6"/>
          <w:sz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杨桥街道办事处（以下简称“杨桥街道办”）2024年杨桥街道综合居家养老中心建设项目资金开展绩效评价。现将评价情况报告如下：</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eastAsia="黑体"/>
          <w:spacing w:val="6"/>
          <w:sz w:val="30"/>
          <w:highlight w:val="none"/>
          <w:lang w:val="en-US" w:eastAsia="zh-CN"/>
        </w:rPr>
        <w:t>一、</w:t>
      </w:r>
      <w:r>
        <w:rPr>
          <w:rFonts w:hint="eastAsia" w:eastAsia="黑体"/>
          <w:spacing w:val="6"/>
          <w:sz w:val="30"/>
          <w:highlight w:val="none"/>
        </w:rPr>
        <w:t>基本情况</w:t>
      </w:r>
    </w:p>
    <w:p>
      <w:pPr>
        <w:spacing w:line="590" w:lineRule="exact"/>
        <w:ind w:firstLine="624" w:firstLineChars="200"/>
        <w:rPr>
          <w:rFonts w:hint="eastAsia" w:ascii="仿宋_GB2312" w:hAnsi="仿宋" w:eastAsia="仿宋_GB2312"/>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根据国家“医养结合”发展政策及嵩明县养老服务设施建设要求，为构建“居家为基础、社区为依托、机构为补充、医养相结合”的智慧养老服务体系，项目以原杨桥中心幼儿园为址，通过选址改造与新建相结合的方式，重点为辖区老年人提供助餐、助洁等“六助”生活照料服务、健康检查及康复训练等医养服务、书法绘画等文娱活动及心理咨询服务，切实满足辖区老年人多样化、个性化养老需求，打造家门口的养老“服务圈”，为构建“县—镇—村”三级养老服务体系筑牢基层节点。</w:t>
      </w:r>
    </w:p>
    <w:p>
      <w:pPr>
        <w:spacing w:line="590" w:lineRule="exact"/>
        <w:ind w:firstLine="624" w:firstLineChars="200"/>
        <w:rPr>
          <w:rFonts w:hint="default" w:ascii="仿宋_GB2312" w:hAnsi="仿宋" w:eastAsia="仿宋_GB2312" w:cs="Times New Roman"/>
          <w:spacing w:val="6"/>
          <w:sz w:val="30"/>
          <w:szCs w:val="30"/>
          <w:highlight w:val="yellow"/>
          <w:lang w:val="en-US" w:eastAsia="zh-CN"/>
        </w:rPr>
      </w:pPr>
      <w:r>
        <w:rPr>
          <w:rFonts w:hint="eastAsia" w:ascii="仿宋_GB2312" w:hAnsi="仿宋" w:eastAsia="仿宋_GB2312"/>
          <w:spacing w:val="6"/>
          <w:sz w:val="30"/>
          <w:szCs w:val="30"/>
          <w:highlight w:val="none"/>
          <w:lang w:val="en-US" w:eastAsia="zh-CN"/>
        </w:rPr>
        <w:t>根据《嵩明县发展和改革局关于杨桥街道综合养老中心项目可行性研究报告的批复》（嵩发改复〔2022〕59号）文件，项目估算总投资515万元，资金来源为省市财政补助400万元、自筹资金115万元。主要建设内容及规模：项目用地面积约3.37亩。新建三层建筑，其中，地上两层作为住宿楼，规划标准间14间床位28个，建筑面积917.69平方米，地下一层，建设消防水池和消防水泵房；改造大门对面（B级）、左边（C级）建筑物各一栋，建筑面积共1,439.96平方米，规划娱乐休憩、食堂、医疗护理床位4个及办公用房；建设周期为2022年12月—2023年12月。2024年安排资金217万元，实际支出80万元。</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二、绩效评价结论</w:t>
      </w:r>
    </w:p>
    <w:p>
      <w:pPr>
        <w:spacing w:line="590" w:lineRule="exact"/>
        <w:ind w:firstLine="624" w:firstLineChars="200"/>
        <w:rPr>
          <w:rFonts w:hint="eastAsia" w:ascii="仿宋_GB2312" w:hAnsi="仿宋" w:eastAsia="仿宋_GB2312"/>
          <w:spacing w:val="6"/>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经评价，杨桥街道办事处2024年杨桥街道综合居家养老中心建设项目资金绩效评价得分81分，评价等级为“良”。项目绩效评价整体表现良好</w:t>
      </w:r>
      <w:bookmarkStart w:id="0" w:name="_GoBack"/>
      <w:bookmarkEnd w:id="0"/>
      <w:r>
        <w:rPr>
          <w:rFonts w:hint="eastAsia" w:ascii="仿宋_GB2312" w:hAnsi="仿宋" w:eastAsia="仿宋_GB2312" w:cs="Times New Roman"/>
          <w:spacing w:val="6"/>
          <w:sz w:val="30"/>
          <w:szCs w:val="30"/>
          <w:highlight w:val="none"/>
          <w:lang w:val="en-US" w:eastAsia="zh-CN"/>
        </w:rPr>
        <w:t>，立项依据充分、程序规范，预算编制与资金分配合理，但绩效目标与实际工作不相关，绩效指标存在缺失；资金使用合规，杨桥街道办制定了相关管理制度且有效执行，但预算执行率较低；项目建设完成量和验收合格率均达100%，但存在完工不及时的问题；项目实施后辖区养老服务水平显著提升，服务能力稳定可持续，工作人员与社会公众满意度较高，但公众满意度未达预期。</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三、存在的主要问题</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（一）绩效目标与指标体系存在根本性缺陷</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一是绩效目标针对性缺失：仅笼统设定为“杨桥街道综合居家养老中心（2024年政府性投资项目）资金”，未明确项目年度核心产出、效益目标，脱离项目“提升养老服务”的核心功能。</w:t>
      </w:r>
    </w:p>
    <w:p>
      <w:pPr>
        <w:keepNext w:val="0"/>
        <w:keepLines w:val="0"/>
        <w:pageBreakBefore w:val="0"/>
        <w:overflowPunct/>
        <w:topLinePunct w:val="0"/>
        <w:bidi w:val="0"/>
        <w:spacing w:line="590" w:lineRule="exact"/>
        <w:ind w:firstLine="644" w:firstLineChars="200"/>
        <w:rPr>
          <w:rFonts w:hint="default"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二是绩效指标核心维度缺失：未纳入质量指标、时效指标、成本指标，指标体系不满足绩效评价全面性要求。</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（二）预算执行与进度管控效率低下</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一是资金实际到位217万元，实际支出仅80万元，执行率36.87%，存在资金闲置，未充分发挥资金使用效益。</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二是施工合同约定工期为2023年5月15日至2023年8月15日，实际完工时间为2024年4月12日，延误近7个月，未达到“按时完工”的基本要求。</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（三）社会公众满意度未达标</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满意度与预期存在差距，91.36%的社会公众满意度低于95%的预期标准，且与工作人员95.86%的满意度存在差距，反映服务供给与公众实际需求存在偏差。</w:t>
      </w:r>
    </w:p>
    <w:p>
      <w:pPr>
        <w:spacing w:line="590"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eastAsia" w:ascii="楷体_GB2312" w:hAnsi="Calibri" w:eastAsia="楷体_GB2312" w:cs="Times New Roman"/>
          <w:b w:val="0"/>
          <w:bCs w:val="0"/>
          <w:spacing w:val="1"/>
          <w:kern w:val="2"/>
          <w:sz w:val="32"/>
          <w:szCs w:val="32"/>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（一）优化绩效目标与指标体系</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聚焦“提升养老服务”核心功能，明确年度核心产出和效益目标，避免目标笼统化；补全绩效指标核心维度，新增质量指标（如验收合格率）、时效指标（完工及时率）、成本指标（成本控制率），构建“数量+质量+时效+成本+效益+满意度”的完整指标体系；开展绩效指标培训，提升项目单位对指标体系的认知，强化指标对项目的跟踪、考核与优化作用。</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（二）提升预算执行与进度管控效率</w:t>
      </w:r>
    </w:p>
    <w:p>
      <w:pPr>
        <w:keepNext w:val="0"/>
        <w:keepLines w:val="0"/>
        <w:pageBreakBefore w:val="0"/>
        <w:overflowPunct/>
        <w:topLinePunct w:val="0"/>
        <w:bidi w:val="0"/>
        <w:spacing w:line="590"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一是制定细化的分阶段资金使用计划，结合项目建设节点、运营需求合理分配资金，确保资金到位与支出需求精准匹配，减少资金闲置。</w:t>
      </w:r>
    </w:p>
    <w:p>
      <w:pPr>
        <w:keepNext w:val="0"/>
        <w:keepLines w:val="0"/>
        <w:pageBreakBefore w:val="0"/>
        <w:overflowPunct/>
        <w:topLinePunct w:val="0"/>
        <w:bidi w:val="0"/>
        <w:spacing w:line="590"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二是建立项目建设环节协同机制，及时同步施工方案调整、进度变更等信息，动态优化资金拨付计划；设置进度预警节点，对滞后环节及时整改，保障项目按约定工期完工。</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（三）提高社会公众满意度</w:t>
      </w:r>
    </w:p>
    <w:p>
      <w:pPr>
        <w:keepNext w:val="0"/>
        <w:keepLines w:val="0"/>
        <w:pageBreakBefore w:val="0"/>
        <w:overflowPunct/>
        <w:topLinePunct w:val="0"/>
        <w:bidi w:val="0"/>
        <w:spacing w:line="590" w:lineRule="exact"/>
        <w:ind w:firstLine="624" w:firstLineChars="200"/>
        <w:rPr>
          <w:rFonts w:hint="eastAsia" w:ascii="仿宋_GB2312" w:hAnsi="仿宋" w:eastAsia="仿宋_GB2312"/>
          <w:spacing w:val="6"/>
          <w:sz w:val="30"/>
          <w:szCs w:val="30"/>
          <w:highlight w:val="yellow"/>
          <w:lang w:val="en-US" w:eastAsia="zh-CN"/>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r>
        <w:rPr>
          <w:rFonts w:hint="eastAsia" w:ascii="仿宋_GB2312" w:hAnsi="仿宋" w:eastAsia="仿宋_GB2312" w:cs="Times New Roman"/>
          <w:spacing w:val="6"/>
          <w:sz w:val="30"/>
          <w:szCs w:val="30"/>
          <w:highlight w:val="none"/>
          <w:lang w:val="en-US" w:eastAsia="zh-CN"/>
        </w:rPr>
        <w:t>开展收费合理性调研，结合成本核算与区域养老服务市场价格，制定阶梯式收费标准或优惠政策，回应“降低收费标准”“提高性价比”的诉求；建立公众需求反馈机制，定期收集服务建议，针对性优化服务内容（如增加刚需服务项目）、提升服务质量，缩小服务供给与公众需求的偏差。</w:t>
      </w: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F5C6A"/>
    <w:rsid w:val="1DFF5C6A"/>
    <w:rsid w:val="60934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5</Pages>
  <Words>0</Words>
  <Characters>0</Characters>
  <Lines>0</Lines>
  <Paragraphs>0</Paragraphs>
  <TotalTime>29</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2026-07-02T08:05:00Z</dcterms:created>
  <dc:creator>Administrator</dc:creator>
  <cp:lastModifiedBy>Administrator</cp:lastModifiedBy>
  <dcterms:modified xsi:type="dcterms:W3CDTF">2026-07-07T01:56:05Z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19E2269E81774F20A66634448606FD83</vt:lpwstr>
  </property>
</Properties>
</file>