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79" w:lineRule="exact"/>
        <w:jc w:val="center"/>
        <w:rPr>
          <w:rFonts w:hint="eastAsia" w:ascii="方正小标宋简体" w:eastAsia="方正小标宋简体" w:cs="Times New Roman"/>
          <w:spacing w:val="6"/>
          <w:kern w:val="36"/>
          <w:sz w:val="44"/>
          <w:szCs w:val="44"/>
          <w:highlight w:val="none"/>
          <w:lang w:val="en-US" w:eastAsia="zh-CN"/>
        </w:rPr>
      </w:pPr>
      <w:r>
        <w:rPr>
          <w:rFonts w:hint="eastAsia" w:ascii="方正小标宋简体" w:eastAsia="方正小标宋简体" w:cs="Times New Roman"/>
          <w:spacing w:val="6"/>
          <w:kern w:val="36"/>
          <w:sz w:val="44"/>
          <w:szCs w:val="44"/>
          <w:highlight w:val="none"/>
          <w:lang w:val="en-US" w:eastAsia="zh-CN"/>
        </w:rPr>
        <w:t>嵩明职教新城管理委员会2024年嵩明职教新城初级中学（杨林中学分校）项目</w:t>
      </w:r>
    </w:p>
    <w:p>
      <w:pPr>
        <w:keepNext w:val="0"/>
        <w:keepLines w:val="0"/>
        <w:pageBreakBefore w:val="0"/>
        <w:kinsoku/>
        <w:wordWrap/>
        <w:topLinePunct w:val="0"/>
        <w:autoSpaceDE/>
        <w:autoSpaceDN/>
        <w:bidi w:val="0"/>
        <w:spacing w:line="579" w:lineRule="exact"/>
        <w:jc w:val="center"/>
        <w:rPr>
          <w:rFonts w:hint="default" w:hAnsi="仿宋" w:eastAsia="仿宋"/>
          <w:sz w:val="36"/>
          <w:szCs w:val="36"/>
          <w:highlight w:val="none"/>
          <w:lang w:val="en-US" w:eastAsia="zh-CN"/>
        </w:rPr>
      </w:pPr>
      <w:r>
        <w:rPr>
          <w:rFonts w:hint="eastAsia" w:ascii="方正小标宋简体" w:hAnsi="Times New Roman" w:eastAsia="方正小标宋简体" w:cs="Times New Roman"/>
          <w:spacing w:val="6"/>
          <w:kern w:val="36"/>
          <w:sz w:val="44"/>
          <w:szCs w:val="44"/>
          <w:highlight w:val="none"/>
          <w:lang w:val="en-US" w:eastAsia="zh-CN"/>
        </w:rPr>
        <w:t>绩效评价报告</w:t>
      </w:r>
    </w:p>
    <w:p>
      <w:pPr>
        <w:keepNext w:val="0"/>
        <w:keepLines w:val="0"/>
        <w:pageBreakBefore w:val="0"/>
        <w:kinsoku/>
        <w:wordWrap/>
        <w:topLinePunct w:val="0"/>
        <w:autoSpaceDE/>
        <w:autoSpaceDN/>
        <w:bidi w:val="0"/>
        <w:spacing w:line="579" w:lineRule="exact"/>
        <w:ind w:firstLine="624" w:firstLineChars="200"/>
        <w:rPr>
          <w:rFonts w:ascii="仿宋_GB2312" w:hAnsi="仿宋" w:eastAsia="仿宋_GB2312"/>
          <w:spacing w:val="6"/>
          <w:szCs w:val="30"/>
          <w:highlight w:val="yellow"/>
        </w:rPr>
      </w:pPr>
    </w:p>
    <w:p>
      <w:pPr>
        <w:spacing w:line="579" w:lineRule="exact"/>
        <w:ind w:firstLine="624" w:firstLineChars="200"/>
        <w:outlineLvl w:val="9"/>
        <w:rPr>
          <w:rFonts w:hint="eastAsia" w:eastAsia="黑体"/>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嵩明县职教新城管理委员会2024年嵩明职教新城初级中学（杨林中学分校）项目开展绩效评价。现将评价情况报告如下：</w:t>
      </w:r>
    </w:p>
    <w:p>
      <w:pPr>
        <w:keepNext w:val="0"/>
        <w:keepLines w:val="0"/>
        <w:pageBreakBefore w:val="0"/>
        <w:widowControl w:val="0"/>
        <w:kinsoku/>
        <w:wordWrap/>
        <w:overflowPunct/>
        <w:topLinePunct w:val="0"/>
        <w:autoSpaceDE/>
        <w:autoSpaceDN/>
        <w:bidi w:val="0"/>
        <w:adjustRightInd/>
        <w:snapToGrid/>
        <w:spacing w:line="579" w:lineRule="exact"/>
        <w:ind w:firstLine="624" w:firstLineChars="200"/>
        <w:textAlignment w:val="auto"/>
        <w:rPr>
          <w:rFonts w:hint="eastAsia" w:eastAsia="黑体"/>
          <w:spacing w:val="6"/>
          <w:sz w:val="30"/>
          <w:szCs w:val="30"/>
          <w:highlight w:val="none"/>
        </w:rPr>
      </w:pPr>
      <w:r>
        <w:rPr>
          <w:rFonts w:hint="eastAsia" w:eastAsia="黑体"/>
          <w:spacing w:val="6"/>
          <w:sz w:val="30"/>
          <w:szCs w:val="30"/>
          <w:highlight w:val="none"/>
          <w:lang w:val="en-US" w:eastAsia="zh-CN"/>
        </w:rPr>
        <w:t>一、</w:t>
      </w:r>
      <w:r>
        <w:rPr>
          <w:rFonts w:hint="eastAsia" w:eastAsia="黑体"/>
          <w:spacing w:val="6"/>
          <w:sz w:val="30"/>
          <w:szCs w:val="30"/>
          <w:highlight w:val="none"/>
        </w:rPr>
        <w:t>基本情况</w:t>
      </w:r>
    </w:p>
    <w:p>
      <w:pPr>
        <w:spacing w:line="579" w:lineRule="exact"/>
        <w:ind w:firstLine="624" w:firstLineChars="200"/>
        <w:outlineLvl w:val="9"/>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百年大计，教育为本”，中学教育作为基础教育的关键环节，对人才培养、民族兴衰意义重大。当前嵩明职教新城已配套小学、幼儿园，但缺乏初高中教育资源，得胜御泉府、学府康城等周边居住区适龄青少年面临就近入学难题。同时，结合国家“科教兴国”战略、云南省推进教育均衡发展规划及嵩明县“科教兴嵩”战略，为改善区域教育布局不合理、中学规模不足的现状，亟需建设该项目以完善教育层次衔接。</w:t>
      </w:r>
    </w:p>
    <w:p>
      <w:pPr>
        <w:spacing w:line="579" w:lineRule="exact"/>
        <w:ind w:firstLine="624" w:firstLineChars="200"/>
        <w:outlineLvl w:val="9"/>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经嵩明县发展和改革局《关于嵩明职教新城初级中学（杨林中学分校）建设项目可行性研究报告的批复》（嵩发改复〔2023〕4号）立项建设的教育民生工程，项目位于嵩明职教新城文博路与文轩路交叉口西北侧，总用地面积30376平方米（合45.5亩），总建筑面积18160.79平方米，总投资10,087.55万元，建设周期为2023年3月-2023年9月，核心建设内容包括综合教学楼、风雨球场、水泵房、门卫值班室等建筑及运动场、道路广场、绿化工程、给排水、电气、教学系统等配套设施，设24个班级、1200个学位，机动车停车位39个（含4个充电车位），非机动车停车位101个，项目建成后将有效填补区域初高中教育空白，完善教育资源布局与层次衔接，满足周边适龄青少年就近接受高质量教育的需求，提升嵩明县基础教育现代化水平，助力全民素质提升和社会公平，同时其绿色建筑、海绵城市设计及智能化配置也将为同类项目提供示范。</w:t>
      </w:r>
    </w:p>
    <w:p>
      <w:pPr>
        <w:spacing w:line="579" w:lineRule="exact"/>
        <w:ind w:firstLine="624" w:firstLineChars="200"/>
        <w:outlineLvl w:val="9"/>
        <w:rPr>
          <w:rFonts w:hint="default" w:ascii="仿宋_GB2312" w:hAnsi="仿宋" w:eastAsia="仿宋_GB2312" w:cs="Times New Roman"/>
          <w:spacing w:val="6"/>
          <w:sz w:val="30"/>
          <w:szCs w:val="30"/>
          <w:highlight w:val="yellow"/>
          <w:lang w:val="en-US" w:eastAsia="zh-CN"/>
        </w:rPr>
      </w:pPr>
      <w:r>
        <w:rPr>
          <w:rFonts w:hint="eastAsia" w:ascii="仿宋_GB2312" w:hAnsi="仿宋" w:eastAsia="仿宋_GB2312" w:cs="Times New Roman"/>
          <w:spacing w:val="6"/>
          <w:sz w:val="30"/>
          <w:szCs w:val="30"/>
          <w:highlight w:val="none"/>
          <w:lang w:val="en-US" w:eastAsia="zh-CN"/>
        </w:rPr>
        <w:t>2024年3月竣工验收，并于竣工验收后投入使用。</w:t>
      </w:r>
    </w:p>
    <w:p>
      <w:pPr>
        <w:keepNext w:val="0"/>
        <w:keepLines w:val="0"/>
        <w:pageBreakBefore w:val="0"/>
        <w:widowControl w:val="0"/>
        <w:kinsoku/>
        <w:wordWrap/>
        <w:overflowPunct/>
        <w:topLinePunct w:val="0"/>
        <w:autoSpaceDE/>
        <w:autoSpaceDN/>
        <w:bidi w:val="0"/>
        <w:adjustRightInd/>
        <w:snapToGrid/>
        <w:spacing w:line="579" w:lineRule="exact"/>
        <w:ind w:firstLine="624" w:firstLineChars="200"/>
        <w:textAlignment w:val="auto"/>
        <w:rPr>
          <w:rFonts w:hint="eastAsia" w:eastAsia="黑体"/>
          <w:spacing w:val="6"/>
          <w:sz w:val="30"/>
          <w:szCs w:val="30"/>
          <w:highlight w:val="none"/>
          <w:lang w:val="en-US" w:eastAsia="zh-CN"/>
        </w:rPr>
      </w:pPr>
      <w:r>
        <w:rPr>
          <w:rFonts w:hint="eastAsia" w:eastAsia="黑体"/>
          <w:spacing w:val="6"/>
          <w:sz w:val="30"/>
          <w:szCs w:val="30"/>
          <w:highlight w:val="none"/>
          <w:lang w:val="en-US" w:eastAsia="zh-CN"/>
        </w:rPr>
        <w:t>二、绩效评价结论</w:t>
      </w:r>
    </w:p>
    <w:p>
      <w:pPr>
        <w:spacing w:line="579" w:lineRule="exact"/>
        <w:ind w:firstLine="624" w:firstLineChars="200"/>
        <w:rPr>
          <w:rFonts w:hint="eastAsia" w:ascii="仿宋_GB2312" w:hAnsi="仿宋" w:eastAsia="仿宋_GB2312"/>
          <w:spacing w:val="6"/>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嵩明职教新城管理委员会2024年嵩明职教新城初级中学（杨林中学分校）项目绩效评价得分95.51分，评价等级为“优”。嵩明职教新城初级中学（杨林中学分校）建设项目作为保障区域教育均衡的民生工程，立项依据充分、程序规范，整体实施成效显著，综合绩效评价等级为优秀；项目紧扣国家“科教兴国”及云南省、嵩明县教育发展相关战略，精准填补了嵩明职教新城初高中教育资源空白，有效解决了周边居住区适龄青少年就近入学难题，完善了区域教育层次衔接，实施过程中管理制度健全、资金使用合规，于2024年3月按期通过竣工验收并顺利投入使用，122名在校生平稳入驻，工程验收合格率、欠款支付准确率及及时率均达100%，综合满意度高达98.91%，不仅保障了施工单位合法权益，更提升了政府公信力，社会效益与可持续性影响突出。核心产出与效益目标全面达成，但仍存在预算执行率85.07%未实现全额高效使用、绩效指标设计不够精准（核心目标缺乏直接细化指标、部分指标与核心任务关联性不足）的短板，总体而言，项目核心成效符合政策要求与民生需求，短板问题未影响整体目标实现，后续通过优化预算管控与绩效指标体系，可进一步提升项目管理精细化水平。</w:t>
      </w:r>
    </w:p>
    <w:p>
      <w:pPr>
        <w:keepNext w:val="0"/>
        <w:keepLines w:val="0"/>
        <w:pageBreakBefore w:val="0"/>
        <w:widowControl w:val="0"/>
        <w:kinsoku/>
        <w:wordWrap/>
        <w:overflowPunct/>
        <w:topLinePunct w:val="0"/>
        <w:autoSpaceDE/>
        <w:autoSpaceDN/>
        <w:bidi w:val="0"/>
        <w:adjustRightInd/>
        <w:snapToGrid/>
        <w:spacing w:line="579" w:lineRule="exact"/>
        <w:ind w:firstLine="624" w:firstLineChars="200"/>
        <w:textAlignment w:val="auto"/>
        <w:rPr>
          <w:rFonts w:hint="eastAsia" w:eastAsia="黑体"/>
          <w:spacing w:val="6"/>
          <w:sz w:val="30"/>
          <w:szCs w:val="30"/>
          <w:highlight w:val="none"/>
          <w:lang w:val="en-US" w:eastAsia="zh-CN"/>
        </w:rPr>
      </w:pPr>
      <w:r>
        <w:rPr>
          <w:rFonts w:hint="eastAsia" w:eastAsia="黑体"/>
          <w:spacing w:val="6"/>
          <w:sz w:val="30"/>
          <w:szCs w:val="30"/>
          <w:highlight w:val="none"/>
          <w:lang w:val="en-US" w:eastAsia="zh-CN"/>
        </w:rPr>
        <w:t>三、存在的主要问题</w:t>
      </w:r>
    </w:p>
    <w:p>
      <w:pPr>
        <w:spacing w:line="579" w:lineRule="exact"/>
        <w:ind w:firstLine="624" w:firstLineChars="200"/>
        <w:outlineLvl w:val="9"/>
        <w:rPr>
          <w:rFonts w:hint="default"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（一）预算执行率不达标</w:t>
      </w:r>
    </w:p>
    <w:p>
      <w:pPr>
        <w:spacing w:line="579"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2024年项目预算安排1,340万元，截至年末实际支出1,140万元，预算执行率为85.07%，存在15.93%的资金未足额使用，未能充分发挥预算资金的预期效益。</w:t>
      </w:r>
    </w:p>
    <w:p>
      <w:pPr>
        <w:spacing w:line="579" w:lineRule="exact"/>
        <w:ind w:firstLine="624" w:firstLineChars="200"/>
        <w:outlineLvl w:val="9"/>
        <w:rPr>
          <w:rFonts w:hint="default"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（二）绩效工作有待提升</w:t>
      </w:r>
    </w:p>
    <w:p>
      <w:pPr>
        <w:spacing w:line="579"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spacing w:val="6"/>
          <w:szCs w:val="30"/>
          <w:highlight w:val="none"/>
        </w:rPr>
        <w:t>项目绩效目标与指标设计存在明显短板，核心问题体现为核心目标缺乏</w:t>
      </w:r>
      <w:r>
        <w:rPr>
          <w:rFonts w:hint="eastAsia" w:ascii="仿宋_GB2312" w:hAnsi="仿宋" w:eastAsia="仿宋_GB2312"/>
          <w:spacing w:val="6"/>
          <w:szCs w:val="30"/>
          <w:highlight w:val="none"/>
          <w:lang w:val="en-US" w:eastAsia="zh-CN"/>
        </w:rPr>
        <w:t>,</w:t>
      </w:r>
      <w:r>
        <w:rPr>
          <w:rFonts w:hint="eastAsia" w:ascii="仿宋_GB2312" w:hAnsi="仿宋" w:eastAsia="仿宋_GB2312"/>
          <w:spacing w:val="6"/>
          <w:szCs w:val="30"/>
          <w:highlight w:val="none"/>
        </w:rPr>
        <w:t>直接细化指标、时效指标覆盖不完整、数量指标与“支付拖欠工程款、保障项目验收、实现学生入驻”的核心任务关联性不足，且效益指标量化程度低，难以精准衡量项目核心成效。追根溯源，这是由于前期指标设计缺乏系统性和针对性，未围绕项目核心任务进行层层拆解，一方面未充分考量资金专项用于支付拖欠工程款的特殊性，导致指标设置与实际工作重点脱节；另一方面缺乏专业的指标设计</w:t>
      </w:r>
      <w:bookmarkStart w:id="0" w:name="_GoBack"/>
      <w:bookmarkEnd w:id="0"/>
      <w:r>
        <w:rPr>
          <w:rFonts w:hint="eastAsia" w:ascii="仿宋_GB2312" w:hAnsi="仿宋" w:eastAsia="仿宋_GB2312"/>
          <w:spacing w:val="6"/>
          <w:szCs w:val="30"/>
          <w:highlight w:val="none"/>
        </w:rPr>
        <w:t>论证环节，对绩效指标的细化逻辑、量化标准及覆盖范围思考不够全面，仅片面追求指标的表面完整性，却忽略了其与核心目标的强关联性和实际可操作性，最终影响了绩效评价对项目成效衡量的精准度。</w:t>
      </w:r>
    </w:p>
    <w:p>
      <w:pPr>
        <w:spacing w:line="579"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kinsoku w:val="0"/>
        <w:overflowPunct/>
        <w:topLinePunct w:val="0"/>
        <w:autoSpaceDE/>
        <w:autoSpaceDN/>
        <w:bidi w:val="0"/>
        <w:adjustRightInd w:val="0"/>
        <w:snapToGrid w:val="0"/>
        <w:spacing w:line="579" w:lineRule="exact"/>
        <w:ind w:firstLine="604" w:firstLineChars="200"/>
        <w:outlineLvl w:val="9"/>
        <w:rPr>
          <w:rFonts w:hint="default" w:ascii="楷体_GB2312" w:hAnsi="Calibri" w:eastAsia="楷体_GB2312" w:cs="Times New Roman"/>
          <w:b w:val="0"/>
          <w:bCs w:val="0"/>
          <w:spacing w:val="1"/>
          <w:kern w:val="2"/>
          <w:sz w:val="30"/>
          <w:szCs w:val="30"/>
          <w:highlight w:val="none"/>
          <w:lang w:val="en-US" w:eastAsia="zh-CN" w:bidi="ar-SA"/>
        </w:rPr>
      </w:pPr>
      <w:r>
        <w:rPr>
          <w:rFonts w:hint="eastAsia" w:ascii="楷体_GB2312" w:hAnsi="Calibri" w:eastAsia="楷体_GB2312" w:cs="Times New Roman"/>
          <w:b w:val="0"/>
          <w:bCs w:val="0"/>
          <w:spacing w:val="1"/>
          <w:kern w:val="2"/>
          <w:sz w:val="30"/>
          <w:szCs w:val="30"/>
          <w:highlight w:val="none"/>
          <w:lang w:val="en-US" w:eastAsia="zh-CN" w:bidi="ar-SA"/>
        </w:rPr>
        <w:t>（一）</w:t>
      </w:r>
      <w:r>
        <w:rPr>
          <w:rFonts w:hint="eastAsia" w:ascii="楷体_GB2312" w:hAnsi="Calibri" w:eastAsia="楷体_GB2312"/>
          <w:spacing w:val="1"/>
          <w:kern w:val="2"/>
          <w:szCs w:val="30"/>
          <w:highlight w:val="none"/>
        </w:rPr>
        <w:t>强化资金使用预判</w:t>
      </w:r>
      <w:r>
        <w:rPr>
          <w:rFonts w:hint="eastAsia" w:ascii="楷体_GB2312" w:hAnsi="Calibri" w:eastAsia="楷体_GB2312"/>
          <w:spacing w:val="1"/>
          <w:kern w:val="2"/>
          <w:szCs w:val="30"/>
          <w:highlight w:val="none"/>
          <w:lang w:eastAsia="zh-CN"/>
        </w:rPr>
        <w:t>，</w:t>
      </w:r>
      <w:r>
        <w:rPr>
          <w:rFonts w:hint="eastAsia" w:ascii="楷体_GB2312" w:hAnsi="Calibri" w:eastAsia="楷体_GB2312"/>
          <w:spacing w:val="1"/>
          <w:kern w:val="2"/>
          <w:szCs w:val="30"/>
          <w:highlight w:val="none"/>
          <w:lang w:val="en-US" w:eastAsia="zh-CN"/>
        </w:rPr>
        <w:t>加快资金使用</w:t>
      </w:r>
    </w:p>
    <w:p>
      <w:pPr>
        <w:spacing w:line="579"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spacing w:val="6"/>
          <w:szCs w:val="30"/>
          <w:highlight w:val="none"/>
        </w:rPr>
        <w:t>项目前期结合工程收尾进度、验收节点，制定分月度资金使用计划；加强与施工方、监理单位的沟通，提前预判结算争议点并提前协调，避免因争议导致支付延误；对确因客观原因无法当年使用的资金，</w:t>
      </w:r>
      <w:r>
        <w:rPr>
          <w:rFonts w:hint="eastAsia" w:ascii="仿宋_GB2312" w:hAnsi="仿宋" w:eastAsia="仿宋_GB2312"/>
          <w:spacing w:val="6"/>
          <w:szCs w:val="30"/>
          <w:highlight w:val="none"/>
          <w:lang w:val="en-US" w:eastAsia="zh-CN"/>
        </w:rPr>
        <w:t>提请资金</w:t>
      </w:r>
      <w:r>
        <w:rPr>
          <w:rFonts w:hint="eastAsia" w:ascii="仿宋_GB2312" w:hAnsi="仿宋" w:eastAsia="仿宋_GB2312"/>
          <w:spacing w:val="6"/>
          <w:szCs w:val="30"/>
          <w:highlight w:val="none"/>
        </w:rPr>
        <w:t>安排，</w:t>
      </w:r>
      <w:r>
        <w:rPr>
          <w:rFonts w:hint="eastAsia" w:ascii="仿宋_GB2312" w:hAnsi="仿宋" w:eastAsia="仿宋_GB2312"/>
          <w:spacing w:val="6"/>
          <w:szCs w:val="30"/>
          <w:highlight w:val="none"/>
          <w:lang w:val="en-US" w:eastAsia="zh-CN"/>
        </w:rPr>
        <w:t>加快资金使用，</w:t>
      </w:r>
      <w:r>
        <w:rPr>
          <w:rFonts w:hint="eastAsia" w:ascii="仿宋_GB2312" w:hAnsi="仿宋" w:eastAsia="仿宋_GB2312"/>
          <w:spacing w:val="6"/>
          <w:szCs w:val="30"/>
          <w:highlight w:val="none"/>
        </w:rPr>
        <w:t>确保资金效益最大化。</w:t>
      </w:r>
    </w:p>
    <w:p>
      <w:pPr>
        <w:keepNext w:val="0"/>
        <w:keepLines w:val="0"/>
        <w:pageBreakBefore w:val="0"/>
        <w:kinsoku w:val="0"/>
        <w:overflowPunct/>
        <w:topLinePunct w:val="0"/>
        <w:autoSpaceDE/>
        <w:autoSpaceDN/>
        <w:bidi w:val="0"/>
        <w:adjustRightInd w:val="0"/>
        <w:snapToGrid w:val="0"/>
        <w:spacing w:line="579" w:lineRule="exact"/>
        <w:ind w:firstLine="604" w:firstLineChars="200"/>
        <w:outlineLvl w:val="9"/>
        <w:rPr>
          <w:rFonts w:hint="eastAsia" w:ascii="楷体_GB2312" w:hAnsi="Calibri" w:eastAsia="楷体_GB2312" w:cs="Times New Roman"/>
          <w:b w:val="0"/>
          <w:bCs w:val="0"/>
          <w:spacing w:val="1"/>
          <w:kern w:val="2"/>
          <w:sz w:val="30"/>
          <w:szCs w:val="30"/>
          <w:highlight w:val="none"/>
          <w:lang w:val="en-US" w:eastAsia="zh-CN" w:bidi="ar-SA"/>
        </w:rPr>
      </w:pPr>
      <w:r>
        <w:rPr>
          <w:rFonts w:hint="eastAsia" w:ascii="楷体_GB2312" w:hAnsi="Calibri" w:eastAsia="楷体_GB2312" w:cs="Times New Roman"/>
          <w:b w:val="0"/>
          <w:bCs w:val="0"/>
          <w:spacing w:val="1"/>
          <w:kern w:val="2"/>
          <w:sz w:val="30"/>
          <w:szCs w:val="30"/>
          <w:highlight w:val="none"/>
          <w:lang w:val="en-US" w:eastAsia="zh-CN" w:bidi="ar-SA"/>
        </w:rPr>
        <w:t>（二）</w:t>
      </w:r>
      <w:r>
        <w:rPr>
          <w:rFonts w:hint="eastAsia" w:ascii="楷体_GB2312" w:hAnsi="Calibri" w:eastAsia="楷体_GB2312"/>
          <w:spacing w:val="1"/>
          <w:kern w:val="2"/>
          <w:szCs w:val="30"/>
          <w:highlight w:val="none"/>
        </w:rPr>
        <w:t>优化绩效目标与指标体系</w:t>
      </w:r>
    </w:p>
    <w:p>
      <w:pPr>
        <w:spacing w:line="579"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spacing w:val="6"/>
          <w:szCs w:val="30"/>
          <w:highlight w:val="none"/>
          <w:lang w:val="en-US" w:eastAsia="zh-CN"/>
        </w:rPr>
        <w:t>一是</w:t>
      </w:r>
      <w:r>
        <w:rPr>
          <w:rFonts w:hint="eastAsia" w:ascii="仿宋_GB2312" w:hAnsi="仿宋" w:eastAsia="仿宋_GB2312"/>
          <w:spacing w:val="6"/>
          <w:szCs w:val="30"/>
          <w:highlight w:val="none"/>
        </w:rPr>
        <w:t>重构绩效指标体系</w:t>
      </w:r>
      <w:r>
        <w:rPr>
          <w:rFonts w:hint="eastAsia" w:ascii="仿宋_GB2312" w:hAnsi="仿宋" w:eastAsia="仿宋_GB2312"/>
          <w:spacing w:val="6"/>
          <w:szCs w:val="30"/>
          <w:highlight w:val="none"/>
          <w:lang w:eastAsia="zh-CN"/>
        </w:rPr>
        <w:t>。</w:t>
      </w:r>
      <w:r>
        <w:rPr>
          <w:rFonts w:hint="eastAsia" w:ascii="仿宋_GB2312" w:hAnsi="仿宋" w:eastAsia="仿宋_GB2312"/>
          <w:spacing w:val="6"/>
          <w:szCs w:val="30"/>
          <w:highlight w:val="none"/>
        </w:rPr>
        <w:t>聚焦核心任务细化指标，补充“拖欠工程款全额支付完成率（目标100%）”“学生按时入驻率（目标100%）”等直接关联指标；完善时效指标覆盖，明确“工程款支付时限（如审核通过后10个工作日内）”“验收备案完成时限”等具体时间节点；量化效益指标，将“缓解学位紧张”细化为“新增学位利用率（目标≥95%）”，“保障权益”细化为“施工单位投诉发生率（目标0%）”</w:t>
      </w:r>
      <w:r>
        <w:rPr>
          <w:rFonts w:hint="eastAsia" w:ascii="仿宋_GB2312" w:hAnsi="仿宋" w:eastAsia="仿宋_GB2312"/>
          <w:spacing w:val="6"/>
          <w:szCs w:val="30"/>
          <w:highlight w:val="none"/>
          <w:lang w:eastAsia="zh-CN"/>
        </w:rPr>
        <w:t>。</w:t>
      </w:r>
    </w:p>
    <w:p>
      <w:pPr>
        <w:spacing w:line="579" w:lineRule="exact"/>
        <w:ind w:firstLine="624" w:firstLineChars="200"/>
        <w:rPr>
          <w:rFonts w:hint="eastAsia"/>
          <w:szCs w:val="30"/>
          <w:lang w:val="en-US" w:eastAsia="zh-CN"/>
        </w:rPr>
      </w:pPr>
      <w:r>
        <w:rPr>
          <w:rFonts w:hint="eastAsia" w:ascii="仿宋_GB2312" w:hAnsi="仿宋" w:eastAsia="仿宋_GB2312"/>
          <w:spacing w:val="6"/>
          <w:szCs w:val="30"/>
          <w:highlight w:val="none"/>
          <w:lang w:val="en-US" w:eastAsia="zh-CN"/>
        </w:rPr>
        <w:t>二是</w:t>
      </w:r>
      <w:r>
        <w:rPr>
          <w:rFonts w:hint="eastAsia" w:ascii="仿宋_GB2312" w:hAnsi="仿宋" w:eastAsia="仿宋_GB2312"/>
          <w:spacing w:val="6"/>
          <w:szCs w:val="30"/>
          <w:highlight w:val="none"/>
        </w:rPr>
        <w:t>建立绩效全周期管理机制</w:t>
      </w:r>
      <w:r>
        <w:rPr>
          <w:rFonts w:hint="eastAsia" w:ascii="仿宋_GB2312" w:hAnsi="仿宋" w:eastAsia="仿宋_GB2312"/>
          <w:spacing w:val="6"/>
          <w:szCs w:val="30"/>
          <w:highlight w:val="none"/>
          <w:lang w:eastAsia="zh-CN"/>
        </w:rPr>
        <w:t>。</w:t>
      </w:r>
      <w:r>
        <w:rPr>
          <w:rFonts w:hint="eastAsia" w:ascii="仿宋_GB2312" w:hAnsi="仿宋" w:eastAsia="仿宋_GB2312"/>
          <w:spacing w:val="6"/>
          <w:szCs w:val="30"/>
          <w:highlight w:val="none"/>
        </w:rPr>
        <w:t>将绩效目标分解至项目各环节（结算、支付、验收、入驻），明确各阶段绩效责任主体；项目实施中定期开展绩效监控，对照指标核查进展，及时调整偏差；项目结束后开展绩效复盘，总结指标设计与落地过程中的问题，形成可复用的指标设计模板，提升后续项目绩效工作质量。</w:t>
      </w:r>
    </w:p>
    <w:p>
      <w:pPr>
        <w:spacing w:line="579" w:lineRule="exact"/>
        <w:ind w:firstLine="624" w:firstLineChars="200"/>
        <w:rPr>
          <w:rFonts w:hint="eastAsia" w:ascii="仿宋_GB2312" w:hAnsi="仿宋" w:eastAsia="仿宋_GB2312" w:cs="Times New Roman"/>
          <w:spacing w:val="6"/>
          <w:sz w:val="30"/>
          <w:szCs w:val="30"/>
          <w:highlight w:val="yellow"/>
          <w:lang w:val="en-US" w:eastAsia="zh-CN"/>
        </w:rPr>
      </w:pPr>
    </w:p>
    <w:p>
      <w:pPr>
        <w:pStyle w:val="6"/>
        <w:spacing w:line="579" w:lineRule="exact"/>
        <w:rPr>
          <w:rFonts w:hint="eastAsia" w:ascii="仿宋_GB2312" w:hAnsi="仿宋" w:eastAsia="仿宋_GB2312"/>
          <w:spacing w:val="6"/>
          <w:sz w:val="30"/>
          <w:szCs w:val="30"/>
          <w:highlight w:val="yellow"/>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825F3"/>
    <w:rsid w:val="11BB30EB"/>
    <w:rsid w:val="799B40A8"/>
    <w:rsid w:val="7CE82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Times New Roman" w:eastAsia="仿宋" w:cs="Times New Roman"/>
      <w:kern w:val="30"/>
      <w:sz w:val="30"/>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6</Pages>
  <Words>0</Words>
  <Characters>0</Characters>
  <Lines>0</Lines>
  <Paragraphs>0</Paragraphs>
  <TotalTime>264</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2026-07-02T07:47:00Z</dcterms:created>
  <dc:creator>Administrator</dc:creator>
  <cp:lastModifiedBy>Administrator</cp:lastModifiedBy>
  <dcterms:modified xsi:type="dcterms:W3CDTF">2026-07-07T06:22:54Z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6DCA90F5518E477197C78E4D8F119247</vt:lpwstr>
  </property>
</Properties>
</file>