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autoSpaceDE/>
        <w:autoSpaceDN/>
        <w:bidi w:val="0"/>
        <w:spacing w:line="590" w:lineRule="exact"/>
        <w:jc w:val="center"/>
        <w:rPr>
          <w:rFonts w:hint="default" w:hAnsi="仿宋" w:eastAsia="仿宋"/>
          <w:sz w:val="36"/>
          <w:szCs w:val="36"/>
          <w:highlight w:val="none"/>
          <w:lang w:val="en-US" w:eastAsia="zh-CN"/>
        </w:rPr>
      </w:pPr>
      <w:r>
        <w:rPr>
          <w:rFonts w:hint="eastAsia" w:ascii="方正小标宋简体" w:eastAsia="方正小标宋简体" w:cs="Times New Roman"/>
          <w:spacing w:val="6"/>
          <w:kern w:val="36"/>
          <w:sz w:val="44"/>
          <w:szCs w:val="44"/>
          <w:highlight w:val="none"/>
          <w:lang w:val="en-US" w:eastAsia="zh-CN"/>
        </w:rPr>
        <w:t>嵩明职教新城管理委员会2024年嵩明长松园1号道路（军长路至杨家村段）段新增电缆沟项目绩效评价</w:t>
      </w:r>
      <w:r>
        <w:rPr>
          <w:rFonts w:hint="eastAsia" w:ascii="方正小标宋简体" w:hAnsi="Times New Roman" w:eastAsia="方正小标宋简体" w:cs="Times New Roman"/>
          <w:spacing w:val="6"/>
          <w:kern w:val="36"/>
          <w:sz w:val="44"/>
          <w:szCs w:val="44"/>
          <w:highlight w:val="none"/>
          <w:lang w:val="en-US" w:eastAsia="zh-CN"/>
        </w:rPr>
        <w:t>报告</w:t>
      </w:r>
    </w:p>
    <w:p>
      <w:pPr>
        <w:keepNext w:val="0"/>
        <w:keepLines w:val="0"/>
        <w:pageBreakBefore w:val="0"/>
        <w:kinsoku/>
        <w:wordWrap/>
        <w:topLinePunct w:val="0"/>
        <w:autoSpaceDE/>
        <w:autoSpaceDN/>
        <w:bidi w:val="0"/>
        <w:spacing w:line="590" w:lineRule="exact"/>
        <w:ind w:firstLine="624" w:firstLineChars="200"/>
        <w:rPr>
          <w:rFonts w:ascii="仿宋_GB2312" w:hAnsi="仿宋" w:eastAsia="仿宋_GB2312"/>
          <w:spacing w:val="6"/>
          <w:szCs w:val="30"/>
          <w:highlight w:val="yellow"/>
        </w:rPr>
      </w:pPr>
    </w:p>
    <w:p>
      <w:pPr>
        <w:spacing w:line="590" w:lineRule="exact"/>
        <w:ind w:firstLine="624" w:firstLineChars="200"/>
        <w:outlineLvl w:val="9"/>
        <w:rPr>
          <w:rFonts w:hint="eastAsia" w:eastAsia="黑体"/>
          <w:spacing w:val="6"/>
          <w:sz w:val="30"/>
          <w:highlight w:val="none"/>
          <w:lang w:val="en-US" w:eastAsia="zh-CN"/>
        </w:rPr>
      </w:pPr>
      <w:r>
        <w:rPr>
          <w:rFonts w:hint="eastAsia" w:ascii="仿宋_GB2312" w:hAnsi="仿宋" w:eastAsia="仿宋_GB2312"/>
          <w:spacing w:val="6"/>
          <w:sz w:val="30"/>
          <w:szCs w:val="30"/>
          <w:highlight w:val="none"/>
          <w:lang w:val="en-US" w:eastAsia="zh-CN"/>
        </w:rPr>
        <w:t>根据《项目支出绩效评价管理办法》（财预〔2020〕10号）、《中共云南省委 云南省政府关于全面实施预算绩效管理的实施意见》（云发〔2019〕11号）、《云南省财政厅关于印发〈云南省项目支出绩效评价管理办法〉的通知》（云财绩〔2020〕11号）、《中共昆明市委昆明市人民政府关于全面实施预算绩效管理的实施意见》（昆发〔2019〕12号）和《嵩明县财政局关于开展2025年财政重点绩效评价及召开相关工作会议的通知》的要求云南啟元管理咨询有限公司接受嵩明县财政局（以下简称“县财政局”）委托，于2025年10月至12月对嵩明职教新城管理委员会（以下简称“职教新城管理委员会”）2024年嵩明长松园1号道路（军长路至杨家村段）段新增电缆沟项目开展绩效评价。现将评价情况报告如下：</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ascii="仿宋_GB2312" w:hAnsi="仿宋" w:eastAsia="仿宋_GB2312" w:cs="Times New Roman"/>
          <w:spacing w:val="6"/>
          <w:sz w:val="30"/>
          <w:szCs w:val="30"/>
          <w:highlight w:val="none"/>
          <w:lang w:val="en-US" w:eastAsia="zh-CN"/>
        </w:rPr>
      </w:pPr>
      <w:r>
        <w:rPr>
          <w:rFonts w:hint="eastAsia" w:eastAsia="黑体"/>
          <w:spacing w:val="6"/>
          <w:sz w:val="30"/>
          <w:highlight w:val="none"/>
          <w:lang w:val="en-US" w:eastAsia="zh-CN"/>
        </w:rPr>
        <w:t>一、</w:t>
      </w:r>
      <w:r>
        <w:rPr>
          <w:rFonts w:hint="eastAsia" w:eastAsia="黑体"/>
          <w:spacing w:val="6"/>
          <w:sz w:val="30"/>
          <w:highlight w:val="none"/>
        </w:rPr>
        <w:t>基本情况</w:t>
      </w:r>
    </w:p>
    <w:p>
      <w:pPr>
        <w:spacing w:line="590" w:lineRule="exact"/>
        <w:ind w:firstLine="624" w:firstLineChars="200"/>
        <w:rPr>
          <w:rFonts w:hint="eastAsia" w:ascii="仿宋_GB2312" w:hAnsi="仿宋" w:eastAsia="仿宋_GB2312"/>
          <w:spacing w:val="6"/>
          <w:sz w:val="30"/>
          <w:szCs w:val="30"/>
          <w:highlight w:val="none"/>
          <w:lang w:val="en-US" w:eastAsia="zh-CN"/>
        </w:rPr>
      </w:pPr>
      <w:r>
        <w:rPr>
          <w:rFonts w:hint="eastAsia" w:ascii="仿宋_GB2312" w:hAnsi="仿宋" w:eastAsia="仿宋_GB2312"/>
          <w:spacing w:val="6"/>
          <w:sz w:val="30"/>
          <w:szCs w:val="30"/>
          <w:highlight w:val="none"/>
          <w:lang w:val="en-US" w:eastAsia="zh-CN"/>
        </w:rPr>
        <w:t>贯彻落实习近平新时代中国特色社会主义思想和党的二十大精神，深入践行创新、协调、绿色、开放、共享的新发展理念，紧抓国家“一带一路”建设、长江经济带、泛珠三角区域合作等战略机遇，落实云南省委、省政府重点发展8大产业、推进产业园区高质量发展的决策部署，助力滇中新区军长片区打造国家级工业园区与产城人融合发展的生态新城。通过项目实施，完善片区电力管网、消除用电空白区，提升土地利用率、改善招商引资环境、完善园区配套，推动产业集群化发展，同时美化城市环境、保障电力安全稳定运行，兼具良好经济、社会与生态效益。</w:t>
      </w:r>
    </w:p>
    <w:p>
      <w:pPr>
        <w:spacing w:line="590" w:lineRule="exact"/>
        <w:ind w:firstLine="624" w:firstLineChars="200"/>
        <w:rPr>
          <w:rFonts w:hint="default" w:ascii="仿宋_GB2312" w:hAnsi="仿宋" w:eastAsia="仿宋_GB2312" w:cs="Times New Roman"/>
          <w:spacing w:val="6"/>
          <w:sz w:val="30"/>
          <w:szCs w:val="30"/>
          <w:highlight w:val="yellow"/>
          <w:lang w:val="en-US" w:eastAsia="zh-CN"/>
        </w:rPr>
      </w:pPr>
      <w:r>
        <w:rPr>
          <w:rFonts w:hint="eastAsia" w:ascii="仿宋_GB2312" w:hAnsi="仿宋" w:eastAsia="仿宋_GB2312"/>
          <w:spacing w:val="6"/>
          <w:sz w:val="30"/>
          <w:szCs w:val="30"/>
          <w:highlight w:val="none"/>
          <w:lang w:val="en-US" w:eastAsia="zh-CN"/>
        </w:rPr>
        <w:t>根据《嵩明县发展和改革局关于嵩明长松园休闲旅游度假区1号道路（军长路至杨家村段）K1+040至K1+650.6段新增电缆沟项目可行性研究报告的批复》（嵩发改复〔2024〕12号）文件，项目估算总投资162.54万元，资金来源为县财政自筹资金。主要建设内容及规模：新增建设长度约为620米道路电缆沟，电缆沟尺寸为1.0mx1.1m，新建电缆人孔井12个、电缆裕度井1个；电力排管14米；建设周期为2024年6月—2025年8月。2024年预算安排资金52万元，实际支出52万元。</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eastAsia="黑体"/>
          <w:spacing w:val="6"/>
          <w:sz w:val="30"/>
          <w:highlight w:val="none"/>
          <w:lang w:val="en-US" w:eastAsia="zh-CN"/>
        </w:rPr>
      </w:pPr>
      <w:r>
        <w:rPr>
          <w:rFonts w:hint="eastAsia" w:eastAsia="黑体"/>
          <w:spacing w:val="6"/>
          <w:sz w:val="30"/>
          <w:highlight w:val="none"/>
          <w:lang w:val="en-US" w:eastAsia="zh-CN"/>
        </w:rPr>
        <w:t>二、绩效评价结论</w:t>
      </w:r>
    </w:p>
    <w:p>
      <w:pPr>
        <w:spacing w:line="590" w:lineRule="exact"/>
        <w:ind w:firstLine="624" w:firstLineChars="200"/>
        <w:rPr>
          <w:rFonts w:hint="eastAsia" w:ascii="仿宋_GB2312" w:hAnsi="仿宋" w:eastAsia="仿宋_GB2312"/>
          <w:spacing w:val="6"/>
          <w:szCs w:val="30"/>
          <w:highlight w:val="none"/>
          <w:lang w:val="en-US" w:eastAsia="zh-CN"/>
        </w:rPr>
      </w:pPr>
      <w:r>
        <w:rPr>
          <w:rFonts w:hint="eastAsia" w:ascii="仿宋_GB2312" w:hAnsi="仿宋" w:eastAsia="仿宋_GB2312" w:cs="Times New Roman"/>
          <w:spacing w:val="6"/>
          <w:sz w:val="30"/>
          <w:szCs w:val="30"/>
          <w:highlight w:val="none"/>
          <w:lang w:val="en-US" w:eastAsia="zh-CN"/>
        </w:rPr>
        <w:t>经评价，嵩明职教新城管理委员会2024年嵩明长松园1号道路（军长路至杨家村段）段新增电缆沟项目绩效评价得分95分，评价等级为“优”。该项目绩效评价整体表现较好，项目立项依据充分、程序规范，绩效目标总体合理，预算编制与资金分配科学，资金执行率和使用合规性、管理制度健全性及执行有效性、产出数量与质量、片区电缆通道贯通目标实现率、工作人员满意度均达预期。但存在部分绩效指标设置不合理、项目未按时完工、社会公众满意度有待提升的问题，需针对性优化改进。</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eastAsia="黑体"/>
          <w:spacing w:val="6"/>
          <w:sz w:val="30"/>
          <w:highlight w:val="none"/>
          <w:lang w:val="en-US" w:eastAsia="zh-CN"/>
        </w:rPr>
      </w:pPr>
      <w:r>
        <w:rPr>
          <w:rFonts w:hint="eastAsia" w:eastAsia="黑体"/>
          <w:spacing w:val="6"/>
          <w:sz w:val="30"/>
          <w:highlight w:val="none"/>
          <w:lang w:val="en-US" w:eastAsia="zh-CN"/>
        </w:rPr>
        <w:t>三、存在的主要问题</w:t>
      </w:r>
    </w:p>
    <w:p>
      <w:pPr>
        <w:spacing w:line="590" w:lineRule="exact"/>
        <w:ind w:firstLine="624" w:firstLineChars="200"/>
        <w:outlineLvl w:val="9"/>
        <w:rPr>
          <w:rFonts w:hint="eastAsia" w:ascii="楷体_GB2312" w:hAnsi="楷体_GB2312" w:eastAsia="楷体_GB2312" w:cs="楷体_GB2312"/>
          <w:spacing w:val="6"/>
          <w:sz w:val="30"/>
          <w:szCs w:val="30"/>
          <w:highlight w:val="none"/>
          <w:lang w:val="en-US" w:eastAsia="zh-CN"/>
        </w:rPr>
      </w:pPr>
      <w:r>
        <w:rPr>
          <w:rFonts w:hint="eastAsia" w:ascii="楷体_GB2312" w:hAnsi="楷体_GB2312" w:eastAsia="楷体_GB2312" w:cs="楷体_GB2312"/>
          <w:spacing w:val="6"/>
          <w:sz w:val="30"/>
          <w:szCs w:val="30"/>
          <w:highlight w:val="none"/>
          <w:lang w:val="en-US" w:eastAsia="zh-CN"/>
        </w:rPr>
        <w:t>（一）绩效指标设置不科学</w:t>
      </w:r>
    </w:p>
    <w:p>
      <w:pPr>
        <w:keepNext w:val="0"/>
        <w:keepLines w:val="0"/>
        <w:pageBreakBefore w:val="0"/>
        <w:overflowPunct/>
        <w:topLinePunct w:val="0"/>
        <w:bidi w:val="0"/>
        <w:spacing w:line="590" w:lineRule="exact"/>
        <w:ind w:firstLine="644" w:firstLineChars="200"/>
        <w:rPr>
          <w:rFonts w:hint="default"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将“项目结算审减率”设置为成本指标，该指标核心功能是反映造价审核工作的质量与效果（即审核过程中核减不合理费用的比例），与项目支出的成本控制目标（如实际支出是否低于预算、单位工程量成本是否达标等）无直接关联，无法通过该指标衡量成本管控成效。</w:t>
      </w:r>
    </w:p>
    <w:p>
      <w:pPr>
        <w:keepNext w:val="0"/>
        <w:keepLines w:val="0"/>
        <w:pageBreakBefore w:val="0"/>
        <w:overflowPunct/>
        <w:topLinePunct w:val="0"/>
        <w:bidi w:val="0"/>
        <w:spacing w:line="590" w:lineRule="exact"/>
        <w:ind w:firstLine="624" w:firstLineChars="200"/>
        <w:rPr>
          <w:rFonts w:hint="eastAsia" w:ascii="仿宋_GB2312" w:hAnsi="Calibri" w:eastAsia="仿宋_GB2312"/>
          <w:spacing w:val="1"/>
          <w:sz w:val="32"/>
          <w:szCs w:val="32"/>
          <w:highlight w:val="none"/>
          <w:lang w:val="en-US" w:eastAsia="zh-CN"/>
        </w:rPr>
      </w:pPr>
      <w:r>
        <w:rPr>
          <w:rFonts w:hint="eastAsia" w:ascii="楷体_GB2312" w:hAnsi="楷体_GB2312" w:eastAsia="楷体_GB2312" w:cs="楷体_GB2312"/>
          <w:spacing w:val="6"/>
          <w:sz w:val="30"/>
          <w:szCs w:val="30"/>
          <w:highlight w:val="none"/>
          <w:lang w:val="en-US" w:eastAsia="zh-CN"/>
        </w:rPr>
        <w:t>（二）项目完工不及时，社会公众满意度偏低</w:t>
      </w:r>
    </w:p>
    <w:p>
      <w:pPr>
        <w:keepNext w:val="0"/>
        <w:keepLines w:val="0"/>
        <w:pageBreakBefore w:val="0"/>
        <w:overflowPunct/>
        <w:topLinePunct w:val="0"/>
        <w:bidi w:val="0"/>
        <w:spacing w:line="590" w:lineRule="exact"/>
        <w:ind w:firstLine="644" w:firstLineChars="200"/>
        <w:rPr>
          <w:rFonts w:hint="eastAsia"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一是施工合同约定的实施周期为2024年8月15日至2024年11月12日（共计约3个月），实际完工时间为2024年12月25日，延误时长超过1个月，未达到“按时完工”的绩效目标。</w:t>
      </w:r>
    </w:p>
    <w:p>
      <w:pPr>
        <w:keepNext w:val="0"/>
        <w:keepLines w:val="0"/>
        <w:pageBreakBefore w:val="0"/>
        <w:overflowPunct/>
        <w:topLinePunct w:val="0"/>
        <w:bidi w:val="0"/>
        <w:spacing w:line="590" w:lineRule="exact"/>
        <w:ind w:firstLine="644" w:firstLineChars="200"/>
        <w:rPr>
          <w:rFonts w:hint="eastAsia"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二是社会公众满意度仅为87.80%，说明项目成果未充分满足社会公众的实际需求或期望。</w:t>
      </w:r>
    </w:p>
    <w:p>
      <w:pPr>
        <w:spacing w:line="590" w:lineRule="exact"/>
        <w:ind w:firstLine="624" w:firstLineChars="200"/>
        <w:outlineLvl w:val="9"/>
        <w:rPr>
          <w:rFonts w:hint="eastAsia" w:ascii="仿宋_GB2312" w:hAnsi="仿宋" w:eastAsia="仿宋_GB2312" w:cs="Times New Roman"/>
          <w:b w:val="0"/>
          <w:bCs w:val="0"/>
          <w:spacing w:val="6"/>
          <w:kern w:val="30"/>
          <w:sz w:val="30"/>
          <w:szCs w:val="30"/>
          <w:highlight w:val="none"/>
          <w:lang w:val="en-US" w:eastAsia="zh-CN" w:bidi="ar-SA"/>
        </w:rPr>
      </w:pPr>
      <w:r>
        <w:rPr>
          <w:rFonts w:hint="eastAsia" w:ascii="黑体" w:hAnsi="黑体" w:eastAsia="黑体" w:cs="黑体"/>
          <w:spacing w:val="6"/>
          <w:sz w:val="30"/>
          <w:szCs w:val="30"/>
          <w:highlight w:val="none"/>
          <w:lang w:val="en-US" w:eastAsia="zh-CN"/>
        </w:rPr>
        <w:t>四、建议</w:t>
      </w:r>
    </w:p>
    <w:p>
      <w:pPr>
        <w:keepNext w:val="0"/>
        <w:keepLines w:val="0"/>
        <w:pageBreakBefore w:val="0"/>
        <w:kinsoku w:val="0"/>
        <w:overflowPunct/>
        <w:topLinePunct w:val="0"/>
        <w:autoSpaceDE w:val="0"/>
        <w:autoSpaceDN w:val="0"/>
        <w:bidi w:val="0"/>
        <w:adjustRightInd w:val="0"/>
        <w:snapToGrid w:val="0"/>
        <w:spacing w:line="590" w:lineRule="exact"/>
        <w:ind w:firstLine="644" w:firstLineChars="200"/>
        <w:outlineLvl w:val="9"/>
        <w:rPr>
          <w:rFonts w:hint="eastAsia" w:ascii="楷体_GB2312" w:hAnsi="Calibri" w:eastAsia="楷体_GB2312" w:cs="Times New Roman"/>
          <w:b w:val="0"/>
          <w:bCs w:val="0"/>
          <w:spacing w:val="1"/>
          <w:kern w:val="2"/>
          <w:sz w:val="32"/>
          <w:szCs w:val="32"/>
          <w:highlight w:val="none"/>
          <w:lang w:val="en-US" w:eastAsia="zh-CN" w:bidi="ar-SA"/>
        </w:rPr>
      </w:pPr>
      <w:r>
        <w:rPr>
          <w:rFonts w:hint="eastAsia" w:ascii="楷体_GB2312" w:hAnsi="Calibri" w:eastAsia="楷体_GB2312" w:cs="Times New Roman"/>
          <w:b w:val="0"/>
          <w:bCs w:val="0"/>
          <w:spacing w:val="1"/>
          <w:kern w:val="2"/>
          <w:sz w:val="32"/>
          <w:szCs w:val="32"/>
          <w:highlight w:val="none"/>
          <w:lang w:val="en-US" w:eastAsia="zh-CN" w:bidi="ar-SA"/>
        </w:rPr>
        <w:t>（一）优化绩效指标设置</w:t>
      </w:r>
    </w:p>
    <w:p>
      <w:pPr>
        <w:spacing w:line="590" w:lineRule="exact"/>
        <w:ind w:firstLine="624" w:firstLineChars="200"/>
        <w:rPr>
          <w:rFonts w:hint="default" w:ascii="仿宋_GB2312" w:hAnsi="仿宋" w:eastAsia="仿宋_GB2312" w:cs="Times New Roman"/>
          <w:spacing w:val="6"/>
          <w:sz w:val="30"/>
          <w:szCs w:val="30"/>
          <w:highlight w:val="none"/>
          <w:lang w:val="en-US" w:eastAsia="zh-CN"/>
        </w:rPr>
      </w:pPr>
      <w:r>
        <w:rPr>
          <w:rFonts w:hint="default" w:ascii="仿宋_GB2312" w:hAnsi="仿宋" w:eastAsia="仿宋_GB2312" w:cs="Times New Roman"/>
          <w:spacing w:val="6"/>
          <w:sz w:val="30"/>
          <w:szCs w:val="30"/>
          <w:highlight w:val="none"/>
          <w:lang w:val="en-US" w:eastAsia="zh-CN"/>
        </w:rPr>
        <w:t>组建由财务、业务、工程管理等多专业人员构成的指标设计小组，结合项目全流程业务逻辑（立项</w:t>
      </w:r>
      <w:r>
        <w:rPr>
          <w:rFonts w:hint="eastAsia" w:ascii="仿宋_GB2312" w:hAnsi="仿宋" w:eastAsia="仿宋_GB2312" w:cs="Times New Roman"/>
          <w:spacing w:val="6"/>
          <w:sz w:val="30"/>
          <w:szCs w:val="30"/>
          <w:highlight w:val="none"/>
          <w:lang w:val="en-US" w:eastAsia="zh-CN"/>
        </w:rPr>
        <w:t>－</w:t>
      </w:r>
      <w:r>
        <w:rPr>
          <w:rFonts w:hint="default" w:ascii="仿宋_GB2312" w:hAnsi="仿宋" w:eastAsia="仿宋_GB2312" w:cs="Times New Roman"/>
          <w:spacing w:val="6"/>
          <w:sz w:val="30"/>
          <w:szCs w:val="30"/>
          <w:highlight w:val="none"/>
          <w:lang w:val="en-US" w:eastAsia="zh-CN"/>
        </w:rPr>
        <w:t>实施</w:t>
      </w:r>
      <w:r>
        <w:rPr>
          <w:rFonts w:hint="eastAsia" w:ascii="仿宋_GB2312" w:hAnsi="仿宋" w:eastAsia="仿宋_GB2312" w:cs="Times New Roman"/>
          <w:spacing w:val="6"/>
          <w:sz w:val="30"/>
          <w:szCs w:val="30"/>
          <w:highlight w:val="none"/>
          <w:lang w:val="en-US" w:eastAsia="zh-CN"/>
        </w:rPr>
        <w:t>－</w:t>
      </w:r>
      <w:r>
        <w:rPr>
          <w:rFonts w:hint="default" w:ascii="仿宋_GB2312" w:hAnsi="仿宋" w:eastAsia="仿宋_GB2312" w:cs="Times New Roman"/>
          <w:spacing w:val="6"/>
          <w:sz w:val="30"/>
          <w:szCs w:val="30"/>
          <w:highlight w:val="none"/>
          <w:lang w:val="en-US" w:eastAsia="zh-CN"/>
        </w:rPr>
        <w:t>产出</w:t>
      </w:r>
      <w:r>
        <w:rPr>
          <w:rFonts w:hint="eastAsia" w:ascii="仿宋_GB2312" w:hAnsi="仿宋" w:eastAsia="仿宋_GB2312" w:cs="Times New Roman"/>
          <w:spacing w:val="6"/>
          <w:sz w:val="30"/>
          <w:szCs w:val="30"/>
          <w:highlight w:val="none"/>
          <w:lang w:val="en-US" w:eastAsia="zh-CN"/>
        </w:rPr>
        <w:t>－</w:t>
      </w:r>
      <w:r>
        <w:rPr>
          <w:rFonts w:hint="default" w:ascii="仿宋_GB2312" w:hAnsi="仿宋" w:eastAsia="仿宋_GB2312" w:cs="Times New Roman"/>
          <w:spacing w:val="6"/>
          <w:sz w:val="30"/>
          <w:szCs w:val="30"/>
          <w:highlight w:val="none"/>
          <w:lang w:val="en-US" w:eastAsia="zh-CN"/>
        </w:rPr>
        <w:t>效益）开展联合研讨。新增与成本管控直接相关的指标（如成本控制率等），确保指标与目标高度匹配。</w:t>
      </w:r>
    </w:p>
    <w:p>
      <w:pPr>
        <w:keepNext w:val="0"/>
        <w:keepLines w:val="0"/>
        <w:pageBreakBefore w:val="0"/>
        <w:kinsoku w:val="0"/>
        <w:overflowPunct/>
        <w:topLinePunct w:val="0"/>
        <w:autoSpaceDE w:val="0"/>
        <w:autoSpaceDN w:val="0"/>
        <w:bidi w:val="0"/>
        <w:adjustRightInd w:val="0"/>
        <w:snapToGrid w:val="0"/>
        <w:spacing w:line="590" w:lineRule="exact"/>
        <w:ind w:firstLine="644" w:firstLineChars="200"/>
        <w:outlineLvl w:val="9"/>
        <w:rPr>
          <w:rFonts w:hint="default" w:ascii="仿宋_GB2312" w:hAnsi="仿宋" w:eastAsia="仿宋_GB2312" w:cs="Times New Roman"/>
          <w:b w:val="0"/>
          <w:bCs w:val="0"/>
          <w:spacing w:val="6"/>
          <w:kern w:val="30"/>
          <w:sz w:val="30"/>
          <w:szCs w:val="30"/>
          <w:highlight w:val="none"/>
          <w:lang w:val="en-US" w:eastAsia="zh-CN" w:bidi="ar-SA"/>
        </w:rPr>
      </w:pPr>
      <w:r>
        <w:rPr>
          <w:rFonts w:hint="eastAsia" w:ascii="楷体_GB2312" w:hAnsi="Calibri" w:eastAsia="楷体_GB2312" w:cs="Times New Roman"/>
          <w:b w:val="0"/>
          <w:bCs w:val="0"/>
          <w:spacing w:val="1"/>
          <w:kern w:val="2"/>
          <w:sz w:val="32"/>
          <w:szCs w:val="32"/>
          <w:highlight w:val="none"/>
          <w:lang w:val="en-US" w:eastAsia="zh-CN" w:bidi="ar-SA"/>
        </w:rPr>
        <w:t>（二）保障项目按时完工，提升社会公众满意度</w:t>
      </w:r>
    </w:p>
    <w:p>
      <w:pPr>
        <w:keepNext w:val="0"/>
        <w:keepLines w:val="0"/>
        <w:pageBreakBefore w:val="0"/>
        <w:overflowPunct/>
        <w:topLinePunct w:val="0"/>
        <w:bidi w:val="0"/>
        <w:spacing w:line="590" w:lineRule="exact"/>
        <w:ind w:firstLine="624" w:firstLineChars="200"/>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一是建立资金拨付与施工进度的联动机制，提前做好资金测算与储备，按施工节点及时足额拨付资金，避免因资金短缺导致停工；制定详细的施工进度计划，明确关键节点责任人和时间节点，定期开展进度督查，及时协调解决施工中的堵点问题。</w:t>
      </w:r>
    </w:p>
    <w:p>
      <w:pPr>
        <w:keepNext w:val="0"/>
        <w:keepLines w:val="0"/>
        <w:pageBreakBefore w:val="0"/>
        <w:overflowPunct/>
        <w:topLinePunct w:val="0"/>
        <w:bidi w:val="0"/>
        <w:spacing w:line="590" w:lineRule="exact"/>
        <w:ind w:firstLine="624" w:firstLineChars="200"/>
        <w:rPr>
          <w:rFonts w:hint="eastAsia" w:ascii="仿宋_GB2312" w:hAnsi="仿宋" w:eastAsia="仿宋_GB2312"/>
          <w:spacing w:val="6"/>
          <w:sz w:val="30"/>
          <w:szCs w:val="30"/>
          <w:highlight w:val="none"/>
        </w:rPr>
        <w:sectPr>
          <w:headerReference r:id="rId3" w:type="default"/>
          <w:footerReference r:id="rId4" w:type="default"/>
          <w:footerReference r:id="rId5" w:type="even"/>
          <w:pgSz w:w="11906" w:h="16838"/>
          <w:pgMar w:top="2098" w:right="1474" w:bottom="1985" w:left="1588" w:header="851" w:footer="1474" w:gutter="0"/>
          <w:pgBorders>
            <w:top w:val="none" w:sz="0" w:space="0"/>
            <w:left w:val="none" w:sz="0" w:space="0"/>
            <w:bottom w:val="none" w:sz="0" w:space="0"/>
            <w:right w:val="none" w:sz="0" w:space="0"/>
          </w:pgBorders>
          <w:pgNumType w:fmt="decimal" w:start="1"/>
          <w:cols w:space="425" w:num="1"/>
          <w:docGrid w:linePitch="579" w:charSpace="3247"/>
        </w:sectPr>
      </w:pPr>
      <w:r>
        <w:rPr>
          <w:rFonts w:hint="eastAsia" w:ascii="仿宋_GB2312" w:hAnsi="仿宋" w:eastAsia="仿宋_GB2312" w:cs="Times New Roman"/>
          <w:spacing w:val="6"/>
          <w:sz w:val="30"/>
          <w:szCs w:val="30"/>
          <w:highlight w:val="none"/>
          <w:lang w:val="en-US" w:eastAsia="zh-CN"/>
        </w:rPr>
        <w:t>二是施工前通过社区公告、线上问卷等方式收集公众诉求，在施工中采取降噪、降尘措施（如设置防尘网、使用低噪音设备），在危险区域设置警示标识并及时修复盖板、破损路面；建立公众沟通反馈渠道（如咨询热线、意见箱），及时回应公众关切，施工完成后开展满意度回访，持续优化项目服务。</w:t>
      </w:r>
      <w:bookmarkStart w:id="0" w:name="_GoBack"/>
      <w:bookmarkEnd w:id="0"/>
    </w:p>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C64D15"/>
    <w:rsid w:val="156C79F2"/>
    <w:rsid w:val="5CC64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Times New Roman" w:eastAsia="仿宋" w:cs="Times New Roman"/>
      <w:kern w:val="30"/>
      <w:sz w:val="30"/>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实施方案正文"/>
    <w:basedOn w:val="1"/>
    <w:unhideWhenUsed/>
    <w:qFormat/>
    <w:uiPriority w:val="0"/>
    <w:pPr>
      <w:widowControl w:val="0"/>
      <w:spacing w:beforeLines="0" w:afterLines="0"/>
      <w:ind w:firstLine="566" w:firstLineChars="202"/>
    </w:pPr>
    <w:rPr>
      <w:rFonts w:hint="default"/>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昆明市嵩明县党政机关单位</Company>
  <Pages>5</Pages>
  <Words>0</Words>
  <Characters>0</Characters>
  <Lines>0</Lines>
  <Paragraphs>0</Paragraphs>
  <TotalTime>10</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2026-07-02T08:03:00Z</dcterms:created>
  <dc:creator>Administrator</dc:creator>
  <cp:lastModifiedBy>Administrator</cp:lastModifiedBy>
  <dcterms:modified xsi:type="dcterms:W3CDTF">2026-07-07T07:50:54Z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F7A10A06960F4D0C925C97A69AC9E8FF</vt:lpwstr>
  </property>
</Properties>
</file>