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topLinePunct w:val="0"/>
        <w:autoSpaceDE/>
        <w:autoSpaceDN/>
        <w:bidi w:val="0"/>
        <w:spacing w:line="590" w:lineRule="exact"/>
        <w:jc w:val="center"/>
        <w:rPr>
          <w:rFonts w:hint="default" w:hAnsi="仿宋" w:eastAsia="仿宋"/>
          <w:sz w:val="36"/>
          <w:szCs w:val="36"/>
          <w:highlight w:val="none"/>
          <w:lang w:val="en-US" w:eastAsia="zh-CN"/>
        </w:rPr>
      </w:pPr>
      <w:r>
        <w:rPr>
          <w:rFonts w:hint="eastAsia"/>
          <w:lang w:val="en-US" w:eastAsia="zh-CN"/>
        </w:rPr>
        <w:t xml:space="preserve">  </w:t>
      </w:r>
      <w:r>
        <w:rPr>
          <w:rFonts w:hint="eastAsia" w:ascii="方正小标宋简体" w:eastAsia="方正小标宋简体" w:cs="Times New Roman"/>
          <w:spacing w:val="6"/>
          <w:kern w:val="36"/>
          <w:sz w:val="44"/>
          <w:szCs w:val="44"/>
          <w:highlight w:val="none"/>
          <w:lang w:val="en-US" w:eastAsia="zh-CN"/>
        </w:rPr>
        <w:t>嵩明县住房和城乡建设局2024年学海公园建设项目资金</w:t>
      </w:r>
      <w:r>
        <w:rPr>
          <w:rFonts w:hint="eastAsia" w:ascii="方正小标宋简体" w:hAnsi="Times New Roman" w:eastAsia="方正小标宋简体" w:cs="Times New Roman"/>
          <w:spacing w:val="6"/>
          <w:kern w:val="36"/>
          <w:sz w:val="44"/>
          <w:szCs w:val="44"/>
          <w:highlight w:val="none"/>
          <w:lang w:val="en-US" w:eastAsia="zh-CN"/>
        </w:rPr>
        <w:t>绩效评价报告</w:t>
      </w:r>
    </w:p>
    <w:p>
      <w:pPr>
        <w:keepNext w:val="0"/>
        <w:keepLines w:val="0"/>
        <w:pageBreakBefore w:val="0"/>
        <w:kinsoku/>
        <w:wordWrap/>
        <w:topLinePunct w:val="0"/>
        <w:autoSpaceDE/>
        <w:autoSpaceDN/>
        <w:bidi w:val="0"/>
        <w:spacing w:line="590" w:lineRule="exact"/>
        <w:ind w:firstLine="444" w:firstLineChars="200"/>
        <w:rPr>
          <w:rFonts w:ascii="仿宋_GB2312" w:hAnsi="仿宋" w:eastAsia="仿宋_GB2312"/>
          <w:spacing w:val="6"/>
          <w:szCs w:val="30"/>
          <w:highlight w:val="yellow"/>
        </w:rPr>
      </w:pPr>
    </w:p>
    <w:p>
      <w:pPr>
        <w:spacing w:line="590" w:lineRule="exact"/>
        <w:ind w:firstLine="624" w:firstLineChars="200"/>
        <w:outlineLvl w:val="9"/>
        <w:rPr>
          <w:rFonts w:hint="eastAsia" w:ascii="仿宋_GB2312" w:hAnsi="仿宋" w:eastAsia="仿宋_GB2312"/>
          <w:spacing w:val="6"/>
          <w:sz w:val="30"/>
          <w:szCs w:val="30"/>
          <w:highlight w:val="none"/>
          <w:lang w:val="en-US" w:eastAsia="zh-CN"/>
        </w:rPr>
      </w:pPr>
      <w:r>
        <w:rPr>
          <w:rFonts w:hint="eastAsia" w:ascii="仿宋_GB2312" w:hAnsi="仿宋" w:eastAsia="仿宋_GB2312"/>
          <w:spacing w:val="6"/>
          <w:sz w:val="30"/>
          <w:szCs w:val="30"/>
          <w:highlight w:val="none"/>
          <w:lang w:val="en-US" w:eastAsia="zh-CN"/>
        </w:rPr>
        <w:t>根据《项目支出绩效评价管理办法》（财预〔2020〕10号）、《中共云南省委 云南省政府关于全面实施预算绩效管理的实施意见》（云发〔2019〕11号）、《云南省财政厅关于印发〈云南省项目支出绩效评价管理办法〉的通知》（云财绩〔2020〕11号）、《中共昆明市委昆明市人民政府关于全面实施预算绩效管理的实施意见》（昆发〔2019〕12号）和《嵩明县财政局关于开展2025年财政重点绩效评价及召开相关工作会议的通知》的要求云南啟元管理咨询有限公司接受嵩明县财政局（以下简称“县财政局”）委托，于2025年10月至12月对嵩明县住房和城乡建设局（以下简称“县住建局”）2024年学海公园建设项目资金开展绩效评价。现将评价情况报告如下：</w:t>
      </w:r>
    </w:p>
    <w:p>
      <w:pPr>
        <w:keepNext w:val="0"/>
        <w:keepLines w:val="0"/>
        <w:pageBreakBefore w:val="0"/>
        <w:widowControl w:val="0"/>
        <w:kinsoku/>
        <w:wordWrap/>
        <w:overflowPunct/>
        <w:topLinePunct w:val="0"/>
        <w:autoSpaceDE/>
        <w:autoSpaceDN/>
        <w:bidi w:val="0"/>
        <w:adjustRightInd/>
        <w:snapToGrid/>
        <w:spacing w:line="590" w:lineRule="exact"/>
        <w:ind w:firstLine="624" w:firstLineChars="200"/>
        <w:textAlignment w:val="auto"/>
        <w:rPr>
          <w:rFonts w:hint="eastAsia" w:ascii="仿宋_GB2312" w:hAnsi="仿宋" w:eastAsia="仿宋_GB2312" w:cs="Times New Roman"/>
          <w:spacing w:val="6"/>
          <w:sz w:val="30"/>
          <w:szCs w:val="30"/>
          <w:highlight w:val="none"/>
          <w:lang w:val="en-US" w:eastAsia="zh-CN"/>
        </w:rPr>
      </w:pPr>
      <w:r>
        <w:rPr>
          <w:rFonts w:hint="eastAsia" w:eastAsia="黑体"/>
          <w:spacing w:val="6"/>
          <w:sz w:val="30"/>
          <w:highlight w:val="none"/>
          <w:lang w:val="en-US" w:eastAsia="zh-CN"/>
        </w:rPr>
        <w:t>一、</w:t>
      </w:r>
      <w:r>
        <w:rPr>
          <w:rFonts w:hint="eastAsia" w:eastAsia="黑体"/>
          <w:spacing w:val="6"/>
          <w:sz w:val="30"/>
          <w:highlight w:val="none"/>
        </w:rPr>
        <w:t>基本情况</w:t>
      </w:r>
    </w:p>
    <w:p>
      <w:pPr>
        <w:spacing w:line="590" w:lineRule="exact"/>
        <w:ind w:firstLine="624" w:firstLineChars="200"/>
        <w:outlineLvl w:val="9"/>
        <w:rPr>
          <w:rFonts w:hint="eastAsia" w:ascii="仿宋_GB2312" w:hAnsi="仿宋" w:eastAsia="仿宋_GB2312"/>
          <w:spacing w:val="6"/>
          <w:sz w:val="30"/>
          <w:szCs w:val="30"/>
          <w:highlight w:val="none"/>
          <w:lang w:val="en-US" w:eastAsia="zh-CN"/>
        </w:rPr>
      </w:pPr>
      <w:r>
        <w:rPr>
          <w:rFonts w:hint="eastAsia" w:ascii="仿宋_GB2312" w:hAnsi="仿宋" w:eastAsia="仿宋_GB2312"/>
          <w:spacing w:val="6"/>
          <w:sz w:val="30"/>
          <w:szCs w:val="30"/>
          <w:highlight w:val="none"/>
          <w:lang w:val="en-US" w:eastAsia="zh-CN"/>
        </w:rPr>
        <w:t>为深入贯彻落实党的二十大精神，认真落实市委、市政府关于开展当好排头兵三年行动的决策部署和对嵩明县建设“产城融合示范区、现代制造业基地”的发展要求，奋力开创嵩明社会主义现代化建设新局面，奋力推进嵩明社会主义现代化建设。通过嵩明县学海公园建设项目，为嵩明县构建布局清晰、结构合理、特色鲜明、寓意美好的城市文化公园。</w:t>
      </w:r>
    </w:p>
    <w:p>
      <w:pPr>
        <w:spacing w:line="590" w:lineRule="exact"/>
        <w:ind w:firstLine="624" w:firstLineChars="200"/>
        <w:rPr>
          <w:rFonts w:hint="default" w:ascii="仿宋_GB2312" w:hAnsi="仿宋" w:eastAsia="仿宋_GB2312" w:cs="Times New Roman"/>
          <w:spacing w:val="6"/>
          <w:sz w:val="30"/>
          <w:szCs w:val="30"/>
          <w:highlight w:val="none"/>
          <w:lang w:val="en-US" w:eastAsia="zh-CN"/>
        </w:rPr>
      </w:pPr>
      <w:r>
        <w:rPr>
          <w:rFonts w:hint="eastAsia" w:ascii="仿宋_GB2312" w:hAnsi="仿宋" w:eastAsia="仿宋_GB2312"/>
          <w:spacing w:val="6"/>
          <w:sz w:val="30"/>
          <w:szCs w:val="30"/>
          <w:highlight w:val="none"/>
          <w:lang w:val="en-US" w:eastAsia="zh-CN"/>
        </w:rPr>
        <w:t>嵩明县学海公园建设项目是嵩明县住房和城乡建设局牵头的改扩建项目，根据《嵩明县发展和改革局关于嵩明县学海公园建设项目可行性研究报告的批复》（嵩发改复〔2023〕24号）文件，项目估算总投资2,730.19万元，资金来源于县级财政筹措及向上争取资金，总用地29,075.54㎡（含广场区域4,132.69㎡、公园绿地24,942.85㎡），建设周期为2023年5月—2024年12月，主要建设内容包括跑步道、游路及活动广场、绿化、水榭、走廊等内容。2024年下达资金400万元，实际支出225.43万元。</w:t>
      </w:r>
    </w:p>
    <w:p>
      <w:pPr>
        <w:keepNext w:val="0"/>
        <w:keepLines w:val="0"/>
        <w:pageBreakBefore w:val="0"/>
        <w:widowControl w:val="0"/>
        <w:kinsoku/>
        <w:wordWrap/>
        <w:overflowPunct/>
        <w:topLinePunct w:val="0"/>
        <w:autoSpaceDE/>
        <w:autoSpaceDN/>
        <w:bidi w:val="0"/>
        <w:adjustRightInd/>
        <w:snapToGrid/>
        <w:spacing w:line="590" w:lineRule="exact"/>
        <w:ind w:firstLine="624" w:firstLineChars="200"/>
        <w:textAlignment w:val="auto"/>
        <w:rPr>
          <w:rFonts w:hint="eastAsia" w:eastAsia="黑体"/>
          <w:spacing w:val="6"/>
          <w:sz w:val="30"/>
          <w:highlight w:val="none"/>
          <w:lang w:val="en-US" w:eastAsia="zh-CN"/>
        </w:rPr>
      </w:pPr>
      <w:r>
        <w:rPr>
          <w:rFonts w:hint="eastAsia" w:eastAsia="黑体"/>
          <w:spacing w:val="6"/>
          <w:sz w:val="30"/>
          <w:highlight w:val="none"/>
          <w:lang w:val="en-US" w:eastAsia="zh-CN"/>
        </w:rPr>
        <w:t>二、绩效评价结论</w:t>
      </w:r>
    </w:p>
    <w:p>
      <w:pPr>
        <w:spacing w:line="590" w:lineRule="exact"/>
        <w:ind w:firstLine="624" w:firstLineChars="200"/>
        <w:rPr>
          <w:rFonts w:hint="eastAsia" w:ascii="仿宋_GB2312" w:hAnsi="仿宋" w:eastAsia="仿宋_GB2312"/>
          <w:spacing w:val="6"/>
          <w:szCs w:val="30"/>
          <w:highlight w:val="none"/>
          <w:lang w:val="en-US" w:eastAsia="zh-CN"/>
        </w:rPr>
      </w:pPr>
      <w:r>
        <w:rPr>
          <w:rFonts w:hint="eastAsia" w:ascii="仿宋_GB2312" w:hAnsi="仿宋" w:eastAsia="仿宋_GB2312" w:cs="Times New Roman"/>
          <w:spacing w:val="6"/>
          <w:sz w:val="30"/>
          <w:szCs w:val="30"/>
          <w:highlight w:val="none"/>
          <w:lang w:val="en-US" w:eastAsia="zh-CN"/>
        </w:rPr>
        <w:t>经评价，嵩明县住房和城乡建设局2024年学海公园建设项目资金绩效评价得分83.5分，评价等级为“良”。整体表现良好，核心建设任务顺利达成，建成各类核心及配套设施并按期完工，有效改善了周边群众生活环境，服务辐射范围广，工作人员与社会公众满意度均处于较高水平，社会效益显著。但项目仍存在明显不足，决策环节绩效目标设定笼统、绩效指标不完整且缺乏具体执行标准，不利于后续考核推进；过程环节资金使用效率偏低，未建立有效的预算执行跟踪与预警机制；产出环节项目虽按期完工，但验收流程尚未闭环，设施质量缺乏权威确认依据。整体而言，项目在功能实现和社会效益上成效良好，但在目标设计、预算管控及验收管理等方面仍需进一步规范优化。</w:t>
      </w:r>
    </w:p>
    <w:p>
      <w:pPr>
        <w:keepNext w:val="0"/>
        <w:keepLines w:val="0"/>
        <w:pageBreakBefore w:val="0"/>
        <w:widowControl w:val="0"/>
        <w:kinsoku/>
        <w:wordWrap/>
        <w:overflowPunct/>
        <w:topLinePunct w:val="0"/>
        <w:autoSpaceDE/>
        <w:autoSpaceDN/>
        <w:bidi w:val="0"/>
        <w:adjustRightInd/>
        <w:snapToGrid/>
        <w:spacing w:line="590" w:lineRule="exact"/>
        <w:ind w:firstLine="624" w:firstLineChars="200"/>
        <w:textAlignment w:val="auto"/>
        <w:rPr>
          <w:rFonts w:hint="eastAsia" w:eastAsia="黑体"/>
          <w:spacing w:val="6"/>
          <w:sz w:val="30"/>
          <w:highlight w:val="none"/>
          <w:lang w:val="en-US" w:eastAsia="zh-CN"/>
        </w:rPr>
      </w:pPr>
      <w:r>
        <w:rPr>
          <w:rFonts w:hint="eastAsia" w:eastAsia="黑体"/>
          <w:spacing w:val="6"/>
          <w:sz w:val="30"/>
          <w:highlight w:val="none"/>
          <w:lang w:val="en-US" w:eastAsia="zh-CN"/>
        </w:rPr>
        <w:t>三、存在的主要问题</w:t>
      </w:r>
    </w:p>
    <w:p>
      <w:pPr>
        <w:spacing w:line="590" w:lineRule="exact"/>
        <w:ind w:firstLine="624" w:firstLineChars="200"/>
        <w:outlineLvl w:val="9"/>
        <w:rPr>
          <w:rFonts w:hint="eastAsia" w:ascii="楷体_GB2312" w:hAnsi="楷体_GB2312" w:eastAsia="楷体_GB2312" w:cs="楷体_GB2312"/>
          <w:spacing w:val="6"/>
          <w:sz w:val="30"/>
          <w:szCs w:val="30"/>
          <w:highlight w:val="none"/>
          <w:lang w:val="en-US" w:eastAsia="zh-CN"/>
        </w:rPr>
      </w:pPr>
      <w:r>
        <w:rPr>
          <w:rFonts w:hint="eastAsia" w:ascii="楷体_GB2312" w:hAnsi="楷体_GB2312" w:eastAsia="楷体_GB2312" w:cs="楷体_GB2312"/>
          <w:spacing w:val="6"/>
          <w:sz w:val="30"/>
          <w:szCs w:val="30"/>
          <w:highlight w:val="none"/>
          <w:lang w:val="en-US" w:eastAsia="zh-CN"/>
        </w:rPr>
        <w:t>（一）绩效目标与绩效指标设置不规范</w:t>
      </w:r>
    </w:p>
    <w:p>
      <w:pPr>
        <w:keepNext w:val="0"/>
        <w:keepLines w:val="0"/>
        <w:pageBreakBefore w:val="0"/>
        <w:overflowPunct/>
        <w:topLinePunct w:val="0"/>
        <w:bidi w:val="0"/>
        <w:spacing w:line="590" w:lineRule="exact"/>
        <w:ind w:firstLine="644" w:firstLineChars="200"/>
        <w:rPr>
          <w:rFonts w:hint="eastAsia" w:ascii="仿宋_GB2312" w:hAnsi="Calibri" w:eastAsia="仿宋_GB2312"/>
          <w:spacing w:val="1"/>
          <w:sz w:val="32"/>
          <w:szCs w:val="32"/>
          <w:highlight w:val="none"/>
          <w:lang w:val="en-US" w:eastAsia="zh-CN"/>
        </w:rPr>
      </w:pPr>
      <w:r>
        <w:rPr>
          <w:rFonts w:hint="eastAsia" w:ascii="仿宋_GB2312" w:hAnsi="Calibri" w:eastAsia="仿宋_GB2312"/>
          <w:spacing w:val="1"/>
          <w:sz w:val="32"/>
          <w:szCs w:val="32"/>
          <w:highlight w:val="none"/>
          <w:lang w:val="en-US" w:eastAsia="zh-CN"/>
        </w:rPr>
        <w:t>一是绩效目标仅单一表述为“学海公园建设项目完工”，未明确核心设施质量标准、社会效益量化目标（如环境改善具体指标）等关键内容。</w:t>
      </w:r>
    </w:p>
    <w:p>
      <w:pPr>
        <w:keepNext w:val="0"/>
        <w:keepLines w:val="0"/>
        <w:pageBreakBefore w:val="0"/>
        <w:overflowPunct/>
        <w:topLinePunct w:val="0"/>
        <w:bidi w:val="0"/>
        <w:spacing w:line="590" w:lineRule="exact"/>
        <w:ind w:firstLine="644" w:firstLineChars="200"/>
        <w:rPr>
          <w:rFonts w:hint="default" w:ascii="仿宋_GB2312" w:hAnsi="Calibri" w:eastAsia="仿宋_GB2312"/>
          <w:spacing w:val="1"/>
          <w:sz w:val="32"/>
          <w:szCs w:val="32"/>
          <w:highlight w:val="none"/>
          <w:lang w:val="en-US" w:eastAsia="zh-CN"/>
        </w:rPr>
      </w:pPr>
      <w:r>
        <w:rPr>
          <w:rFonts w:hint="eastAsia" w:ascii="仿宋_GB2312" w:hAnsi="Calibri" w:eastAsia="仿宋_GB2312"/>
          <w:spacing w:val="1"/>
          <w:sz w:val="32"/>
          <w:szCs w:val="32"/>
          <w:highlight w:val="none"/>
          <w:lang w:val="en-US" w:eastAsia="zh-CN"/>
        </w:rPr>
        <w:t>二是绩效指标存在双重缺陷：一是覆盖不全面，缺少产出质量、时效、成本等核心指标；二是现有指标过于抽象，缺乏具体定义与执行标准，无法有效指导绩效跟踪与评估。</w:t>
      </w:r>
    </w:p>
    <w:p>
      <w:pPr>
        <w:keepNext w:val="0"/>
        <w:keepLines w:val="0"/>
        <w:pageBreakBefore w:val="0"/>
        <w:overflowPunct/>
        <w:topLinePunct w:val="0"/>
        <w:bidi w:val="0"/>
        <w:spacing w:line="590" w:lineRule="exact"/>
        <w:ind w:firstLine="624" w:firstLineChars="200"/>
        <w:rPr>
          <w:rFonts w:hint="eastAsia" w:ascii="仿宋_GB2312" w:hAnsi="Calibri" w:eastAsia="仿宋_GB2312"/>
          <w:spacing w:val="1"/>
          <w:sz w:val="32"/>
          <w:szCs w:val="32"/>
          <w:highlight w:val="none"/>
          <w:lang w:val="en-US" w:eastAsia="zh-CN"/>
        </w:rPr>
      </w:pPr>
      <w:r>
        <w:rPr>
          <w:rFonts w:hint="eastAsia" w:ascii="楷体_GB2312" w:hAnsi="楷体_GB2312" w:eastAsia="楷体_GB2312" w:cs="楷体_GB2312"/>
          <w:spacing w:val="6"/>
          <w:sz w:val="30"/>
          <w:szCs w:val="30"/>
          <w:highlight w:val="none"/>
          <w:lang w:val="en-US" w:eastAsia="zh-CN"/>
        </w:rPr>
        <w:t>（二）预算执行率偏低</w:t>
      </w:r>
    </w:p>
    <w:p>
      <w:pPr>
        <w:keepNext w:val="0"/>
        <w:keepLines w:val="0"/>
        <w:pageBreakBefore w:val="0"/>
        <w:overflowPunct/>
        <w:topLinePunct w:val="0"/>
        <w:bidi w:val="0"/>
        <w:spacing w:line="590" w:lineRule="exact"/>
        <w:ind w:firstLine="644" w:firstLineChars="200"/>
        <w:rPr>
          <w:rFonts w:hint="eastAsia" w:ascii="仿宋_GB2312" w:hAnsi="Calibri" w:eastAsia="仿宋_GB2312"/>
          <w:spacing w:val="1"/>
          <w:sz w:val="32"/>
          <w:szCs w:val="32"/>
          <w:highlight w:val="none"/>
          <w:lang w:val="en-US" w:eastAsia="zh-CN"/>
        </w:rPr>
      </w:pPr>
      <w:r>
        <w:rPr>
          <w:rFonts w:hint="eastAsia" w:ascii="仿宋_GB2312" w:hAnsi="Calibri" w:eastAsia="仿宋_GB2312"/>
          <w:spacing w:val="1"/>
          <w:sz w:val="32"/>
          <w:szCs w:val="32"/>
          <w:highlight w:val="none"/>
          <w:lang w:val="en-US" w:eastAsia="zh-CN"/>
        </w:rPr>
        <w:t>资金实际下达400万元，实际支出225.43万元，预算执行率仅56.36%，存在资金闲置情况。</w:t>
      </w:r>
    </w:p>
    <w:p>
      <w:pPr>
        <w:keepNext w:val="0"/>
        <w:keepLines w:val="0"/>
        <w:pageBreakBefore w:val="0"/>
        <w:overflowPunct/>
        <w:topLinePunct w:val="0"/>
        <w:bidi w:val="0"/>
        <w:spacing w:line="590" w:lineRule="exact"/>
        <w:ind w:firstLine="624" w:firstLineChars="200"/>
        <w:rPr>
          <w:rFonts w:hint="eastAsia" w:ascii="仿宋_GB2312" w:hAnsi="Calibri" w:eastAsia="仿宋_GB2312"/>
          <w:spacing w:val="1"/>
          <w:sz w:val="32"/>
          <w:szCs w:val="32"/>
          <w:highlight w:val="none"/>
          <w:lang w:val="en-US" w:eastAsia="zh-CN"/>
        </w:rPr>
      </w:pPr>
      <w:r>
        <w:rPr>
          <w:rFonts w:hint="eastAsia" w:ascii="楷体_GB2312" w:hAnsi="楷体_GB2312" w:eastAsia="楷体_GB2312" w:cs="楷体_GB2312"/>
          <w:spacing w:val="6"/>
          <w:sz w:val="30"/>
          <w:szCs w:val="30"/>
          <w:highlight w:val="none"/>
          <w:lang w:val="en-US" w:eastAsia="zh-CN"/>
        </w:rPr>
        <w:t>（三）验收流程未闭环，质量无法固化</w:t>
      </w:r>
    </w:p>
    <w:p>
      <w:pPr>
        <w:keepNext w:val="0"/>
        <w:keepLines w:val="0"/>
        <w:pageBreakBefore w:val="0"/>
        <w:overflowPunct/>
        <w:topLinePunct w:val="0"/>
        <w:bidi w:val="0"/>
        <w:spacing w:line="590" w:lineRule="exact"/>
        <w:ind w:firstLine="644" w:firstLineChars="200"/>
        <w:rPr>
          <w:rFonts w:hint="eastAsia" w:ascii="仿宋_GB2312" w:hAnsi="Calibri" w:eastAsia="仿宋_GB2312"/>
          <w:spacing w:val="1"/>
          <w:sz w:val="32"/>
          <w:szCs w:val="32"/>
          <w:highlight w:val="none"/>
          <w:lang w:val="en-US" w:eastAsia="zh-CN"/>
        </w:rPr>
      </w:pPr>
      <w:r>
        <w:rPr>
          <w:rFonts w:hint="eastAsia" w:ascii="仿宋_GB2312" w:hAnsi="Calibri" w:eastAsia="仿宋_GB2312"/>
          <w:spacing w:val="1"/>
          <w:sz w:val="32"/>
          <w:szCs w:val="32"/>
          <w:highlight w:val="none"/>
          <w:lang w:val="en-US" w:eastAsia="zh-CN"/>
        </w:rPr>
        <w:t>项目虽2024年12月按期完工（完工率100%），但未完成验收，缺少第三方或相关部门出具的正式验收报告。核心设施（如跑步道、三孔桥改造）和配套设施（如座椅、垃圾箱）的质量是否达标、是否符合设计规范，无权威确认文件支撑。</w:t>
      </w:r>
    </w:p>
    <w:p>
      <w:pPr>
        <w:spacing w:line="590" w:lineRule="exact"/>
        <w:ind w:firstLine="624" w:firstLineChars="200"/>
        <w:outlineLvl w:val="9"/>
        <w:rPr>
          <w:rFonts w:hint="eastAsia" w:ascii="仿宋_GB2312" w:hAnsi="仿宋" w:eastAsia="仿宋_GB2312" w:cs="Times New Roman"/>
          <w:b w:val="0"/>
          <w:bCs w:val="0"/>
          <w:spacing w:val="6"/>
          <w:kern w:val="30"/>
          <w:sz w:val="30"/>
          <w:szCs w:val="30"/>
          <w:highlight w:val="none"/>
          <w:lang w:val="en-US" w:eastAsia="zh-CN" w:bidi="ar-SA"/>
        </w:rPr>
      </w:pPr>
      <w:r>
        <w:rPr>
          <w:rFonts w:hint="eastAsia" w:ascii="黑体" w:hAnsi="黑体" w:eastAsia="黑体" w:cs="黑体"/>
          <w:spacing w:val="6"/>
          <w:sz w:val="30"/>
          <w:szCs w:val="30"/>
          <w:highlight w:val="none"/>
          <w:lang w:val="en-US" w:eastAsia="zh-CN"/>
        </w:rPr>
        <w:t>四、建议</w:t>
      </w:r>
    </w:p>
    <w:p>
      <w:pPr>
        <w:keepNext w:val="0"/>
        <w:keepLines w:val="0"/>
        <w:pageBreakBefore w:val="0"/>
        <w:kinsoku w:val="0"/>
        <w:overflowPunct/>
        <w:topLinePunct w:val="0"/>
        <w:autoSpaceDE w:val="0"/>
        <w:autoSpaceDN w:val="0"/>
        <w:bidi w:val="0"/>
        <w:adjustRightInd w:val="0"/>
        <w:snapToGrid w:val="0"/>
        <w:spacing w:line="590" w:lineRule="exact"/>
        <w:ind w:firstLine="644" w:firstLineChars="200"/>
        <w:outlineLvl w:val="9"/>
        <w:rPr>
          <w:rFonts w:hint="eastAsia" w:ascii="楷体_GB2312" w:hAnsi="Calibri" w:eastAsia="楷体_GB2312" w:cs="Times New Roman"/>
          <w:b w:val="0"/>
          <w:bCs w:val="0"/>
          <w:spacing w:val="1"/>
          <w:kern w:val="2"/>
          <w:sz w:val="32"/>
          <w:szCs w:val="32"/>
          <w:highlight w:val="none"/>
          <w:lang w:val="en-US" w:eastAsia="zh-CN" w:bidi="ar-SA"/>
        </w:rPr>
      </w:pPr>
      <w:r>
        <w:rPr>
          <w:rFonts w:hint="eastAsia" w:ascii="楷体_GB2312" w:hAnsi="Calibri" w:eastAsia="楷体_GB2312" w:cs="Times New Roman"/>
          <w:b w:val="0"/>
          <w:bCs w:val="0"/>
          <w:spacing w:val="1"/>
          <w:kern w:val="2"/>
          <w:sz w:val="32"/>
          <w:szCs w:val="32"/>
          <w:highlight w:val="none"/>
          <w:lang w:val="en-US" w:eastAsia="zh-CN" w:bidi="ar-SA"/>
        </w:rPr>
        <w:t>（一）规范绩效目标与绩效指标设置</w:t>
      </w:r>
    </w:p>
    <w:p>
      <w:pPr>
        <w:spacing w:line="590" w:lineRule="exact"/>
        <w:ind w:firstLine="624" w:firstLineChars="200"/>
        <w:rPr>
          <w:rFonts w:hint="default" w:ascii="仿宋_GB2312" w:hAnsi="仿宋" w:eastAsia="仿宋_GB2312" w:cs="Times New Roman"/>
          <w:spacing w:val="6"/>
          <w:sz w:val="30"/>
          <w:szCs w:val="30"/>
          <w:highlight w:val="none"/>
          <w:lang w:val="en-US" w:eastAsia="zh-CN"/>
        </w:rPr>
      </w:pPr>
      <w:r>
        <w:rPr>
          <w:rFonts w:hint="default" w:ascii="仿宋_GB2312" w:hAnsi="仿宋" w:eastAsia="仿宋_GB2312" w:cs="Times New Roman"/>
          <w:spacing w:val="6"/>
          <w:sz w:val="30"/>
          <w:szCs w:val="30"/>
          <w:highlight w:val="none"/>
          <w:lang w:val="en-US" w:eastAsia="zh-CN"/>
        </w:rPr>
        <w:t>重构绩效目标：根据项目实际内容，补充核心产出等内容，形成“完工+质量+效益”三维目标体系。</w:t>
      </w:r>
    </w:p>
    <w:p>
      <w:pPr>
        <w:spacing w:line="590" w:lineRule="exact"/>
        <w:ind w:firstLine="624" w:firstLineChars="200"/>
        <w:rPr>
          <w:rFonts w:hint="default" w:ascii="仿宋_GB2312" w:hAnsi="仿宋" w:eastAsia="仿宋_GB2312" w:cs="Times New Roman"/>
          <w:spacing w:val="6"/>
          <w:sz w:val="30"/>
          <w:szCs w:val="30"/>
          <w:highlight w:val="none"/>
          <w:lang w:val="en-US" w:eastAsia="zh-CN"/>
        </w:rPr>
      </w:pPr>
      <w:r>
        <w:rPr>
          <w:rFonts w:hint="default" w:ascii="仿宋_GB2312" w:hAnsi="仿宋" w:eastAsia="仿宋_GB2312" w:cs="Times New Roman"/>
          <w:spacing w:val="6"/>
          <w:sz w:val="30"/>
          <w:szCs w:val="30"/>
          <w:highlight w:val="none"/>
          <w:lang w:val="en-US" w:eastAsia="zh-CN"/>
        </w:rPr>
        <w:t>完善绩效指标：按“产出+效益”分类，补充质量、时效、成本指标（如验收合格率、完工及时率等）；明确指标定义与执行标准。</w:t>
      </w:r>
    </w:p>
    <w:p>
      <w:pPr>
        <w:keepNext w:val="0"/>
        <w:keepLines w:val="0"/>
        <w:pageBreakBefore w:val="0"/>
        <w:kinsoku w:val="0"/>
        <w:overflowPunct/>
        <w:topLinePunct w:val="0"/>
        <w:autoSpaceDE w:val="0"/>
        <w:autoSpaceDN w:val="0"/>
        <w:bidi w:val="0"/>
        <w:adjustRightInd w:val="0"/>
        <w:snapToGrid w:val="0"/>
        <w:spacing w:line="590" w:lineRule="exact"/>
        <w:ind w:firstLine="644" w:firstLineChars="200"/>
        <w:outlineLvl w:val="9"/>
        <w:rPr>
          <w:rFonts w:hint="default" w:ascii="仿宋_GB2312" w:hAnsi="仿宋" w:eastAsia="仿宋_GB2312" w:cs="Times New Roman"/>
          <w:b w:val="0"/>
          <w:bCs w:val="0"/>
          <w:spacing w:val="6"/>
          <w:kern w:val="30"/>
          <w:sz w:val="30"/>
          <w:szCs w:val="30"/>
          <w:highlight w:val="none"/>
          <w:lang w:val="en-US" w:eastAsia="zh-CN" w:bidi="ar-SA"/>
        </w:rPr>
      </w:pPr>
      <w:r>
        <w:rPr>
          <w:rFonts w:hint="eastAsia" w:ascii="楷体_GB2312" w:hAnsi="Calibri" w:eastAsia="楷体_GB2312" w:cs="Times New Roman"/>
          <w:b w:val="0"/>
          <w:bCs w:val="0"/>
          <w:spacing w:val="1"/>
          <w:kern w:val="2"/>
          <w:sz w:val="32"/>
          <w:szCs w:val="32"/>
          <w:highlight w:val="none"/>
          <w:lang w:val="en-US" w:eastAsia="zh-CN" w:bidi="ar-SA"/>
        </w:rPr>
        <w:t>（二）提升预算执行率</w:t>
      </w:r>
    </w:p>
    <w:p>
      <w:pPr>
        <w:keepNext w:val="0"/>
        <w:keepLines w:val="0"/>
        <w:pageBreakBefore w:val="0"/>
        <w:overflowPunct/>
        <w:topLinePunct w:val="0"/>
        <w:bidi w:val="0"/>
        <w:spacing w:line="590" w:lineRule="exact"/>
        <w:ind w:firstLine="624" w:firstLineChars="200"/>
        <w:rPr>
          <w:rFonts w:hint="eastAsia" w:ascii="仿宋_GB2312" w:hAnsi="仿宋" w:eastAsia="仿宋_GB2312" w:cs="Times New Roman"/>
          <w:spacing w:val="6"/>
          <w:sz w:val="30"/>
          <w:szCs w:val="30"/>
          <w:highlight w:val="none"/>
          <w:lang w:val="en-US" w:eastAsia="zh-CN"/>
        </w:rPr>
      </w:pPr>
      <w:r>
        <w:rPr>
          <w:rFonts w:hint="eastAsia" w:ascii="仿宋_GB2312" w:hAnsi="仿宋" w:eastAsia="仿宋_GB2312" w:cs="Times New Roman"/>
          <w:spacing w:val="6"/>
          <w:sz w:val="30"/>
          <w:szCs w:val="30"/>
          <w:highlight w:val="none"/>
          <w:lang w:val="en-US" w:eastAsia="zh-CN"/>
        </w:rPr>
        <w:t>建立执行跟踪与预警机制：设定支出预警阈值（如月度支出低于计划30%触发预警），定期（每月）核对资金支出与工作进度，对滞后环节（如采购延迟）及时排查整改。</w:t>
      </w:r>
    </w:p>
    <w:p>
      <w:pPr>
        <w:keepNext w:val="0"/>
        <w:keepLines w:val="0"/>
        <w:pageBreakBefore w:val="0"/>
        <w:overflowPunct/>
        <w:topLinePunct w:val="0"/>
        <w:bidi w:val="0"/>
        <w:spacing w:line="590" w:lineRule="exact"/>
        <w:ind w:firstLine="624" w:firstLineChars="200"/>
        <w:rPr>
          <w:rFonts w:hint="eastAsia" w:ascii="仿宋_GB2312" w:hAnsi="仿宋" w:eastAsia="仿宋_GB2312" w:cs="Times New Roman"/>
          <w:spacing w:val="6"/>
          <w:sz w:val="30"/>
          <w:szCs w:val="30"/>
          <w:highlight w:val="none"/>
          <w:lang w:val="en-US" w:eastAsia="zh-CN"/>
        </w:rPr>
      </w:pPr>
      <w:r>
        <w:rPr>
          <w:rFonts w:hint="eastAsia" w:ascii="仿宋_GB2312" w:hAnsi="仿宋" w:eastAsia="仿宋_GB2312" w:cs="Times New Roman"/>
          <w:spacing w:val="6"/>
          <w:sz w:val="30"/>
          <w:szCs w:val="30"/>
          <w:highlight w:val="none"/>
          <w:lang w:val="en-US" w:eastAsia="zh-CN"/>
        </w:rPr>
        <w:t>打通资金拨付闭环：将资金拨付与工作进度直接挂钩，明确“进度达标—审核确认—资金拨付—支出跟踪”流程，避免资金闲置与进度脱节</w:t>
      </w:r>
    </w:p>
    <w:p>
      <w:pPr>
        <w:keepNext w:val="0"/>
        <w:keepLines w:val="0"/>
        <w:pageBreakBefore w:val="0"/>
        <w:kinsoku w:val="0"/>
        <w:overflowPunct/>
        <w:topLinePunct w:val="0"/>
        <w:autoSpaceDE w:val="0"/>
        <w:autoSpaceDN w:val="0"/>
        <w:bidi w:val="0"/>
        <w:adjustRightInd w:val="0"/>
        <w:snapToGrid w:val="0"/>
        <w:spacing w:line="590" w:lineRule="exact"/>
        <w:ind w:firstLine="644" w:firstLineChars="200"/>
        <w:outlineLvl w:val="9"/>
        <w:rPr>
          <w:rFonts w:hint="default" w:ascii="仿宋_GB2312" w:hAnsi="仿宋" w:eastAsia="仿宋_GB2312" w:cs="Times New Roman"/>
          <w:b w:val="0"/>
          <w:bCs w:val="0"/>
          <w:spacing w:val="6"/>
          <w:kern w:val="30"/>
          <w:sz w:val="30"/>
          <w:szCs w:val="30"/>
          <w:highlight w:val="none"/>
          <w:lang w:val="en-US" w:eastAsia="zh-CN" w:bidi="ar-SA"/>
        </w:rPr>
      </w:pPr>
      <w:r>
        <w:rPr>
          <w:rFonts w:hint="eastAsia" w:ascii="楷体_GB2312" w:hAnsi="Calibri" w:eastAsia="楷体_GB2312" w:cs="Times New Roman"/>
          <w:b w:val="0"/>
          <w:bCs w:val="0"/>
          <w:spacing w:val="1"/>
          <w:kern w:val="2"/>
          <w:sz w:val="32"/>
          <w:szCs w:val="32"/>
          <w:highlight w:val="none"/>
          <w:lang w:val="en-US" w:eastAsia="zh-CN" w:bidi="ar-SA"/>
        </w:rPr>
        <w:t>（三）完善验收流程，固化项目质量</w:t>
      </w:r>
    </w:p>
    <w:p>
      <w:pPr>
        <w:keepNext w:val="0"/>
        <w:keepLines w:val="0"/>
        <w:pageBreakBefore w:val="0"/>
        <w:overflowPunct/>
        <w:topLinePunct w:val="0"/>
        <w:bidi w:val="0"/>
        <w:spacing w:line="590" w:lineRule="exact"/>
        <w:ind w:firstLine="624" w:firstLineChars="200"/>
        <w:rPr>
          <w:rFonts w:hint="eastAsia" w:ascii="仿宋_GB2312" w:hAnsi="仿宋" w:eastAsia="仿宋_GB2312" w:cs="Times New Roman"/>
          <w:spacing w:val="6"/>
          <w:sz w:val="30"/>
          <w:szCs w:val="30"/>
          <w:highlight w:val="none"/>
          <w:lang w:val="en-US" w:eastAsia="zh-CN"/>
        </w:rPr>
      </w:pPr>
      <w:r>
        <w:rPr>
          <w:rFonts w:hint="eastAsia" w:ascii="仿宋_GB2312" w:hAnsi="仿宋" w:eastAsia="仿宋_GB2312" w:cs="Times New Roman"/>
          <w:spacing w:val="6"/>
          <w:sz w:val="30"/>
          <w:szCs w:val="30"/>
          <w:highlight w:val="none"/>
          <w:lang w:val="en-US" w:eastAsia="zh-CN"/>
        </w:rPr>
        <w:t>启动闭环验收程序：尽快组织第三方专业机构与相关部门联合验收，重点核查跑步道、三孔桥等核心设施及座椅、垃圾箱等配套设施的质量与设计符合性。</w:t>
      </w:r>
    </w:p>
    <w:p>
      <w:pPr>
        <w:keepNext w:val="0"/>
        <w:keepLines w:val="0"/>
        <w:pageBreakBefore w:val="0"/>
        <w:overflowPunct/>
        <w:topLinePunct w:val="0"/>
        <w:bidi w:val="0"/>
        <w:spacing w:line="590" w:lineRule="exact"/>
        <w:ind w:firstLine="624" w:firstLineChars="200"/>
        <w:rPr>
          <w:rFonts w:hint="eastAsia" w:ascii="仿宋_GB2312" w:hAnsi="仿宋" w:eastAsia="仿宋_GB2312"/>
          <w:spacing w:val="6"/>
          <w:sz w:val="30"/>
          <w:szCs w:val="30"/>
          <w:highlight w:val="none"/>
        </w:rPr>
        <w:sectPr>
          <w:headerReference r:id="rId3" w:type="default"/>
          <w:footerReference r:id="rId4" w:type="default"/>
          <w:footerReference r:id="rId5" w:type="even"/>
          <w:pgSz w:w="11906" w:h="16838"/>
          <w:pgMar w:top="2098" w:right="1474" w:bottom="1985" w:left="1588" w:header="851" w:footer="1474" w:gutter="0"/>
          <w:pgBorders>
            <w:top w:val="none" w:sz="0" w:space="0"/>
            <w:left w:val="none" w:sz="0" w:space="0"/>
            <w:bottom w:val="none" w:sz="0" w:space="0"/>
            <w:right w:val="none" w:sz="0" w:space="0"/>
          </w:pgBorders>
          <w:pgNumType w:fmt="decimal" w:start="1"/>
          <w:cols w:space="425" w:num="1"/>
          <w:docGrid w:linePitch="579" w:charSpace="3247"/>
        </w:sectPr>
      </w:pPr>
      <w:r>
        <w:rPr>
          <w:rFonts w:hint="eastAsia" w:ascii="仿宋_GB2312" w:hAnsi="仿宋" w:eastAsia="仿宋_GB2312" w:cs="Times New Roman"/>
          <w:spacing w:val="6"/>
          <w:sz w:val="30"/>
          <w:szCs w:val="30"/>
          <w:highlight w:val="none"/>
          <w:lang w:val="en-US" w:eastAsia="zh-CN"/>
        </w:rPr>
        <w:t>规范验收文件管理：验收后形成正式验收报告，明确质量达标结论、整改事项及复查要求，作为项目质量固化的权威依据，归档留存备查。</w:t>
      </w:r>
      <w:bookmarkStart w:id="0" w:name="_GoBack"/>
      <w:bookmarkEnd w:id="0"/>
    </w:p>
    <w:p>
      <w:pPr>
        <w:rPr>
          <w:rFonts w:hint="default" w:eastAsiaTheme="minorEastAsia"/>
          <w:lang w:val="en-US"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ascii="宋体" w:hAnsi="宋体" w:eastAsia="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i</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i</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ascii="宋体" w:hAnsi="宋体" w:eastAsia="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ii</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ii</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D63A30"/>
    <w:rsid w:val="239F7E01"/>
    <w:rsid w:val="3CD63A30"/>
    <w:rsid w:val="795347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实施方案正文"/>
    <w:basedOn w:val="1"/>
    <w:unhideWhenUsed/>
    <w:qFormat/>
    <w:uiPriority w:val="0"/>
    <w:pPr>
      <w:widowControl w:val="0"/>
      <w:spacing w:beforeLines="0" w:afterLines="0"/>
      <w:ind w:firstLine="566" w:firstLineChars="202"/>
    </w:pPr>
    <w:rPr>
      <w:rFonts w:hint="default"/>
      <w:sz w:val="28"/>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昆明市嵩明县党政机关单位</Company>
  <Pages>5</Pages>
  <Words>0</Words>
  <Characters>0</Characters>
  <Lines>0</Lines>
  <Paragraphs>0</Paragraphs>
  <TotalTime>1</TotalTime>
  <ScaleCrop>false</ScaleCrop>
  <LinksUpToDate>false</LinksUpToDate>
  <CharactersWithSpaces>0</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2026-07-02T07:18:00Z</dcterms:created>
  <dc:creator>Administrator</dc:creator>
  <cp:lastModifiedBy>Administrator</cp:lastModifiedBy>
  <dcterms:modified xsi:type="dcterms:W3CDTF">2026-07-02T07:22:15Z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39D728D4D3744FCFA38428C7810860F8</vt:lpwstr>
  </property>
</Properties>
</file>