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topLinePunct w:val="0"/>
        <w:autoSpaceDE/>
        <w:autoSpaceDN/>
        <w:bidi w:val="0"/>
        <w:spacing w:line="590" w:lineRule="exact"/>
        <w:jc w:val="center"/>
        <w:rPr>
          <w:rFonts w:hint="default" w:hAnsi="仿宋" w:eastAsia="仿宋"/>
          <w:sz w:val="36"/>
          <w:szCs w:val="36"/>
          <w:highlight w:val="none"/>
          <w:lang w:val="en-US" w:eastAsia="zh-CN"/>
        </w:rPr>
      </w:pPr>
      <w:r>
        <w:rPr>
          <w:rFonts w:hint="eastAsia" w:ascii="方正小标宋简体" w:eastAsia="方正小标宋简体" w:cs="Times New Roman"/>
          <w:spacing w:val="6"/>
          <w:kern w:val="36"/>
          <w:sz w:val="44"/>
          <w:szCs w:val="44"/>
          <w:highlight w:val="none"/>
          <w:lang w:val="en-US" w:eastAsia="zh-CN"/>
        </w:rPr>
        <w:t>嵩明县住房和城乡建设局2024年嵩明学海路建设资金</w:t>
      </w:r>
      <w:r>
        <w:rPr>
          <w:rFonts w:hint="eastAsia" w:ascii="方正小标宋简体" w:hAnsi="Times New Roman" w:eastAsia="方正小标宋简体" w:cs="Times New Roman"/>
          <w:spacing w:val="6"/>
          <w:kern w:val="36"/>
          <w:sz w:val="44"/>
          <w:szCs w:val="44"/>
          <w:highlight w:val="none"/>
          <w:lang w:val="en-US" w:eastAsia="zh-CN"/>
        </w:rPr>
        <w:t>绩效评价报告</w:t>
      </w:r>
    </w:p>
    <w:p>
      <w:pPr>
        <w:keepNext w:val="0"/>
        <w:keepLines w:val="0"/>
        <w:pageBreakBefore w:val="0"/>
        <w:kinsoku/>
        <w:wordWrap/>
        <w:topLinePunct w:val="0"/>
        <w:autoSpaceDE/>
        <w:autoSpaceDN/>
        <w:bidi w:val="0"/>
        <w:spacing w:line="590" w:lineRule="exact"/>
        <w:ind w:firstLine="624" w:firstLineChars="200"/>
        <w:rPr>
          <w:rFonts w:ascii="仿宋_GB2312" w:hAnsi="仿宋" w:eastAsia="仿宋_GB2312"/>
          <w:spacing w:val="6"/>
          <w:szCs w:val="30"/>
          <w:highlight w:val="yellow"/>
        </w:rPr>
      </w:pPr>
    </w:p>
    <w:p>
      <w:pPr>
        <w:spacing w:line="590" w:lineRule="exact"/>
        <w:ind w:firstLine="624" w:firstLineChars="200"/>
        <w:outlineLvl w:val="9"/>
        <w:rPr>
          <w:rFonts w:hint="eastAsia" w:eastAsia="黑体"/>
          <w:spacing w:val="6"/>
          <w:sz w:val="30"/>
          <w:highlight w:val="none"/>
          <w:lang w:val="en-US" w:eastAsia="zh-CN"/>
        </w:rPr>
      </w:pPr>
      <w:r>
        <w:rPr>
          <w:rFonts w:hint="eastAsia" w:ascii="仿宋_GB2312" w:hAnsi="仿宋" w:eastAsia="仿宋_GB2312"/>
          <w:spacing w:val="6"/>
          <w:sz w:val="30"/>
          <w:szCs w:val="30"/>
          <w:highlight w:val="none"/>
          <w:lang w:val="en-US" w:eastAsia="zh-CN"/>
        </w:rPr>
        <w:t>根据《项目支出绩效评价管理办法》（财预〔2020〕10号）、《中共云南省委 云南省政府关于全面实施预算绩效管理的实施意见》（云发〔2019〕11号）、《云南省财政厅关于印发〈云南省项目支出绩效评价管理办法〉的通知》（云财绩〔2020〕11号）、《中共昆明市委昆明市人民政府关于全面实施预算绩效管理的实施意见》（昆发〔2019〕12号）和《嵩明县财政局关于开展2025年财政重点绩效评价及召开相关工作会议的通知》的要求云南啟元管理咨询有限公司接受嵩明县财政局（以下简称“县财政局”）委托，于2025年10月至12月对嵩明县住房和城乡建设局（以下简称“县住建局”）2024年嵩明学海路建设资金开展绩效评价。现将评价情况报告如下：</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ascii="仿宋_GB2312" w:hAnsi="仿宋" w:eastAsia="仿宋_GB2312" w:cs="Times New Roman"/>
          <w:spacing w:val="6"/>
          <w:sz w:val="30"/>
          <w:szCs w:val="30"/>
          <w:highlight w:val="none"/>
          <w:lang w:val="en-US" w:eastAsia="zh-CN"/>
        </w:rPr>
      </w:pPr>
      <w:r>
        <w:rPr>
          <w:rFonts w:hint="eastAsia" w:eastAsia="黑体"/>
          <w:spacing w:val="6"/>
          <w:sz w:val="30"/>
          <w:highlight w:val="none"/>
          <w:lang w:val="en-US" w:eastAsia="zh-CN"/>
        </w:rPr>
        <w:t>一、</w:t>
      </w:r>
      <w:r>
        <w:rPr>
          <w:rFonts w:hint="eastAsia" w:eastAsia="黑体"/>
          <w:spacing w:val="6"/>
          <w:sz w:val="30"/>
          <w:highlight w:val="none"/>
        </w:rPr>
        <w:t>基本情况</w:t>
      </w:r>
    </w:p>
    <w:p>
      <w:pPr>
        <w:spacing w:line="590" w:lineRule="exact"/>
        <w:ind w:firstLine="624" w:firstLineChars="200"/>
        <w:outlineLvl w:val="9"/>
        <w:rPr>
          <w:rFonts w:hint="eastAsia" w:ascii="仿宋_GB2312" w:hAnsi="仿宋" w:eastAsia="仿宋_GB2312"/>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为响应国家及省市城市基础设施建设要求、《嵩明县城市总体规划（2018-2035）》及海绵城市建设等政策，推进旧城改造与城镇化进程。该项目道路位于老城中心位置，对于改善居民出行条件、完善配套基础设施具有重要的意义。</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eastAsia" w:ascii="仿宋_GB2312" w:hAnsi="仿宋" w:eastAsia="仿宋_GB2312"/>
          <w:spacing w:val="6"/>
          <w:sz w:val="30"/>
          <w:szCs w:val="30"/>
          <w:highlight w:val="none"/>
          <w:lang w:val="en-US" w:eastAsia="zh-CN"/>
        </w:rPr>
        <w:t>嵩明学海路建设项目为新建工程，根据《嵩明县发展和改革局关于嵩明县城学海路三期（河滨南路至秀嵩街延长线）新建工程项目可行性研究报告的批复》（嵩发改复〔2023〕25号）文件，项目估算总投资3,299.43万元，资金来源于县级财政筹措，项目包含红线20米宽道路739.512米及附属绿地，附属绿地面积2.43亩；建设内容包括城市道路的行车道、人行车道以及地下给水、雨水、污水管道、强弱电管线、绿化绿地工程、亮化工程、交通工程等；建设周期为2023年5月至2024年12月。2024年下达资金502万元，实际支出501.30万元。</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二、绩效评价结论</w:t>
      </w:r>
    </w:p>
    <w:p>
      <w:pPr>
        <w:spacing w:line="590" w:lineRule="exact"/>
        <w:ind w:firstLine="624" w:firstLineChars="200"/>
        <w:rPr>
          <w:rFonts w:hint="eastAsia" w:ascii="仿宋_GB2312" w:hAnsi="仿宋" w:eastAsia="仿宋_GB2312"/>
          <w:spacing w:val="6"/>
          <w:szCs w:val="30"/>
          <w:highlight w:val="none"/>
          <w:lang w:val="en-US" w:eastAsia="zh-CN"/>
        </w:rPr>
      </w:pPr>
      <w:r>
        <w:rPr>
          <w:rFonts w:hint="eastAsia" w:ascii="仿宋_GB2312" w:hAnsi="仿宋" w:eastAsia="仿宋_GB2312" w:cs="Times New Roman"/>
          <w:spacing w:val="6"/>
          <w:sz w:val="30"/>
          <w:szCs w:val="30"/>
          <w:highlight w:val="none"/>
          <w:lang w:val="en-US" w:eastAsia="zh-CN"/>
        </w:rPr>
        <w:t>经评价，嵩明县住房和城乡建设局2024年嵩明学海路建设资金绩效评价得分88.50分，评价等级为“良”。整体表现良好，该项目绩效评价整体表现良好，项目立项依据充分、程序规范，预算编制与资金分配科学合理，资金管理合规且预算执行高效，相关管理制度健全并得到有效执行，项目按期完成道路主线、附属绿地及市政管线敷设等建设任务，有效改善了周边居民出行条件，降低了区域交通事故发生率，获得了工作人员的全面认可和社会公众的高度满意，但项目绩效目标设置过于笼统，绩效指标不够完整、具体，且项目验收工作滞后。</w:t>
      </w:r>
    </w:p>
    <w:p>
      <w:pPr>
        <w:keepNext w:val="0"/>
        <w:keepLines w:val="0"/>
        <w:pageBreakBefore w:val="0"/>
        <w:widowControl w:val="0"/>
        <w:kinsoku/>
        <w:wordWrap/>
        <w:overflowPunct/>
        <w:topLinePunct w:val="0"/>
        <w:autoSpaceDE/>
        <w:autoSpaceDN/>
        <w:bidi w:val="0"/>
        <w:adjustRightInd/>
        <w:snapToGrid/>
        <w:spacing w:line="590" w:lineRule="exact"/>
        <w:ind w:firstLine="624" w:firstLineChars="200"/>
        <w:textAlignment w:val="auto"/>
        <w:rPr>
          <w:rFonts w:hint="eastAsia" w:eastAsia="黑体"/>
          <w:spacing w:val="6"/>
          <w:sz w:val="30"/>
          <w:highlight w:val="none"/>
          <w:lang w:val="en-US" w:eastAsia="zh-CN"/>
        </w:rPr>
      </w:pPr>
      <w:r>
        <w:rPr>
          <w:rFonts w:hint="eastAsia" w:eastAsia="黑体"/>
          <w:spacing w:val="6"/>
          <w:sz w:val="30"/>
          <w:highlight w:val="none"/>
          <w:lang w:val="en-US" w:eastAsia="zh-CN"/>
        </w:rPr>
        <w:t>三、存在的主要问题</w:t>
      </w:r>
    </w:p>
    <w:p>
      <w:pPr>
        <w:spacing w:line="590" w:lineRule="exact"/>
        <w:ind w:firstLine="624" w:firstLineChars="200"/>
        <w:outlineLvl w:val="9"/>
        <w:rPr>
          <w:rFonts w:hint="eastAsia" w:ascii="楷体_GB2312" w:hAnsi="楷体_GB2312" w:eastAsia="楷体_GB2312" w:cs="楷体_GB2312"/>
          <w:spacing w:val="6"/>
          <w:sz w:val="30"/>
          <w:szCs w:val="30"/>
          <w:highlight w:val="none"/>
          <w:lang w:val="en-US" w:eastAsia="zh-CN"/>
        </w:rPr>
      </w:pPr>
      <w:r>
        <w:rPr>
          <w:rFonts w:hint="eastAsia" w:ascii="楷体_GB2312" w:hAnsi="楷体_GB2312" w:eastAsia="楷体_GB2312" w:cs="楷体_GB2312"/>
          <w:spacing w:val="6"/>
          <w:sz w:val="30"/>
          <w:szCs w:val="30"/>
          <w:highlight w:val="none"/>
          <w:lang w:val="en-US" w:eastAsia="zh-CN"/>
        </w:rPr>
        <w:t>（一）绩效目标与绩效指标设置不规范</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一是绩效目标仅单一表述为“学海路三期建设完工”，未明确核心设施质量标准、社会效益量化目标（如环境改善具体指标）等关键内容。</w:t>
      </w:r>
    </w:p>
    <w:p>
      <w:pPr>
        <w:keepNext w:val="0"/>
        <w:keepLines w:val="0"/>
        <w:pageBreakBefore w:val="0"/>
        <w:overflowPunct/>
        <w:topLinePunct w:val="0"/>
        <w:bidi w:val="0"/>
        <w:spacing w:line="590" w:lineRule="exact"/>
        <w:ind w:firstLine="644" w:firstLineChars="200"/>
        <w:rPr>
          <w:rFonts w:hint="default"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二是绩效指标存在双重缺陷：一是覆盖不全面，缺少产出质量、时效、成本等核心指标；二是现有指标过于抽象，缺乏具体定义与执行标准，无法有效指导绩效跟踪与评估。</w:t>
      </w:r>
    </w:p>
    <w:p>
      <w:pPr>
        <w:keepNext w:val="0"/>
        <w:keepLines w:val="0"/>
        <w:pageBreakBefore w:val="0"/>
        <w:overflowPunct/>
        <w:topLinePunct w:val="0"/>
        <w:bidi w:val="0"/>
        <w:spacing w:line="590" w:lineRule="exact"/>
        <w:ind w:firstLine="624" w:firstLineChars="200"/>
        <w:rPr>
          <w:rFonts w:hint="eastAsia" w:ascii="仿宋_GB2312" w:hAnsi="Calibri" w:eastAsia="仿宋_GB2312"/>
          <w:spacing w:val="1"/>
          <w:sz w:val="32"/>
          <w:szCs w:val="32"/>
          <w:highlight w:val="none"/>
          <w:lang w:val="en-US" w:eastAsia="zh-CN"/>
        </w:rPr>
      </w:pPr>
      <w:r>
        <w:rPr>
          <w:rFonts w:hint="eastAsia" w:ascii="楷体_GB2312" w:hAnsi="楷体_GB2312" w:eastAsia="楷体_GB2312" w:cs="楷体_GB2312"/>
          <w:spacing w:val="6"/>
          <w:sz w:val="30"/>
          <w:szCs w:val="30"/>
          <w:highlight w:val="none"/>
          <w:lang w:val="en-US" w:eastAsia="zh-CN"/>
        </w:rPr>
        <w:t>（二）项目验收滞后</w:t>
      </w:r>
    </w:p>
    <w:p>
      <w:pPr>
        <w:keepNext w:val="0"/>
        <w:keepLines w:val="0"/>
        <w:pageBreakBefore w:val="0"/>
        <w:overflowPunct/>
        <w:topLinePunct w:val="0"/>
        <w:bidi w:val="0"/>
        <w:spacing w:line="590" w:lineRule="exact"/>
        <w:ind w:firstLine="644" w:firstLineChars="200"/>
        <w:rPr>
          <w:rFonts w:hint="eastAsia" w:ascii="仿宋_GB2312" w:hAnsi="Calibri" w:eastAsia="仿宋_GB2312"/>
          <w:spacing w:val="1"/>
          <w:sz w:val="32"/>
          <w:szCs w:val="32"/>
          <w:highlight w:val="none"/>
          <w:lang w:val="en-US" w:eastAsia="zh-CN"/>
        </w:rPr>
      </w:pPr>
      <w:r>
        <w:rPr>
          <w:rFonts w:hint="eastAsia" w:ascii="仿宋_GB2312" w:hAnsi="Calibri" w:eastAsia="仿宋_GB2312"/>
          <w:spacing w:val="1"/>
          <w:sz w:val="32"/>
          <w:szCs w:val="32"/>
          <w:highlight w:val="none"/>
          <w:lang w:val="en-US" w:eastAsia="zh-CN"/>
        </w:rPr>
        <w:t>项目于2024年12月18日完成全部建设内容，但未完成验收工作，影响产出质量的完整评估。</w:t>
      </w:r>
    </w:p>
    <w:p>
      <w:pPr>
        <w:spacing w:line="590" w:lineRule="exact"/>
        <w:ind w:firstLine="624" w:firstLineChars="200"/>
        <w:outlineLvl w:val="9"/>
        <w:rPr>
          <w:rFonts w:hint="eastAsia" w:ascii="仿宋_GB2312" w:hAnsi="仿宋" w:eastAsia="仿宋_GB2312" w:cs="Times New Roman"/>
          <w:b w:val="0"/>
          <w:bCs w:val="0"/>
          <w:spacing w:val="6"/>
          <w:kern w:val="30"/>
          <w:sz w:val="30"/>
          <w:szCs w:val="30"/>
          <w:highlight w:val="none"/>
          <w:lang w:val="en-US" w:eastAsia="zh-CN" w:bidi="ar-SA"/>
        </w:rPr>
      </w:pPr>
      <w:r>
        <w:rPr>
          <w:rFonts w:hint="eastAsia" w:ascii="黑体" w:hAnsi="黑体" w:eastAsia="黑体" w:cs="黑体"/>
          <w:spacing w:val="6"/>
          <w:sz w:val="30"/>
          <w:szCs w:val="30"/>
          <w:highlight w:val="none"/>
          <w:lang w:val="en-US" w:eastAsia="zh-CN"/>
        </w:rPr>
        <w:t>四、建议</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eastAsia" w:ascii="楷体_GB2312" w:hAnsi="Calibri" w:eastAsia="楷体_GB2312" w:cs="Times New Roman"/>
          <w:b w:val="0"/>
          <w:bCs w:val="0"/>
          <w:spacing w:val="1"/>
          <w:kern w:val="2"/>
          <w:sz w:val="32"/>
          <w:szCs w:val="32"/>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（一）规范绩效目标与绩效指标设置</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重构绩效目标：根据项目实际内容，补充核心产出等内容，形成“完工+质量+效益”三维目标体系。</w:t>
      </w:r>
    </w:p>
    <w:p>
      <w:pPr>
        <w:spacing w:line="590" w:lineRule="exact"/>
        <w:ind w:firstLine="624" w:firstLineChars="200"/>
        <w:rPr>
          <w:rFonts w:hint="default" w:ascii="仿宋_GB2312" w:hAnsi="仿宋" w:eastAsia="仿宋_GB2312" w:cs="Times New Roman"/>
          <w:spacing w:val="6"/>
          <w:sz w:val="30"/>
          <w:szCs w:val="30"/>
          <w:highlight w:val="none"/>
          <w:lang w:val="en-US" w:eastAsia="zh-CN"/>
        </w:rPr>
      </w:pPr>
      <w:r>
        <w:rPr>
          <w:rFonts w:hint="default" w:ascii="仿宋_GB2312" w:hAnsi="仿宋" w:eastAsia="仿宋_GB2312" w:cs="Times New Roman"/>
          <w:spacing w:val="6"/>
          <w:sz w:val="30"/>
          <w:szCs w:val="30"/>
          <w:highlight w:val="none"/>
          <w:lang w:val="en-US" w:eastAsia="zh-CN"/>
        </w:rPr>
        <w:t>完善绩效指标：按“产出+效益”分类，补充质量、时效、成本指标（如验收合格率、完工及时率等）；明确指标定义与执行标准。</w:t>
      </w:r>
    </w:p>
    <w:p>
      <w:pPr>
        <w:keepNext w:val="0"/>
        <w:keepLines w:val="0"/>
        <w:pageBreakBefore w:val="0"/>
        <w:kinsoku w:val="0"/>
        <w:overflowPunct/>
        <w:topLinePunct w:val="0"/>
        <w:autoSpaceDE w:val="0"/>
        <w:autoSpaceDN w:val="0"/>
        <w:bidi w:val="0"/>
        <w:adjustRightInd w:val="0"/>
        <w:snapToGrid w:val="0"/>
        <w:spacing w:line="590" w:lineRule="exact"/>
        <w:ind w:firstLine="644" w:firstLineChars="200"/>
        <w:outlineLvl w:val="9"/>
        <w:rPr>
          <w:rFonts w:hint="default" w:ascii="仿宋_GB2312" w:hAnsi="仿宋" w:eastAsia="仿宋_GB2312" w:cs="Times New Roman"/>
          <w:b w:val="0"/>
          <w:bCs w:val="0"/>
          <w:spacing w:val="6"/>
          <w:kern w:val="30"/>
          <w:sz w:val="30"/>
          <w:szCs w:val="30"/>
          <w:highlight w:val="none"/>
          <w:lang w:val="en-US" w:eastAsia="zh-CN" w:bidi="ar-SA"/>
        </w:rPr>
      </w:pPr>
      <w:r>
        <w:rPr>
          <w:rFonts w:hint="eastAsia" w:ascii="楷体_GB2312" w:hAnsi="Calibri" w:eastAsia="楷体_GB2312" w:cs="Times New Roman"/>
          <w:b w:val="0"/>
          <w:bCs w:val="0"/>
          <w:spacing w:val="1"/>
          <w:kern w:val="2"/>
          <w:sz w:val="32"/>
          <w:szCs w:val="32"/>
          <w:highlight w:val="none"/>
          <w:lang w:val="en-US" w:eastAsia="zh-CN" w:bidi="ar-SA"/>
        </w:rPr>
        <w:t>（二）完善验收流程</w:t>
      </w:r>
    </w:p>
    <w:p>
      <w:pPr>
        <w:keepNext w:val="0"/>
        <w:keepLines w:val="0"/>
        <w:pageBreakBefore w:val="0"/>
        <w:overflowPunct/>
        <w:topLinePunct w:val="0"/>
        <w:bidi w:val="0"/>
        <w:spacing w:line="590" w:lineRule="exact"/>
        <w:ind w:firstLine="624" w:firstLineChars="200"/>
        <w:rPr>
          <w:rFonts w:hint="eastAsia" w:ascii="仿宋_GB2312" w:hAnsi="仿宋" w:eastAsia="仿宋_GB2312"/>
          <w:spacing w:val="6"/>
          <w:sz w:val="30"/>
          <w:szCs w:val="30"/>
          <w:highlight w:val="none"/>
        </w:rPr>
        <w:sectPr>
          <w:headerReference r:id="rId3" w:type="default"/>
          <w:footerReference r:id="rId4" w:type="default"/>
          <w:footerReference r:id="rId5" w:type="even"/>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linePitch="579" w:charSpace="3247"/>
        </w:sectPr>
      </w:pPr>
      <w:r>
        <w:rPr>
          <w:rFonts w:hint="eastAsia" w:ascii="仿宋_GB2312" w:hAnsi="仿宋" w:eastAsia="仿宋_GB2312" w:cs="Times New Roman"/>
          <w:spacing w:val="6"/>
          <w:sz w:val="30"/>
          <w:szCs w:val="30"/>
          <w:highlight w:val="none"/>
          <w:lang w:val="en-US" w:eastAsia="zh-CN"/>
        </w:rPr>
        <w:t>完善项目全周期计划管理，在后续同类项目立项时，将验收工作纳入整体项目计划，与施工节点同步制定、同步考核；把验收完成情况与项目负责人、施工单位绩效挂钩，未按计划完成验收的，扣减相应绩效分值，同时影响后续项目合作资格。</w:t>
      </w:r>
    </w:p>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E4061E"/>
    <w:rsid w:val="26E40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实施方案正文"/>
    <w:basedOn w:val="1"/>
    <w:unhideWhenUsed/>
    <w:qFormat/>
    <w:uiPriority w:val="0"/>
    <w:pPr>
      <w:widowControl w:val="0"/>
      <w:spacing w:beforeLines="0" w:afterLines="0"/>
      <w:ind w:firstLine="566" w:firstLineChars="202"/>
    </w:pPr>
    <w:rPr>
      <w:rFonts w:hint="default"/>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昆明市嵩明县党政机关单位</Company>
  <Pages>4</Pages>
  <Words>0</Words>
  <Characters>0</Characters>
  <Lines>0</Lines>
  <Paragraphs>0</Paragraphs>
  <TotalTime>1</TotalTime>
  <ScaleCrop>false</ScaleCrop>
  <LinksUpToDate>false</LinksUpToDate>
  <CharactersWithSpaces>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2026-07-02T07:22:00Z</dcterms:created>
  <dc:creator>Administrator</dc:creator>
  <cp:lastModifiedBy>Administrator</cp:lastModifiedBy>
  <dcterms:modified xsi:type="dcterms:W3CDTF">2026-07-02T07:24:28Z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2AA247AF71004407ACBFFF7EAB7E3023</vt:lpwstr>
  </property>
</Properties>
</file>