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79" w:lineRule="exact"/>
        <w:jc w:val="center"/>
        <w:rPr>
          <w:rFonts w:hint="default" w:hAnsi="仿宋" w:eastAsia="仿宋"/>
          <w:sz w:val="36"/>
          <w:szCs w:val="36"/>
          <w:highlight w:val="none"/>
          <w:lang w:val="en-US" w:eastAsia="zh-CN"/>
        </w:rPr>
      </w:pPr>
      <w:r>
        <w:rPr>
          <w:rFonts w:hint="eastAsia" w:ascii="方正小标宋简体" w:eastAsia="方正小标宋简体" w:cs="Times New Roman"/>
          <w:spacing w:val="6"/>
          <w:kern w:val="36"/>
          <w:sz w:val="44"/>
          <w:szCs w:val="44"/>
          <w:highlight w:val="none"/>
          <w:lang w:val="en-US" w:eastAsia="zh-CN"/>
        </w:rPr>
        <w:t>嵩明县农业农村局2024年“10+25”乡村振兴示范工程资金</w:t>
      </w:r>
      <w:r>
        <w:rPr>
          <w:rFonts w:hint="eastAsia" w:ascii="方正小标宋简体" w:hAnsi="Times New Roman" w:eastAsia="方正小标宋简体" w:cs="Times New Roman"/>
          <w:spacing w:val="6"/>
          <w:kern w:val="36"/>
          <w:sz w:val="44"/>
          <w:szCs w:val="44"/>
          <w:highlight w:val="none"/>
          <w:lang w:val="en-US" w:eastAsia="zh-CN"/>
        </w:rPr>
        <w:t>绩效评价报告</w:t>
      </w:r>
    </w:p>
    <w:p>
      <w:pPr>
        <w:keepNext w:val="0"/>
        <w:keepLines w:val="0"/>
        <w:pageBreakBefore w:val="0"/>
        <w:kinsoku/>
        <w:wordWrap/>
        <w:overflowPunct/>
        <w:topLinePunct w:val="0"/>
        <w:autoSpaceDE/>
        <w:autoSpaceDN/>
        <w:bidi w:val="0"/>
        <w:spacing w:line="579" w:lineRule="exact"/>
        <w:ind w:firstLine="624" w:firstLineChars="200"/>
        <w:rPr>
          <w:rFonts w:ascii="仿宋_GB2312" w:hAnsi="仿宋" w:eastAsia="仿宋_GB2312"/>
          <w:spacing w:val="6"/>
          <w:szCs w:val="30"/>
          <w:highlight w:val="none"/>
        </w:rPr>
      </w:pPr>
    </w:p>
    <w:p>
      <w:pPr>
        <w:keepNext w:val="0"/>
        <w:keepLines w:val="0"/>
        <w:pageBreakBefore w:val="0"/>
        <w:kinsoku/>
        <w:wordWrap/>
        <w:overflowPunct/>
        <w:topLinePunct w:val="0"/>
        <w:bidi w:val="0"/>
        <w:spacing w:line="579" w:lineRule="exact"/>
        <w:ind w:firstLine="624" w:firstLineChars="200"/>
        <w:outlineLvl w:val="9"/>
        <w:rPr>
          <w:rFonts w:hint="eastAsia" w:eastAsia="黑体"/>
          <w:spacing w:val="6"/>
          <w:sz w:val="30"/>
          <w:szCs w:val="30"/>
          <w:highlight w:val="none"/>
          <w:lang w:val="en-US" w:eastAsia="zh-CN"/>
        </w:rPr>
      </w:pPr>
      <w:r>
        <w:rPr>
          <w:rFonts w:hint="eastAsia" w:ascii="仿宋_GB2312" w:hAnsi="仿宋" w:eastAsia="仿宋_GB2312"/>
          <w:spacing w:val="6"/>
          <w:sz w:val="30"/>
          <w:szCs w:val="30"/>
          <w:highlight w:val="none"/>
          <w:lang w:val="en-US" w:eastAsia="zh-CN"/>
        </w:rPr>
        <w:t>根据《项目支出绩效评价管理办法》（财预〔2020〕10号）、《中共云南省委 云南省政府关于全面实施预算绩效管理的实施意见》（云发〔2019〕11号）、《云南省财政厅关于印发〈云南省项目支出绩效评价管理办法〉的通知》（云财绩〔2020〕11号）、《中共昆明市委昆明市人民政府关于全面实施预算绩效管理的实施意见》（昆发〔2019〕12号）和《嵩明县财政局关于开展2025年财政重点绩效评价及召开相关工作会议的通知》的要求，云南啟元管理咨询有限公司接受嵩明县财政局（以下简称“县财政局”）委托，于2025年10月至12月对嵩明县农业农村局（以下简称“县农业农村局”）2024年“10+25”乡村振兴示范工程资金开展绩效评价。现将评价情况报告如下：</w:t>
      </w:r>
    </w:p>
    <w:p>
      <w:pPr>
        <w:keepNext w:val="0"/>
        <w:keepLines w:val="0"/>
        <w:pageBreakBefore w:val="0"/>
        <w:widowControl w:val="0"/>
        <w:kinsoku/>
        <w:wordWrap/>
        <w:overflowPunct/>
        <w:topLinePunct w:val="0"/>
        <w:autoSpaceDE/>
        <w:autoSpaceDN/>
        <w:bidi w:val="0"/>
        <w:adjustRightInd/>
        <w:snapToGrid/>
        <w:spacing w:line="579" w:lineRule="exact"/>
        <w:ind w:firstLine="624" w:firstLineChars="200"/>
        <w:textAlignment w:val="auto"/>
        <w:outlineLvl w:val="9"/>
        <w:rPr>
          <w:rFonts w:hint="eastAsia" w:eastAsia="黑体"/>
          <w:spacing w:val="6"/>
          <w:sz w:val="30"/>
          <w:szCs w:val="30"/>
          <w:highlight w:val="none"/>
        </w:rPr>
      </w:pPr>
      <w:r>
        <w:rPr>
          <w:rFonts w:hint="eastAsia" w:eastAsia="黑体"/>
          <w:spacing w:val="6"/>
          <w:sz w:val="30"/>
          <w:szCs w:val="30"/>
          <w:highlight w:val="none"/>
          <w:lang w:val="en-US" w:eastAsia="zh-CN"/>
        </w:rPr>
        <w:t>一、</w:t>
      </w:r>
      <w:r>
        <w:rPr>
          <w:rFonts w:hint="eastAsia" w:eastAsia="黑体"/>
          <w:spacing w:val="6"/>
          <w:sz w:val="30"/>
          <w:szCs w:val="30"/>
          <w:highlight w:val="none"/>
        </w:rPr>
        <w:t>基本情况</w:t>
      </w:r>
    </w:p>
    <w:p>
      <w:pPr>
        <w:keepNext w:val="0"/>
        <w:keepLines w:val="0"/>
        <w:pageBreakBefore w:val="0"/>
        <w:widowControl w:val="0"/>
        <w:kinsoku/>
        <w:wordWrap/>
        <w:overflowPunct/>
        <w:topLinePunct w:val="0"/>
        <w:bidi w:val="0"/>
        <w:spacing w:line="579" w:lineRule="exact"/>
        <w:ind w:firstLine="624" w:firstLineChars="200"/>
        <w:textAlignment w:val="auto"/>
        <w:outlineLvl w:val="9"/>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在乡村振兴战略向纵深推进的进程中，农村既是基层治理的“最后一公里”，更是服务群众的“神经末梢”，其人居环境品质、基础设施完备度与产业发展活力，直接关乎村民的幸福感与获得感。嵩明县紧扣群众“急难愁盼”问题，以深入学习推广浙江“千万工程”经验为核心抓手，针对县域农村普遍存在的基础设施薄弱、人居环境“脏乱差”、产业带动能力不足等突出短板，启动“10+25”乡村振兴示范工程三年攻坚行动。该项目深入贯彻习近平总书记关于总结推广浙江“千万工程”经验的重要指示精神，严格落实国家、省、市关于全面推进乡村振兴、改善农村人居环境的决策部署，精准契合“宜居宜业和美乡村建设”总体要求，被纳入《2024年嵩明县政府工作报告》重点任务。项目坚持“示范引领、分类推进”原则，覆盖全县5个镇（街道）35个村（社区），其中包含10个乡村振兴示范村与25个重点整治提升村，通过“县－镇－村”三级资金投入与群众投工投劳相结合的模式强化保障。建设工作聚焦四大核心方向：一是人居环境整治提升，涵盖道路硬化、污水管网改造、绿化美化等基础工程；二是公共服务设施建设，打造文化长廊、休闲凉亭、路灯监控等便民场景；三是产业配套培育，布局智慧种植基地、农产品分拣中心等增收载体；四是治理机制创新，推行党建引领、积分制管理等有效举措。项目的落地实施，不仅显著改善了农村人居环境与群众生活便利度，更带动了村集体经济稳步增长和村民就近就业增收，同步构建起共建共治共享的乡村治理新格局，成功打造出可复制、可推广的乡村振兴样板，为嵩明县乡村全面可持续发展筑牢了坚实基础。</w:t>
      </w:r>
    </w:p>
    <w:p>
      <w:pPr>
        <w:keepNext w:val="0"/>
        <w:keepLines w:val="0"/>
        <w:pageBreakBefore w:val="0"/>
        <w:widowControl w:val="0"/>
        <w:kinsoku/>
        <w:wordWrap/>
        <w:overflowPunct/>
        <w:topLinePunct w:val="0"/>
        <w:bidi w:val="0"/>
        <w:spacing w:line="579" w:lineRule="exact"/>
        <w:ind w:firstLine="624" w:firstLineChars="200"/>
        <w:textAlignment w:val="auto"/>
        <w:outlineLvl w:val="9"/>
        <w:rPr>
          <w:rFonts w:hint="default" w:ascii="仿宋_GB2312" w:hAnsi="仿宋" w:eastAsia="仿宋_GB2312" w:cs="Times New Roman"/>
          <w:spacing w:val="6"/>
          <w:sz w:val="30"/>
          <w:szCs w:val="30"/>
          <w:highlight w:val="none"/>
          <w:lang w:val="en-US" w:eastAsia="zh-CN"/>
        </w:rPr>
      </w:pPr>
      <w:r>
        <w:rPr>
          <w:rFonts w:hint="default" w:ascii="仿宋_GB2312" w:hAnsi="仿宋" w:eastAsia="仿宋_GB2312" w:cs="Times New Roman"/>
          <w:spacing w:val="6"/>
          <w:sz w:val="30"/>
          <w:szCs w:val="30"/>
          <w:highlight w:val="none"/>
          <w:lang w:val="en-US" w:eastAsia="zh-CN"/>
        </w:rPr>
        <w:t>2024年安排项目资金977万元，</w:t>
      </w:r>
      <w:r>
        <w:rPr>
          <w:rFonts w:hint="eastAsia" w:ascii="仿宋_GB2312" w:hAnsi="仿宋" w:eastAsia="仿宋_GB2312" w:cs="Times New Roman"/>
          <w:spacing w:val="6"/>
          <w:sz w:val="30"/>
          <w:szCs w:val="30"/>
          <w:highlight w:val="none"/>
          <w:lang w:val="en-US" w:eastAsia="zh-CN"/>
        </w:rPr>
        <w:t>截至2024年12月31日，</w:t>
      </w:r>
      <w:r>
        <w:rPr>
          <w:rFonts w:hint="default" w:ascii="仿宋_GB2312" w:hAnsi="仿宋" w:eastAsia="仿宋_GB2312" w:cs="Times New Roman"/>
          <w:spacing w:val="6"/>
          <w:sz w:val="30"/>
          <w:szCs w:val="30"/>
          <w:highlight w:val="none"/>
          <w:lang w:val="en-US" w:eastAsia="zh-CN"/>
        </w:rPr>
        <w:t>资金支出0万元，执行率0%</w:t>
      </w:r>
      <w:r>
        <w:rPr>
          <w:rFonts w:hint="eastAsia" w:ascii="仿宋_GB2312" w:hAnsi="仿宋" w:eastAsia="仿宋_GB2312" w:cs="Times New Roman"/>
          <w:spacing w:val="6"/>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24" w:firstLineChars="200"/>
        <w:textAlignment w:val="auto"/>
        <w:outlineLvl w:val="9"/>
        <w:rPr>
          <w:rFonts w:hint="eastAsia" w:eastAsia="黑体"/>
          <w:spacing w:val="6"/>
          <w:sz w:val="30"/>
          <w:szCs w:val="30"/>
          <w:highlight w:val="none"/>
          <w:lang w:val="en-US" w:eastAsia="zh-CN"/>
        </w:rPr>
      </w:pPr>
      <w:r>
        <w:rPr>
          <w:rFonts w:hint="eastAsia" w:eastAsia="黑体"/>
          <w:spacing w:val="6"/>
          <w:sz w:val="30"/>
          <w:szCs w:val="30"/>
          <w:highlight w:val="none"/>
          <w:lang w:val="en-US" w:eastAsia="zh-CN"/>
        </w:rPr>
        <w:t>二、绩效评价结论</w:t>
      </w:r>
    </w:p>
    <w:p>
      <w:pPr>
        <w:keepNext w:val="0"/>
        <w:keepLines w:val="0"/>
        <w:pageBreakBefore w:val="0"/>
        <w:widowControl w:val="0"/>
        <w:kinsoku/>
        <w:wordWrap/>
        <w:overflowPunct/>
        <w:topLinePunct w:val="0"/>
        <w:bidi w:val="0"/>
        <w:spacing w:line="579" w:lineRule="exact"/>
        <w:ind w:firstLine="624" w:firstLineChars="200"/>
        <w:textAlignment w:val="auto"/>
        <w:outlineLvl w:val="9"/>
        <w:rPr>
          <w:rFonts w:hint="eastAsia" w:ascii="仿宋_GB2312" w:hAnsi="仿宋" w:eastAsia="仿宋_GB2312"/>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经评价，2024年“10+25”乡村振兴示范工程资金绩效评价得分88.54分，评价等级为“良”。项目立项依据充分、程序规范，资金分配科学合理且使用合规，圆满完成10个示范村打造与25个整治提升村建设任务，工程验收合格率100%，在改善农村人居环境、提升群众生活便利度、带动就业增收及形成可复制推广模式等方面成效突出，工作人员与社会公众满意度均达94%以上，精准契合乡村振兴战略与“宜居宜业和美乡村建设”要求，但仍存在2024年预算执行率为0%、资金支付与建设及考核进度严重脱节（影响资金使用效益与群众参与积极性）、绩效指标体系不完整（缺少质量、时效、成本等关键维度，考核导向不够清晰）的问题，后续需通过优化流程联动、完善指标体系等举措，进一步提升项目管理精细化水平与绩效管控效能。</w:t>
      </w:r>
    </w:p>
    <w:p>
      <w:pPr>
        <w:keepNext w:val="0"/>
        <w:keepLines w:val="0"/>
        <w:pageBreakBefore w:val="0"/>
        <w:widowControl w:val="0"/>
        <w:kinsoku/>
        <w:wordWrap/>
        <w:overflowPunct/>
        <w:topLinePunct w:val="0"/>
        <w:autoSpaceDE/>
        <w:autoSpaceDN/>
        <w:bidi w:val="0"/>
        <w:adjustRightInd/>
        <w:snapToGrid/>
        <w:spacing w:line="579" w:lineRule="exact"/>
        <w:ind w:firstLine="624" w:firstLineChars="200"/>
        <w:textAlignment w:val="auto"/>
        <w:outlineLvl w:val="9"/>
        <w:rPr>
          <w:rFonts w:hint="eastAsia" w:eastAsia="黑体"/>
          <w:spacing w:val="6"/>
          <w:sz w:val="30"/>
          <w:szCs w:val="30"/>
          <w:highlight w:val="none"/>
          <w:lang w:val="en-US" w:eastAsia="zh-CN"/>
        </w:rPr>
      </w:pPr>
      <w:r>
        <w:rPr>
          <w:rFonts w:hint="eastAsia" w:eastAsia="黑体"/>
          <w:spacing w:val="6"/>
          <w:sz w:val="30"/>
          <w:szCs w:val="30"/>
          <w:highlight w:val="none"/>
          <w:lang w:val="en-US" w:eastAsia="zh-CN"/>
        </w:rPr>
        <w:t>三、存在的主要问题</w:t>
      </w:r>
    </w:p>
    <w:p>
      <w:pPr>
        <w:keepNext w:val="0"/>
        <w:keepLines w:val="0"/>
        <w:pageBreakBefore w:val="0"/>
        <w:widowControl w:val="0"/>
        <w:kinsoku/>
        <w:wordWrap/>
        <w:overflowPunct/>
        <w:topLinePunct w:val="0"/>
        <w:bidi w:val="0"/>
        <w:spacing w:line="579" w:lineRule="exact"/>
        <w:ind w:firstLine="624" w:firstLineChars="200"/>
        <w:textAlignment w:val="auto"/>
        <w:outlineLvl w:val="9"/>
        <w:rPr>
          <w:rFonts w:hint="default"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（一）流程管控存在漏洞，资金支付不及时</w:t>
      </w:r>
    </w:p>
    <w:p>
      <w:pPr>
        <w:keepNext w:val="0"/>
        <w:keepLines w:val="0"/>
        <w:pageBreakBefore w:val="0"/>
        <w:widowControl w:val="0"/>
        <w:kinsoku/>
        <w:wordWrap/>
        <w:overflowPunct/>
        <w:topLinePunct w:val="0"/>
        <w:bidi w:val="0"/>
        <w:spacing w:line="579" w:lineRule="exact"/>
        <w:ind w:firstLine="624" w:firstLineChars="200"/>
        <w:textAlignment w:val="auto"/>
        <w:outlineLvl w:val="9"/>
        <w:rPr>
          <w:rFonts w:hint="default"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项目建设任务、成效互评、绩效考核均已按2024年既定计划全面完成，但奖补资金兑付未同步跟进，未落实“任务完成后及时兑付资金”的基本要求，不仅造成财政资金闲置、使用效益大打折扣，还直接降低了群众投工投劳参与乡村建设的热情，不利于后续共建共治共享机制的持续推进；核心原因在于项目绩效考核、奖补资金分配方案制定与财政资金拨付三大关键环节缺乏常态化高效联动机制，各环节各自推进、缺乏协同，2024年11月已完成建设成效互评并形成奖补资金分配表，却未及时衔接启动财政资金拨付申请流程，且前期规划仅聚焦项目建设与考核环节的时限把控，未充分调研财政资金拨付的实际流程周期，对绩效考核完成后需经历的资料审核、层级审批、国库支付等全流程时间跨度预估偏差较大，未预留充足缓冲时间，同时未明确资金兑付各环节的责任主体、对接人员及完成时限，绩效考核结束后缺乏专门力量跟进资金拨付事宜，出现“建设有人管、考核有人抓、兑付无人盯”的脱节现象，最终导致资金无法在2024年度内完成兑付。</w:t>
      </w:r>
    </w:p>
    <w:p>
      <w:pPr>
        <w:keepNext w:val="0"/>
        <w:keepLines w:val="0"/>
        <w:pageBreakBefore w:val="0"/>
        <w:widowControl w:val="0"/>
        <w:kinsoku/>
        <w:wordWrap/>
        <w:overflowPunct/>
        <w:topLinePunct w:val="0"/>
        <w:bidi w:val="0"/>
        <w:spacing w:line="579" w:lineRule="exact"/>
        <w:ind w:firstLine="624" w:firstLineChars="200"/>
        <w:textAlignment w:val="auto"/>
        <w:outlineLvl w:val="9"/>
        <w:rPr>
          <w:rFonts w:hint="default"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（二）绩效指标体系不完整，考核维度存在短板</w:t>
      </w:r>
    </w:p>
    <w:p>
      <w:pPr>
        <w:keepNext w:val="0"/>
        <w:keepLines w:val="0"/>
        <w:pageBreakBefore w:val="0"/>
        <w:widowControl w:val="0"/>
        <w:kinsoku/>
        <w:wordWrap/>
        <w:overflowPunct/>
        <w:topLinePunct w:val="0"/>
        <w:bidi w:val="0"/>
        <w:spacing w:line="579" w:lineRule="exact"/>
        <w:ind w:firstLine="624" w:firstLineChars="200"/>
        <w:textAlignment w:val="auto"/>
        <w:outlineLvl w:val="9"/>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当前绩效指标仅涵盖数量指标、社会效益指标及满意度指标，缺少质量指标、时效指标、成本指标等关键维度，无法全面、精准衡量项目实施质量、进度管控及资金使用效率；核心原因在于指标设计缺乏系统性思维，前期制定绩效目标时侧重关注“是否完成建设任务”和“群众是否满意”，对项目实施的核心管控维度考虑不周全，未充分结合绩效评价的规范要求，导致指标体系存在先天短板，且考核导向不清晰，未明确质量管控、时效推进、成本优化的核心目标，未将工程验收质量、资金支付时效、单位造价控制等关键内容纳入考核，难以通过指标引导项目规范高效实施，也不利于后续精准跟踪、评估项目成效，同时缺乏行业指标参考，未充分借鉴乡村振兴类项目绩效评价的成熟指标体系，对质量、时效、成本等指标的设置标准、量化方式研究不足，导致指标补充无明确依据。</w:t>
      </w:r>
    </w:p>
    <w:p>
      <w:pPr>
        <w:keepNext w:val="0"/>
        <w:keepLines w:val="0"/>
        <w:pageBreakBefore w:val="0"/>
        <w:widowControl w:val="0"/>
        <w:kinsoku/>
        <w:wordWrap/>
        <w:overflowPunct/>
        <w:topLinePunct w:val="0"/>
        <w:bidi w:val="0"/>
        <w:spacing w:line="579" w:lineRule="exact"/>
        <w:ind w:firstLine="624" w:firstLineChars="200"/>
        <w:textAlignment w:val="auto"/>
        <w:outlineLvl w:val="9"/>
        <w:rPr>
          <w:rFonts w:hint="eastAsia" w:ascii="仿宋_GB2312" w:hAnsi="仿宋" w:eastAsia="仿宋_GB2312" w:cs="Times New Roman"/>
          <w:b w:val="0"/>
          <w:bCs w:val="0"/>
          <w:spacing w:val="6"/>
          <w:kern w:val="30"/>
          <w:sz w:val="30"/>
          <w:szCs w:val="30"/>
          <w:highlight w:val="none"/>
          <w:lang w:val="en-US" w:eastAsia="zh-CN" w:bidi="ar-SA"/>
        </w:rPr>
      </w:pPr>
      <w:r>
        <w:rPr>
          <w:rFonts w:hint="eastAsia" w:ascii="黑体" w:hAnsi="黑体" w:eastAsia="黑体" w:cs="黑体"/>
          <w:spacing w:val="6"/>
          <w:sz w:val="30"/>
          <w:szCs w:val="30"/>
          <w:highlight w:val="none"/>
          <w:lang w:val="en-US" w:eastAsia="zh-CN"/>
        </w:rPr>
        <w:t>四、建议</w:t>
      </w:r>
    </w:p>
    <w:p>
      <w:pPr>
        <w:keepNext w:val="0"/>
        <w:keepLines w:val="0"/>
        <w:pageBreakBefore w:val="0"/>
        <w:widowControl w:val="0"/>
        <w:kinsoku/>
        <w:wordWrap/>
        <w:overflowPunct/>
        <w:topLinePunct w:val="0"/>
        <w:autoSpaceDE w:val="0"/>
        <w:autoSpaceDN w:val="0"/>
        <w:bidi w:val="0"/>
        <w:adjustRightInd w:val="0"/>
        <w:snapToGrid w:val="0"/>
        <w:spacing w:line="579" w:lineRule="exact"/>
        <w:ind w:firstLine="604" w:firstLineChars="200"/>
        <w:textAlignment w:val="auto"/>
        <w:outlineLvl w:val="9"/>
        <w:rPr>
          <w:rFonts w:hint="default" w:ascii="楷体_GB2312" w:hAnsi="Calibri" w:eastAsia="楷体_GB2312" w:cs="Times New Roman"/>
          <w:b w:val="0"/>
          <w:bCs w:val="0"/>
          <w:spacing w:val="1"/>
          <w:kern w:val="2"/>
          <w:sz w:val="30"/>
          <w:szCs w:val="30"/>
          <w:highlight w:val="none"/>
          <w:lang w:val="en-US" w:eastAsia="zh-CN" w:bidi="ar-SA"/>
        </w:rPr>
      </w:pPr>
      <w:r>
        <w:rPr>
          <w:rFonts w:hint="eastAsia" w:ascii="楷体_GB2312" w:hAnsi="Calibri" w:eastAsia="楷体_GB2312" w:cs="Times New Roman"/>
          <w:b w:val="0"/>
          <w:bCs w:val="0"/>
          <w:spacing w:val="1"/>
          <w:kern w:val="2"/>
          <w:sz w:val="30"/>
          <w:szCs w:val="30"/>
          <w:highlight w:val="none"/>
          <w:lang w:val="en-US" w:eastAsia="zh-CN" w:bidi="ar-SA"/>
        </w:rPr>
        <w:t>（一）强化过程管控与协同，提高资金使用效益</w:t>
      </w:r>
    </w:p>
    <w:p>
      <w:pPr>
        <w:keepNext w:val="0"/>
        <w:keepLines w:val="0"/>
        <w:pageBreakBefore w:val="0"/>
        <w:widowControl w:val="0"/>
        <w:kinsoku/>
        <w:wordWrap/>
        <w:overflowPunct/>
        <w:topLinePunct w:val="0"/>
        <w:bidi w:val="0"/>
        <w:spacing w:line="579" w:lineRule="exact"/>
        <w:ind w:firstLine="624" w:firstLineChars="200"/>
        <w:textAlignment w:val="auto"/>
        <w:outlineLvl w:val="9"/>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建立“考核－分配－拨付”联动闭环机制，后续项目需同步制定建设、考核、资金兑付三张时间表，实现“考核完成即启动拨付申请”；同时提前梳理资金拨付所需材料清单并在绩效考核阶段同步准备，避免流程卡顿；此外，项目规划阶段需邀请财政局提前介入，精准测算资金拨付全流程周期，在项目实施方案中预留充足缓冲时间，将资金兑付时限纳入项目整体进度计划，杜绝因时间预估偏差导致的跨年度支付问题。</w:t>
      </w:r>
    </w:p>
    <w:p>
      <w:pPr>
        <w:keepNext w:val="0"/>
        <w:keepLines w:val="0"/>
        <w:pageBreakBefore w:val="0"/>
        <w:widowControl w:val="0"/>
        <w:kinsoku/>
        <w:wordWrap/>
        <w:overflowPunct/>
        <w:topLinePunct w:val="0"/>
        <w:autoSpaceDE w:val="0"/>
        <w:autoSpaceDN w:val="0"/>
        <w:bidi w:val="0"/>
        <w:adjustRightInd w:val="0"/>
        <w:snapToGrid w:val="0"/>
        <w:spacing w:line="579" w:lineRule="exact"/>
        <w:ind w:firstLine="604" w:firstLineChars="200"/>
        <w:textAlignment w:val="auto"/>
        <w:outlineLvl w:val="9"/>
        <w:rPr>
          <w:rFonts w:hint="default" w:ascii="仿宋_GB2312" w:hAnsi="仿宋" w:eastAsia="仿宋_GB2312" w:cs="Times New Roman"/>
          <w:b w:val="0"/>
          <w:bCs w:val="0"/>
          <w:spacing w:val="6"/>
          <w:kern w:val="30"/>
          <w:sz w:val="30"/>
          <w:szCs w:val="30"/>
          <w:highlight w:val="none"/>
          <w:lang w:val="en-US" w:eastAsia="zh-CN" w:bidi="ar-SA"/>
        </w:rPr>
      </w:pPr>
      <w:r>
        <w:rPr>
          <w:rFonts w:hint="eastAsia" w:ascii="楷体_GB2312" w:hAnsi="Calibri" w:eastAsia="楷体_GB2312" w:cs="Times New Roman"/>
          <w:b w:val="0"/>
          <w:bCs w:val="0"/>
          <w:spacing w:val="1"/>
          <w:kern w:val="2"/>
          <w:sz w:val="30"/>
          <w:szCs w:val="30"/>
          <w:highlight w:val="none"/>
          <w:lang w:val="en-US" w:eastAsia="zh-CN" w:bidi="ar-SA"/>
        </w:rPr>
        <w:t>（二）完善绩效指标体系，细化量化标准</w:t>
      </w:r>
    </w:p>
    <w:p>
      <w:pPr>
        <w:keepNext w:val="0"/>
        <w:keepLines w:val="0"/>
        <w:pageBreakBefore w:val="0"/>
        <w:widowControl w:val="0"/>
        <w:kinsoku/>
        <w:wordWrap/>
        <w:overflowPunct/>
        <w:topLinePunct w:val="0"/>
        <w:bidi w:val="0"/>
        <w:spacing w:line="579" w:lineRule="exact"/>
        <w:ind w:firstLine="624" w:firstLineChars="200"/>
        <w:textAlignment w:val="auto"/>
        <w:outlineLvl w:val="9"/>
        <w:rPr>
          <w:rFonts w:hint="eastAsia"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 w:val="30"/>
          <w:szCs w:val="30"/>
          <w:highlight w:val="none"/>
          <w:lang w:val="en-US" w:eastAsia="zh-CN"/>
        </w:rPr>
        <w:t>参照《乡村振兴项目绩效评价规范》及先进地区经验补全核心考核维度，新增质量指标（如工程验收合格率≥98%、设施管护达标率≥95%）、时效指标（如资金支付及时率≥98%、任务完成按时率100%）、成本指标（如单位工程量造价控制在标准区间、资金节约率≥3%），构建全维度指标框架；同时明确各指标核算口径，质量指标以《乡村道路工程技术规范》等为依据，时效指标以“考核完成后20个工作日”为节点，成本指标参照嵩明县工程建设造价标准，确保指标可量化、可考核；并将工程验收质量、资金支付时效、单位造价控制等与后续奖补资金挂钩，对未达标村（社区）扣减相应奖补，同时将指标完成情况纳入相关部门、镇（街道）年度绩效考核，压实工作责任；此外建立动态更新机制，每年度收集最新政策要求及行业先进指标体系，邀请专家参与论证，对绩效指标进行优化调整，确保指标贴合项目实际、符合评价规范。</w:t>
      </w:r>
    </w:p>
    <w:p>
      <w:pPr>
        <w:keepNext w:val="0"/>
        <w:keepLines w:val="0"/>
        <w:pageBreakBefore w:val="0"/>
        <w:kinsoku/>
        <w:wordWrap/>
        <w:overflowPunct/>
        <w:topLinePunct w:val="0"/>
        <w:bidi w:val="0"/>
        <w:spacing w:line="579" w:lineRule="exact"/>
        <w:ind w:firstLine="624" w:firstLineChars="200"/>
        <w:rPr>
          <w:rFonts w:hint="eastAsia" w:ascii="仿宋_GB2312" w:hAnsi="仿宋" w:eastAsia="仿宋_GB2312" w:cs="Times New Roman"/>
          <w:spacing w:val="6"/>
          <w:sz w:val="30"/>
          <w:szCs w:val="30"/>
          <w:highlight w:val="yellow"/>
          <w:lang w:val="en-US" w:eastAsia="zh-CN"/>
        </w:rPr>
      </w:pPr>
    </w:p>
    <w:p>
      <w:pPr>
        <w:pStyle w:val="6"/>
        <w:keepNext w:val="0"/>
        <w:keepLines w:val="0"/>
        <w:pageBreakBefore w:val="0"/>
        <w:kinsoku/>
        <w:wordWrap/>
        <w:overflowPunct/>
        <w:topLinePunct w:val="0"/>
        <w:bidi w:val="0"/>
        <w:spacing w:line="579" w:lineRule="exact"/>
        <w:rPr>
          <w:rFonts w:hint="eastAsia" w:ascii="仿宋_GB2312" w:hAnsi="仿宋" w:eastAsia="仿宋_GB2312"/>
          <w:spacing w:val="6"/>
          <w:sz w:val="30"/>
          <w:szCs w:val="30"/>
          <w:highlight w:val="yellow"/>
        </w:rPr>
        <w:sectPr>
          <w:headerReference r:id="rId3" w:type="default"/>
          <w:footerReference r:id="rId4" w:type="default"/>
          <w:footerReference r:id="rId5" w:type="even"/>
          <w:pgSz w:w="11906" w:h="16838"/>
          <w:pgMar w:top="2098" w:right="1474" w:bottom="1985" w:left="1588" w:header="851" w:footer="1474" w:gutter="0"/>
          <w:pgBorders>
            <w:top w:val="none" w:sz="0" w:space="0"/>
            <w:left w:val="none" w:sz="0" w:space="0"/>
            <w:bottom w:val="none" w:sz="0" w:space="0"/>
            <w:right w:val="none" w:sz="0" w:space="0"/>
          </w:pgBorders>
          <w:pgNumType w:fmt="decimal" w:start="1"/>
          <w:cols w:space="425" w:num="1"/>
          <w:docGrid w:linePitch="579" w:charSpace="3247"/>
        </w:sectPr>
      </w:pPr>
    </w:p>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8B012A"/>
    <w:rsid w:val="368B0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Times New Roman" w:eastAsia="仿宋" w:cs="Times New Roman"/>
      <w:kern w:val="30"/>
      <w:sz w:val="30"/>
      <w:szCs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实施方案正文"/>
    <w:basedOn w:val="1"/>
    <w:unhideWhenUsed/>
    <w:qFormat/>
    <w:uiPriority w:val="0"/>
    <w:pPr>
      <w:widowControl w:val="0"/>
      <w:spacing w:beforeLines="0" w:afterLines="0"/>
      <w:ind w:firstLine="566" w:firstLineChars="202"/>
    </w:pPr>
    <w:rPr>
      <w:rFonts w:hint="default"/>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昆明市嵩明县党政机关单位</Company>
  <Pages>7</Pages>
  <Words>0</Words>
  <Characters>0</Characters>
  <Lines>0</Lines>
  <Paragraphs>0</Paragraphs>
  <TotalTime>1</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2026-07-02T07:32:00Z</dcterms:created>
  <dc:creator>Administrator</dc:creator>
  <cp:lastModifiedBy>Administrator</cp:lastModifiedBy>
  <dcterms:modified xsi:type="dcterms:W3CDTF">2026-07-02T07:33:37Z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4BEAFE8665134A49B9C22A406B8F41AC</vt:lpwstr>
  </property>
</Properties>
</file>