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topLinePunct w:val="0"/>
        <w:autoSpaceDE/>
        <w:autoSpaceDN/>
        <w:bidi w:val="0"/>
        <w:spacing w:line="590" w:lineRule="exact"/>
        <w:jc w:val="center"/>
        <w:rPr>
          <w:rFonts w:hint="default" w:hAnsi="仿宋" w:eastAsia="仿宋"/>
          <w:sz w:val="36"/>
          <w:szCs w:val="36"/>
          <w:highlight w:val="none"/>
          <w:lang w:val="en-US" w:eastAsia="zh-CN"/>
        </w:rPr>
      </w:pPr>
      <w:r>
        <w:rPr>
          <w:rFonts w:hint="eastAsia" w:ascii="方正小标宋简体" w:hAnsi="Times New Roman" w:eastAsia="方正小标宋简体" w:cs="Times New Roman"/>
          <w:spacing w:val="6"/>
          <w:kern w:val="36"/>
          <w:sz w:val="44"/>
          <w:szCs w:val="44"/>
          <w:highlight w:val="none"/>
          <w:lang w:val="en-US" w:eastAsia="zh-CN"/>
        </w:rPr>
        <w:t>嵩明县民政局2024年城乡特困人员救助资金绩效评价报告</w:t>
      </w:r>
    </w:p>
    <w:p>
      <w:pPr>
        <w:keepNext w:val="0"/>
        <w:keepLines w:val="0"/>
        <w:pageBreakBefore w:val="0"/>
        <w:kinsoku/>
        <w:wordWrap/>
        <w:topLinePunct w:val="0"/>
        <w:autoSpaceDE/>
        <w:autoSpaceDN/>
        <w:bidi w:val="0"/>
        <w:spacing w:line="590" w:lineRule="exact"/>
        <w:ind w:firstLine="624" w:firstLineChars="200"/>
        <w:rPr>
          <w:rFonts w:ascii="仿宋_GB2312" w:hAnsi="仿宋" w:eastAsia="仿宋_GB2312"/>
          <w:spacing w:val="6"/>
          <w:szCs w:val="30"/>
          <w:highlight w:val="yellow"/>
        </w:rPr>
      </w:pPr>
    </w:p>
    <w:p>
      <w:pPr>
        <w:spacing w:line="590" w:lineRule="exact"/>
        <w:ind w:firstLine="624" w:firstLineChars="200"/>
        <w:outlineLvl w:val="9"/>
        <w:rPr>
          <w:rFonts w:hint="eastAsia" w:eastAsia="黑体"/>
          <w:spacing w:val="6"/>
          <w:sz w:val="30"/>
          <w:szCs w:val="30"/>
          <w:highlight w:val="none"/>
          <w:lang w:val="en-US" w:eastAsia="zh-CN"/>
        </w:rPr>
      </w:pPr>
      <w:r>
        <w:rPr>
          <w:rFonts w:hint="eastAsia" w:ascii="仿宋_GB2312" w:hAnsi="仿宋" w:eastAsia="仿宋_GB2312"/>
          <w:spacing w:val="6"/>
          <w:sz w:val="30"/>
          <w:szCs w:val="30"/>
          <w:highlight w:val="none"/>
          <w:lang w:val="en-US" w:eastAsia="zh-CN"/>
        </w:rPr>
        <w:t>根据《项目支出绩效评价管理办法》（财预〔2020〕10号）、《中共云南省委 云南省政府关于全面实施预算绩效管理的实施意见》（云发〔2019〕11号）、《云南省财政厅关于印发〈云南省项目支出绩效评价管理办法〉的通知》（云财绩〔2020〕11号）、《中共昆明市委昆明市人民政府关于全面实施预算绩效管理的实施意见》（昆发〔2019〕12号）和《嵩明县财政局关于开展2025年财政重点绩效评价及召开相关工作会议的通知》的要求，云南啟元管理咨询有限公司接受嵩明县财政局（以下简称“县财政局”）委托，于2025年10月至12月对嵩明县民政局（以下简称“县民政局”）2024年城乡特困人员救助资金开展绩效评价。现将评价情况报告如下：</w:t>
      </w:r>
    </w:p>
    <w:p>
      <w:pPr>
        <w:keepNext w:val="0"/>
        <w:keepLines w:val="0"/>
        <w:pageBreakBefore w:val="0"/>
        <w:widowControl w:val="0"/>
        <w:kinsoku/>
        <w:wordWrap/>
        <w:overflowPunct/>
        <w:topLinePunct w:val="0"/>
        <w:autoSpaceDE/>
        <w:autoSpaceDN/>
        <w:bidi w:val="0"/>
        <w:adjustRightInd/>
        <w:snapToGrid/>
        <w:spacing w:line="590" w:lineRule="exact"/>
        <w:ind w:firstLine="624" w:firstLineChars="200"/>
        <w:textAlignment w:val="auto"/>
        <w:rPr>
          <w:rFonts w:hint="eastAsia" w:eastAsia="黑体"/>
          <w:spacing w:val="6"/>
          <w:sz w:val="30"/>
          <w:szCs w:val="30"/>
          <w:highlight w:val="none"/>
        </w:rPr>
      </w:pPr>
      <w:r>
        <w:rPr>
          <w:rFonts w:hint="eastAsia" w:eastAsia="黑体"/>
          <w:spacing w:val="6"/>
          <w:sz w:val="30"/>
          <w:szCs w:val="30"/>
          <w:highlight w:val="none"/>
          <w:lang w:val="en-US" w:eastAsia="zh-CN"/>
        </w:rPr>
        <w:t>一、</w:t>
      </w:r>
      <w:r>
        <w:rPr>
          <w:rFonts w:hint="eastAsia" w:eastAsia="黑体"/>
          <w:spacing w:val="6"/>
          <w:sz w:val="30"/>
          <w:szCs w:val="30"/>
          <w:highlight w:val="none"/>
        </w:rPr>
        <w:t>基本情况</w:t>
      </w:r>
    </w:p>
    <w:p>
      <w:pPr>
        <w:keepNext w:val="0"/>
        <w:keepLines w:val="0"/>
        <w:pageBreakBefore w:val="0"/>
        <w:widowControl w:val="0"/>
        <w:kinsoku/>
        <w:wordWrap/>
        <w:overflowPunct/>
        <w:topLinePunct w:val="0"/>
        <w:autoSpaceDE/>
        <w:autoSpaceDN/>
        <w:bidi w:val="0"/>
        <w:adjustRightInd/>
        <w:snapToGrid/>
        <w:spacing w:line="590" w:lineRule="exact"/>
        <w:ind w:firstLine="624" w:firstLineChars="200"/>
        <w:textAlignment w:val="auto"/>
        <w:rPr>
          <w:rFonts w:hint="eastAsia" w:ascii="仿宋_GB2312" w:hAnsi="仿宋" w:eastAsia="仿宋_GB2312" w:cs="Times New Roman"/>
          <w:spacing w:val="6"/>
          <w:sz w:val="30"/>
          <w:szCs w:val="30"/>
          <w:highlight w:val="none"/>
          <w:lang w:val="en-US" w:eastAsia="zh-CN"/>
        </w:rPr>
      </w:pPr>
      <w:r>
        <w:rPr>
          <w:rFonts w:hint="eastAsia" w:ascii="仿宋_GB2312" w:hAnsi="仿宋" w:eastAsia="仿宋_GB2312" w:cs="Times New Roman"/>
          <w:spacing w:val="6"/>
          <w:sz w:val="30"/>
          <w:szCs w:val="30"/>
          <w:highlight w:val="none"/>
          <w:lang w:val="en-US" w:eastAsia="zh-CN"/>
        </w:rPr>
        <w:t>为深入贯彻新时代中国特色社会主义“五位一体”总体布局、践行以人民为中心发展思想的重要民生工程，项目以习近平新时代中国特色社会主义思想为指导，严格落实党中央、省州市关于民政工作的重要部署及《云南省民政厅关于印发云南省特困人员认定实施细则的通知》（云民规〔2021〕3号）等文件要求，将无劳动能力、无生活来源、无法定赡养抚养扶养义务人或者其法定义务人无履行能力的群体列为救助对象，围绕基本生活、照料护理、医疗保障、丧葬服务四大核心内容提供救助供养，且自2024年7月1日起，全县集中与分散供养特困人员基本生活标准统一提高至956元/人/月，该标准不低于低保标准1.3倍，照料护理补贴则按特困人员生活自理能力分档执行，通过统一保障标准实现全市统筹衔接，有效消除区域差异导致的保障不均衡问题，精准解决受灾群众临时生活困难、特殊群体保障不足等现实问题，切实让包括特困人员在内的困难群体共享中国式现代化发展成果。</w:t>
      </w:r>
    </w:p>
    <w:p>
      <w:pPr>
        <w:keepNext w:val="0"/>
        <w:keepLines w:val="0"/>
        <w:pageBreakBefore w:val="0"/>
        <w:widowControl w:val="0"/>
        <w:kinsoku/>
        <w:wordWrap/>
        <w:overflowPunct/>
        <w:topLinePunct w:val="0"/>
        <w:autoSpaceDE/>
        <w:autoSpaceDN/>
        <w:bidi w:val="0"/>
        <w:adjustRightInd/>
        <w:snapToGrid/>
        <w:spacing w:line="590" w:lineRule="exact"/>
        <w:ind w:firstLine="624" w:firstLineChars="200"/>
        <w:textAlignment w:val="auto"/>
        <w:rPr>
          <w:rFonts w:hint="default" w:ascii="仿宋_GB2312" w:hAnsi="仿宋" w:eastAsia="仿宋_GB2312" w:cs="Times New Roman"/>
          <w:spacing w:val="6"/>
          <w:sz w:val="30"/>
          <w:szCs w:val="30"/>
          <w:highlight w:val="none"/>
          <w:lang w:val="en-US" w:eastAsia="zh-CN"/>
        </w:rPr>
      </w:pPr>
      <w:r>
        <w:rPr>
          <w:rFonts w:hint="eastAsia" w:ascii="仿宋_GB2312" w:hAnsi="仿宋" w:eastAsia="仿宋_GB2312" w:cs="Times New Roman"/>
          <w:spacing w:val="6"/>
          <w:sz w:val="30"/>
          <w:szCs w:val="30"/>
          <w:highlight w:val="none"/>
          <w:lang w:val="en-US" w:eastAsia="zh-CN"/>
        </w:rPr>
        <w:t>2024年共安排资金857.98万元。其中：中央及省级资金627.98万元、市级资金13万元、县级资金217万元。截至2024年12月31日，累计支出643.27万元，整体资金执行率75.03%。其中，中央及省级资金、市级资金均已执行完毕。</w:t>
      </w:r>
    </w:p>
    <w:p>
      <w:pPr>
        <w:keepNext w:val="0"/>
        <w:keepLines w:val="0"/>
        <w:pageBreakBefore w:val="0"/>
        <w:widowControl w:val="0"/>
        <w:kinsoku/>
        <w:wordWrap/>
        <w:overflowPunct/>
        <w:topLinePunct w:val="0"/>
        <w:autoSpaceDE/>
        <w:autoSpaceDN/>
        <w:bidi w:val="0"/>
        <w:adjustRightInd/>
        <w:snapToGrid/>
        <w:spacing w:line="590" w:lineRule="exact"/>
        <w:ind w:firstLine="624" w:firstLineChars="200"/>
        <w:textAlignment w:val="auto"/>
        <w:rPr>
          <w:rFonts w:hint="eastAsia" w:eastAsia="黑体"/>
          <w:spacing w:val="6"/>
          <w:sz w:val="30"/>
          <w:szCs w:val="30"/>
          <w:highlight w:val="none"/>
          <w:lang w:val="en-US" w:eastAsia="zh-CN"/>
        </w:rPr>
      </w:pPr>
      <w:r>
        <w:rPr>
          <w:rFonts w:hint="eastAsia" w:eastAsia="黑体"/>
          <w:spacing w:val="6"/>
          <w:sz w:val="30"/>
          <w:szCs w:val="30"/>
          <w:highlight w:val="none"/>
          <w:lang w:val="en-US" w:eastAsia="zh-CN"/>
        </w:rPr>
        <w:t>二、绩效评价结论</w:t>
      </w:r>
    </w:p>
    <w:p>
      <w:pPr>
        <w:spacing w:line="590" w:lineRule="exact"/>
        <w:ind w:firstLine="624" w:firstLineChars="200"/>
        <w:outlineLvl w:val="9"/>
        <w:rPr>
          <w:rFonts w:hint="eastAsia" w:ascii="仿宋_GB2312" w:hAnsi="仿宋" w:eastAsia="仿宋_GB2312"/>
          <w:spacing w:val="6"/>
          <w:sz w:val="30"/>
          <w:szCs w:val="30"/>
          <w:highlight w:val="none"/>
          <w:lang w:val="en-US" w:eastAsia="zh-CN"/>
        </w:rPr>
      </w:pPr>
      <w:bookmarkStart w:id="0" w:name="_Toc22444"/>
      <w:r>
        <w:rPr>
          <w:rFonts w:hint="eastAsia" w:ascii="仿宋_GB2312" w:hAnsi="仿宋" w:eastAsia="仿宋_GB2312" w:cs="Times New Roman"/>
          <w:spacing w:val="6"/>
          <w:sz w:val="30"/>
          <w:szCs w:val="30"/>
          <w:highlight w:val="none"/>
          <w:lang w:val="en-US" w:eastAsia="zh-CN"/>
        </w:rPr>
        <w:t>经评价，嵩明县民政局2024年城乡特困人员救助资金绩效评价得分89.54分，评价等级为“良”。嵩明县民政局2024年城乡特困人员救助资金项目</w:t>
      </w:r>
      <w:r>
        <w:rPr>
          <w:rFonts w:hint="eastAsia" w:ascii="仿宋_GB2312" w:hAnsi="Calibri" w:eastAsia="仿宋_GB2312"/>
          <w:spacing w:val="6"/>
          <w:sz w:val="30"/>
          <w:szCs w:val="30"/>
          <w:highlight w:val="none"/>
        </w:rPr>
        <w:t>整体运行规范、核心目标基本达成，项目立项依据充分、程序规范，预算编制科学合理，资金使用合规有序，产出与效益层面成效显著——产出类指标得分率100%，实现了20名特困人员应保尽保，资金拨付精准、补助发放及时、执行标准合规，筑牢了民生保障底线；效益类指标得分率95.13%，有效满足了特困人员核心生活需求，政策知晓率达85.39%，综合满意度高达99.66%，社会效益突出，充分践行了以人民为中心的发展思想，但项目仍存在明显短板，决策类指标得分率73.33%，绩效目标表述笼统、指标口径模糊且维度不全，可考核性不足，过程类指标得分率75%，</w:t>
      </w:r>
      <w:r>
        <w:rPr>
          <w:rFonts w:hint="eastAsia" w:ascii="仿宋_GB2312" w:hAnsi="Calibri" w:eastAsia="仿宋_GB2312"/>
          <w:spacing w:val="6"/>
          <w:sz w:val="30"/>
          <w:szCs w:val="30"/>
          <w:highlight w:val="none"/>
          <w:lang w:eastAsia="zh-CN"/>
        </w:rPr>
        <w:t>县级预算资金</w:t>
      </w:r>
      <w:r>
        <w:rPr>
          <w:rFonts w:hint="eastAsia" w:ascii="仿宋_GB2312" w:hAnsi="Calibri" w:eastAsia="仿宋_GB2312"/>
          <w:spacing w:val="6"/>
          <w:sz w:val="30"/>
          <w:szCs w:val="30"/>
          <w:highlight w:val="none"/>
        </w:rPr>
        <w:t>执行效率偏</w:t>
      </w:r>
      <w:bookmarkStart w:id="2" w:name="_GoBack"/>
      <w:bookmarkEnd w:id="2"/>
      <w:r>
        <w:rPr>
          <w:rFonts w:hint="eastAsia" w:ascii="仿宋_GB2312" w:hAnsi="Calibri" w:eastAsia="仿宋_GB2312"/>
          <w:spacing w:val="6"/>
          <w:sz w:val="30"/>
          <w:szCs w:val="30"/>
          <w:highlight w:val="none"/>
        </w:rPr>
        <w:t>低，217万元县级预算资金仅支出2.74万元</w:t>
      </w:r>
      <w:r>
        <w:rPr>
          <w:rFonts w:hint="eastAsia" w:ascii="仿宋_GB2312" w:hAnsi="Calibri" w:eastAsia="仿宋_GB2312"/>
          <w:spacing w:val="6"/>
          <w:sz w:val="30"/>
          <w:szCs w:val="30"/>
          <w:highlight w:val="none"/>
          <w:lang w:eastAsia="zh-CN"/>
        </w:rPr>
        <w:t>。</w:t>
      </w:r>
      <w:r>
        <w:rPr>
          <w:rFonts w:hint="eastAsia" w:ascii="仿宋_GB2312" w:hAnsi="Calibri" w:eastAsia="仿宋_GB2312"/>
          <w:spacing w:val="6"/>
          <w:sz w:val="30"/>
          <w:szCs w:val="30"/>
          <w:highlight w:val="none"/>
        </w:rPr>
        <w:t>资金闲置未充分发挥作用，后续需通过优化绩效指标体系、简化业务流程、强化进度管控等措施提质增效，确保预算资金精准高效使用，更好保障特困群体合法权益。</w:t>
      </w:r>
      <w:bookmarkEnd w:id="0"/>
    </w:p>
    <w:p>
      <w:pPr>
        <w:keepNext w:val="0"/>
        <w:keepLines w:val="0"/>
        <w:pageBreakBefore w:val="0"/>
        <w:widowControl w:val="0"/>
        <w:kinsoku/>
        <w:wordWrap/>
        <w:overflowPunct/>
        <w:topLinePunct w:val="0"/>
        <w:autoSpaceDE/>
        <w:autoSpaceDN/>
        <w:bidi w:val="0"/>
        <w:adjustRightInd/>
        <w:snapToGrid/>
        <w:spacing w:line="590" w:lineRule="exact"/>
        <w:ind w:firstLine="624" w:firstLineChars="200"/>
        <w:textAlignment w:val="auto"/>
        <w:rPr>
          <w:rFonts w:hint="eastAsia" w:eastAsia="黑体"/>
          <w:spacing w:val="6"/>
          <w:sz w:val="30"/>
          <w:szCs w:val="30"/>
          <w:highlight w:val="none"/>
          <w:lang w:val="en-US" w:eastAsia="zh-CN"/>
        </w:rPr>
      </w:pPr>
      <w:r>
        <w:rPr>
          <w:rFonts w:hint="eastAsia" w:eastAsia="黑体"/>
          <w:spacing w:val="6"/>
          <w:sz w:val="30"/>
          <w:szCs w:val="30"/>
          <w:highlight w:val="none"/>
          <w:lang w:val="en-US" w:eastAsia="zh-CN"/>
        </w:rPr>
        <w:t>三、存在的主要问题</w:t>
      </w:r>
    </w:p>
    <w:p>
      <w:pPr>
        <w:spacing w:line="590" w:lineRule="exact"/>
        <w:ind w:firstLine="624" w:firstLineChars="200"/>
        <w:outlineLvl w:val="9"/>
        <w:rPr>
          <w:rFonts w:hint="eastAsia" w:ascii="楷体_GB2312" w:hAnsi="楷体_GB2312" w:eastAsia="楷体_GB2312" w:cs="楷体_GB2312"/>
          <w:spacing w:val="6"/>
          <w:sz w:val="30"/>
          <w:szCs w:val="30"/>
          <w:highlight w:val="none"/>
          <w:lang w:val="en-US" w:eastAsia="zh-CN"/>
        </w:rPr>
      </w:pPr>
      <w:r>
        <w:rPr>
          <w:rFonts w:hint="eastAsia" w:ascii="楷体_GB2312" w:hAnsi="楷体_GB2312" w:eastAsia="楷体_GB2312" w:cs="楷体_GB2312"/>
          <w:spacing w:val="6"/>
          <w:sz w:val="30"/>
          <w:szCs w:val="30"/>
          <w:highlight w:val="none"/>
          <w:lang w:val="en-US" w:eastAsia="zh-CN"/>
        </w:rPr>
        <w:t>（一）绩效目标与指标体系不完善</w:t>
      </w:r>
    </w:p>
    <w:p>
      <w:pPr>
        <w:keepNext w:val="0"/>
        <w:keepLines w:val="0"/>
        <w:pageBreakBefore w:val="0"/>
        <w:widowControl w:val="0"/>
        <w:kinsoku/>
        <w:wordWrap/>
        <w:overflowPunct/>
        <w:topLinePunct w:val="0"/>
        <w:autoSpaceDE/>
        <w:autoSpaceDN/>
        <w:bidi w:val="0"/>
        <w:adjustRightInd/>
        <w:snapToGrid/>
        <w:spacing w:line="590" w:lineRule="exact"/>
        <w:ind w:firstLine="624" w:firstLineChars="200"/>
        <w:textAlignment w:val="auto"/>
        <w:rPr>
          <w:rFonts w:hint="eastAsia" w:ascii="仿宋_GB2312" w:hAnsi="仿宋" w:eastAsia="仿宋_GB2312" w:cs="Times New Roman"/>
          <w:spacing w:val="6"/>
          <w:sz w:val="30"/>
          <w:szCs w:val="30"/>
          <w:highlight w:val="none"/>
          <w:lang w:val="en-US" w:eastAsia="zh-CN"/>
        </w:rPr>
      </w:pPr>
      <w:r>
        <w:rPr>
          <w:rFonts w:hint="eastAsia" w:ascii="仿宋_GB2312" w:hAnsi="仿宋" w:eastAsia="仿宋_GB2312" w:cs="Times New Roman"/>
          <w:spacing w:val="6"/>
          <w:sz w:val="30"/>
          <w:szCs w:val="30"/>
          <w:highlight w:val="none"/>
          <w:lang w:val="en-US" w:eastAsia="zh-CN"/>
        </w:rPr>
        <w:t>绩效目标表述笼统，未明确具体量化效益及与预算资金的关联；指标口径模糊、维度不全，缺少质量、时效、成本类指标，可操作性与考核性不足。主要是由于对绩效目标的导向作用认识不到位，将其视为预算申报的程序性要求，缺乏“以绩效为核心”的管理思维；相关工作人员专业能力欠缺，未结合业务实际、预算规模、救助需求进行精细化设计，对指标量化方法、口径规范、维度覆盖等知识掌握不足，导致目标与指标流于形式。</w:t>
      </w:r>
    </w:p>
    <w:p>
      <w:pPr>
        <w:spacing w:line="590" w:lineRule="exact"/>
        <w:ind w:firstLine="624" w:firstLineChars="200"/>
        <w:outlineLvl w:val="9"/>
        <w:rPr>
          <w:rFonts w:hint="default" w:ascii="楷体_GB2312" w:hAnsi="楷体_GB2312" w:eastAsia="楷体_GB2312" w:cs="楷体_GB2312"/>
          <w:spacing w:val="6"/>
          <w:sz w:val="30"/>
          <w:szCs w:val="30"/>
          <w:highlight w:val="none"/>
          <w:lang w:val="en-US" w:eastAsia="zh-CN"/>
        </w:rPr>
      </w:pPr>
      <w:r>
        <w:rPr>
          <w:rFonts w:hint="eastAsia" w:ascii="楷体_GB2312" w:hAnsi="楷体_GB2312" w:eastAsia="楷体_GB2312" w:cs="楷体_GB2312"/>
          <w:spacing w:val="6"/>
          <w:sz w:val="30"/>
          <w:szCs w:val="30"/>
          <w:highlight w:val="none"/>
          <w:lang w:val="en-US" w:eastAsia="zh-CN"/>
        </w:rPr>
        <w:t>（二）预算执行度较低</w:t>
      </w:r>
    </w:p>
    <w:p>
      <w:pPr>
        <w:keepNext w:val="0"/>
        <w:keepLines w:val="0"/>
        <w:pageBreakBefore w:val="0"/>
        <w:widowControl w:val="0"/>
        <w:kinsoku/>
        <w:wordWrap/>
        <w:overflowPunct/>
        <w:topLinePunct w:val="0"/>
        <w:autoSpaceDE/>
        <w:autoSpaceDN/>
        <w:bidi w:val="0"/>
        <w:adjustRightInd/>
        <w:snapToGrid/>
        <w:spacing w:line="590" w:lineRule="exact"/>
        <w:ind w:firstLine="624" w:firstLineChars="200"/>
        <w:textAlignment w:val="auto"/>
        <w:rPr>
          <w:rFonts w:hint="eastAsia" w:ascii="仿宋_GB2312" w:hAnsi="仿宋" w:eastAsia="仿宋_GB2312" w:cs="Times New Roman"/>
          <w:spacing w:val="6"/>
          <w:sz w:val="30"/>
          <w:szCs w:val="30"/>
          <w:highlight w:val="none"/>
          <w:lang w:val="en-US" w:eastAsia="zh-CN"/>
        </w:rPr>
      </w:pPr>
      <w:r>
        <w:rPr>
          <w:rFonts w:hint="eastAsia" w:ascii="仿宋_GB2312" w:hAnsi="仿宋" w:eastAsia="仿宋_GB2312" w:cs="Times New Roman"/>
          <w:spacing w:val="6"/>
          <w:sz w:val="30"/>
          <w:szCs w:val="30"/>
          <w:highlight w:val="none"/>
          <w:lang w:val="en-US" w:eastAsia="zh-CN"/>
        </w:rPr>
        <w:t>县级预算资金执行率偏低，存在资金闲置问题，资金使用与预算计划、项目目标衔接不畅。主要是缺乏预算执行动态监控与督促机制，未定期排查进度卡点，对滞后问题未及时整改；前期对特困人员数量、救助需求的动态摸排不够精准，预算编制与实际执行需求存在偏差，间接影响资金拨付进度。</w:t>
      </w:r>
    </w:p>
    <w:p>
      <w:pPr>
        <w:spacing w:line="590" w:lineRule="exact"/>
        <w:ind w:firstLine="624" w:firstLineChars="200"/>
        <w:outlineLvl w:val="9"/>
        <w:rPr>
          <w:rFonts w:hint="eastAsia" w:ascii="仿宋_GB2312" w:hAnsi="仿宋" w:eastAsia="仿宋_GB2312" w:cs="Times New Roman"/>
          <w:b w:val="0"/>
          <w:bCs w:val="0"/>
          <w:spacing w:val="6"/>
          <w:kern w:val="30"/>
          <w:sz w:val="30"/>
          <w:szCs w:val="30"/>
          <w:highlight w:val="none"/>
          <w:lang w:val="en-US" w:eastAsia="zh-CN" w:bidi="ar-SA"/>
        </w:rPr>
      </w:pPr>
      <w:bookmarkStart w:id="1" w:name="_Toc19369"/>
      <w:r>
        <w:rPr>
          <w:rFonts w:hint="eastAsia" w:ascii="黑体" w:hAnsi="黑体" w:eastAsia="黑体" w:cs="黑体"/>
          <w:spacing w:val="6"/>
          <w:sz w:val="30"/>
          <w:szCs w:val="30"/>
          <w:highlight w:val="none"/>
          <w:lang w:val="en-US" w:eastAsia="zh-CN"/>
        </w:rPr>
        <w:t>四、建议</w:t>
      </w:r>
      <w:bookmarkEnd w:id="1"/>
    </w:p>
    <w:p>
      <w:pPr>
        <w:spacing w:line="590" w:lineRule="exact"/>
        <w:ind w:firstLine="624" w:firstLineChars="200"/>
        <w:outlineLvl w:val="9"/>
        <w:rPr>
          <w:rFonts w:hint="eastAsia" w:ascii="楷体_GB2312" w:hAnsi="楷体_GB2312" w:eastAsia="楷体_GB2312" w:cs="楷体_GB2312"/>
          <w:spacing w:val="6"/>
          <w:sz w:val="30"/>
          <w:szCs w:val="30"/>
          <w:highlight w:val="none"/>
          <w:lang w:val="en-US" w:eastAsia="zh-CN"/>
        </w:rPr>
      </w:pPr>
      <w:r>
        <w:rPr>
          <w:rFonts w:hint="eastAsia" w:ascii="楷体_GB2312" w:hAnsi="楷体_GB2312" w:eastAsia="楷体_GB2312" w:cs="楷体_GB2312"/>
          <w:spacing w:val="6"/>
          <w:sz w:val="30"/>
          <w:szCs w:val="30"/>
          <w:highlight w:val="none"/>
          <w:lang w:val="en-US" w:eastAsia="zh-CN"/>
        </w:rPr>
        <w:t>（一）重构绩效目标与指标体系，提升精准性与可操作性</w:t>
      </w:r>
    </w:p>
    <w:p>
      <w:pPr>
        <w:keepNext w:val="0"/>
        <w:keepLines w:val="0"/>
        <w:pageBreakBefore w:val="0"/>
        <w:widowControl w:val="0"/>
        <w:kinsoku/>
        <w:wordWrap/>
        <w:overflowPunct/>
        <w:topLinePunct w:val="0"/>
        <w:autoSpaceDE/>
        <w:autoSpaceDN/>
        <w:bidi w:val="0"/>
        <w:adjustRightInd/>
        <w:snapToGrid/>
        <w:spacing w:line="590" w:lineRule="exact"/>
        <w:ind w:firstLine="624" w:firstLineChars="200"/>
        <w:textAlignment w:val="auto"/>
        <w:rPr>
          <w:rFonts w:hint="eastAsia" w:ascii="仿宋_GB2312" w:hAnsi="仿宋" w:eastAsia="仿宋_GB2312" w:cs="Times New Roman"/>
          <w:spacing w:val="6"/>
          <w:sz w:val="30"/>
          <w:szCs w:val="30"/>
          <w:highlight w:val="none"/>
          <w:lang w:val="en-US" w:eastAsia="zh-CN"/>
        </w:rPr>
      </w:pPr>
      <w:r>
        <w:rPr>
          <w:rFonts w:hint="eastAsia" w:ascii="仿宋_GB2312" w:hAnsi="仿宋" w:eastAsia="仿宋_GB2312" w:cs="Times New Roman"/>
          <w:spacing w:val="6"/>
          <w:sz w:val="30"/>
          <w:szCs w:val="30"/>
          <w:highlight w:val="none"/>
          <w:lang w:val="en-US" w:eastAsia="zh-CN"/>
        </w:rPr>
        <w:t>细化绩效目标：明确表述为“2024年实现全县符合条件特困人员保障覆盖率100%、救助标准达标率100%、预算资金使用效率不低于95%，特困人员月均基本生活保障水平较上年稳步提升”，直接关联预算与效益。</w:t>
      </w:r>
    </w:p>
    <w:p>
      <w:pPr>
        <w:keepNext w:val="0"/>
        <w:keepLines w:val="0"/>
        <w:pageBreakBefore w:val="0"/>
        <w:widowControl w:val="0"/>
        <w:kinsoku/>
        <w:wordWrap/>
        <w:overflowPunct/>
        <w:topLinePunct w:val="0"/>
        <w:autoSpaceDE/>
        <w:autoSpaceDN/>
        <w:bidi w:val="0"/>
        <w:adjustRightInd/>
        <w:snapToGrid/>
        <w:spacing w:line="590" w:lineRule="exact"/>
        <w:ind w:firstLine="624" w:firstLineChars="200"/>
        <w:textAlignment w:val="auto"/>
        <w:rPr>
          <w:rFonts w:hint="eastAsia" w:ascii="仿宋_GB2312" w:hAnsi="仿宋" w:eastAsia="仿宋_GB2312" w:cs="Times New Roman"/>
          <w:spacing w:val="6"/>
          <w:sz w:val="30"/>
          <w:szCs w:val="30"/>
          <w:highlight w:val="none"/>
          <w:lang w:val="en-US" w:eastAsia="zh-CN"/>
        </w:rPr>
      </w:pPr>
      <w:r>
        <w:rPr>
          <w:rFonts w:hint="eastAsia" w:ascii="仿宋_GB2312" w:hAnsi="仿宋" w:eastAsia="仿宋_GB2312" w:cs="Times New Roman"/>
          <w:spacing w:val="6"/>
          <w:sz w:val="30"/>
          <w:szCs w:val="30"/>
          <w:highlight w:val="none"/>
          <w:lang w:val="en-US" w:eastAsia="zh-CN"/>
        </w:rPr>
        <w:t>规范完善指标：修订模糊指标口径（如“全县符合条件特困人员纳入保障比例≥100%”），补充质量指标（认定准确率≥99%）、时效指标（审批办结时限≤20个工作日）、成本指标（行政运行成本占比≤3%），确保全覆盖、可考核。</w:t>
      </w:r>
    </w:p>
    <w:p>
      <w:pPr>
        <w:spacing w:line="590" w:lineRule="exact"/>
        <w:ind w:firstLine="624" w:firstLineChars="200"/>
        <w:outlineLvl w:val="9"/>
        <w:rPr>
          <w:rFonts w:hint="eastAsia" w:ascii="楷体_GB2312" w:hAnsi="楷体_GB2312" w:eastAsia="楷体_GB2312" w:cs="楷体_GB2312"/>
          <w:spacing w:val="6"/>
          <w:sz w:val="30"/>
          <w:szCs w:val="30"/>
          <w:highlight w:val="none"/>
          <w:lang w:val="en-US" w:eastAsia="zh-CN"/>
        </w:rPr>
      </w:pPr>
      <w:r>
        <w:rPr>
          <w:rFonts w:hint="eastAsia" w:ascii="楷体_GB2312" w:hAnsi="楷体_GB2312" w:eastAsia="楷体_GB2312" w:cs="楷体_GB2312"/>
          <w:spacing w:val="6"/>
          <w:sz w:val="30"/>
          <w:szCs w:val="30"/>
          <w:highlight w:val="none"/>
          <w:lang w:val="en-US" w:eastAsia="zh-CN"/>
        </w:rPr>
        <w:t>（二）优化预算执行流程，盘活闲置资金</w:t>
      </w:r>
    </w:p>
    <w:p>
      <w:pPr>
        <w:keepNext w:val="0"/>
        <w:keepLines w:val="0"/>
        <w:pageBreakBefore w:val="0"/>
        <w:widowControl w:val="0"/>
        <w:kinsoku/>
        <w:wordWrap/>
        <w:overflowPunct/>
        <w:topLinePunct w:val="0"/>
        <w:autoSpaceDE/>
        <w:autoSpaceDN/>
        <w:bidi w:val="0"/>
        <w:adjustRightInd/>
        <w:snapToGrid/>
        <w:spacing w:line="590" w:lineRule="exact"/>
        <w:ind w:firstLine="624" w:firstLineChars="200"/>
        <w:textAlignment w:val="auto"/>
        <w:rPr>
          <w:rFonts w:hint="eastAsia" w:ascii="仿宋_GB2312" w:hAnsi="仿宋" w:eastAsia="仿宋_GB2312" w:cs="Times New Roman"/>
          <w:spacing w:val="6"/>
          <w:sz w:val="30"/>
          <w:szCs w:val="30"/>
          <w:highlight w:val="none"/>
          <w:lang w:val="en-US" w:eastAsia="zh-CN"/>
        </w:rPr>
      </w:pPr>
      <w:r>
        <w:rPr>
          <w:rFonts w:hint="eastAsia" w:ascii="仿宋_GB2312" w:hAnsi="仿宋" w:eastAsia="仿宋_GB2312" w:cs="Times New Roman"/>
          <w:spacing w:val="6"/>
          <w:sz w:val="30"/>
          <w:szCs w:val="30"/>
          <w:highlight w:val="none"/>
          <w:lang w:val="en-US" w:eastAsia="zh-CN"/>
        </w:rPr>
        <w:t>简化审批与拨付流程：开通线上认定申请渠道，实现各环节信息共享，建立民政－财政联动机制。</w:t>
      </w:r>
    </w:p>
    <w:p>
      <w:pPr>
        <w:keepNext w:val="0"/>
        <w:keepLines w:val="0"/>
        <w:pageBreakBefore w:val="0"/>
        <w:widowControl w:val="0"/>
        <w:kinsoku/>
        <w:wordWrap/>
        <w:overflowPunct/>
        <w:topLinePunct w:val="0"/>
        <w:autoSpaceDE/>
        <w:autoSpaceDN/>
        <w:bidi w:val="0"/>
        <w:adjustRightInd/>
        <w:snapToGrid/>
        <w:spacing w:line="590" w:lineRule="exact"/>
        <w:ind w:firstLine="624" w:firstLineChars="200"/>
        <w:textAlignment w:val="auto"/>
        <w:rPr>
          <w:rFonts w:hint="eastAsia" w:ascii="仿宋_GB2312" w:hAnsi="仿宋" w:eastAsia="仿宋_GB2312" w:cs="Times New Roman"/>
          <w:spacing w:val="6"/>
          <w:sz w:val="30"/>
          <w:szCs w:val="30"/>
          <w:highlight w:val="none"/>
          <w:lang w:val="en-US" w:eastAsia="zh-CN"/>
        </w:rPr>
      </w:pPr>
      <w:r>
        <w:rPr>
          <w:rFonts w:hint="eastAsia" w:ascii="仿宋_GB2312" w:hAnsi="仿宋" w:eastAsia="仿宋_GB2312" w:cs="Times New Roman"/>
          <w:spacing w:val="6"/>
          <w:sz w:val="30"/>
          <w:szCs w:val="30"/>
          <w:highlight w:val="none"/>
          <w:lang w:val="en-US" w:eastAsia="zh-CN"/>
        </w:rPr>
        <w:t>强化进度管控：实行“周统计、月通报、季督查”制度，设立季度执行预警线，触发预警后需提交整改方案。</w:t>
      </w:r>
    </w:p>
    <w:p>
      <w:pPr>
        <w:keepNext w:val="0"/>
        <w:keepLines w:val="0"/>
        <w:pageBreakBefore w:val="0"/>
        <w:widowControl w:val="0"/>
        <w:kinsoku/>
        <w:wordWrap/>
        <w:overflowPunct/>
        <w:topLinePunct w:val="0"/>
        <w:autoSpaceDE/>
        <w:autoSpaceDN/>
        <w:bidi w:val="0"/>
        <w:adjustRightInd/>
        <w:snapToGrid/>
        <w:spacing w:line="590" w:lineRule="exact"/>
        <w:ind w:firstLine="624" w:firstLineChars="200"/>
        <w:textAlignment w:val="auto"/>
        <w:rPr>
          <w:rFonts w:hint="eastAsia" w:ascii="黑体" w:hAnsi="黑体" w:eastAsia="黑体" w:cs="黑体"/>
          <w:spacing w:val="6"/>
          <w:sz w:val="30"/>
          <w:szCs w:val="30"/>
          <w:highlight w:val="none"/>
          <w:lang w:val="en-US" w:eastAsia="zh-CN"/>
        </w:rPr>
      </w:pPr>
      <w:r>
        <w:rPr>
          <w:rFonts w:hint="eastAsia" w:ascii="仿宋_GB2312" w:hAnsi="仿宋" w:eastAsia="仿宋_GB2312" w:cs="Times New Roman"/>
          <w:spacing w:val="6"/>
          <w:sz w:val="30"/>
          <w:szCs w:val="30"/>
          <w:highlight w:val="none"/>
          <w:lang w:val="en-US" w:eastAsia="zh-CN"/>
        </w:rPr>
        <w:t>精准匹配预算与需求：年初开展特困人员动态摸排，结合政策调整、人口变动测算资金需求。</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90611FE"/>
    <w:rsid w:val="41AF5D15"/>
    <w:rsid w:val="790611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 w:hAnsi="Times New Roman" w:eastAsia="仿宋" w:cs="Times New Roman"/>
      <w:kern w:val="30"/>
      <w:sz w:val="30"/>
      <w:szCs w:val="21"/>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昆明市嵩明县党政机关单位</Company>
  <Pages>4</Pages>
  <Words>0</Words>
  <Characters>0</Characters>
  <Lines>0</Lines>
  <Paragraphs>0</Paragraphs>
  <TotalTime>11</TotalTime>
  <ScaleCrop>false</ScaleCrop>
  <LinksUpToDate>false</LinksUpToDate>
  <CharactersWithSpaces>0</CharactersWithSpaces>
  <Application>WPS Office_11.8.2.12309_F1E327BC-269C-435d-A152-05C5408002CA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2026-07-02T07:34:00Z</dcterms:created>
  <dc:creator>Administrator</dc:creator>
  <cp:lastModifiedBy>Administrator</cp:lastModifiedBy>
  <dcterms:modified xsi:type="dcterms:W3CDTF">2026-07-02T07:46:07Z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2052-11.8.2.12309</vt:lpwstr>
  </property>
  <property fmtid="{D5CDD505-2E9C-101B-9397-08002B2CF9AE}" pid="3" name="ICV">
    <vt:lpwstr>44B126E032774D70AA67308714C465DC</vt:lpwstr>
  </property>
</Properties>
</file>