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E1111">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Style w:val="29"/>
          <w:rFonts w:hint="default" w:ascii="Times New Roman" w:hAnsi="Times New Roman" w:eastAsia="方正小标宋简体" w:cs="Times New Roman"/>
          <w:b w:val="0"/>
          <w:bCs w:val="0"/>
          <w:color w:val="000000" w:themeColor="text1"/>
          <w:sz w:val="44"/>
          <w:szCs w:val="44"/>
          <w:lang w:eastAsia="zh-CN"/>
          <w14:textFill>
            <w14:solidFill>
              <w14:schemeClr w14:val="tx1"/>
            </w14:solidFill>
          </w14:textFill>
        </w:rPr>
      </w:pPr>
      <w:bookmarkStart w:id="0" w:name="_Toc29984"/>
      <w:bookmarkStart w:id="1" w:name="_Toc20549"/>
      <w:bookmarkStart w:id="2" w:name="_Toc5568"/>
      <w:r>
        <w:rPr>
          <w:rStyle w:val="29"/>
          <w:rFonts w:hint="default" w:ascii="Times New Roman" w:hAnsi="Times New Roman" w:eastAsia="方正小标宋简体" w:cs="Times New Roman"/>
          <w:b w:val="0"/>
          <w:bCs w:val="0"/>
          <w:color w:val="000000" w:themeColor="text1"/>
          <w:sz w:val="44"/>
          <w:szCs w:val="44"/>
          <w:lang w:eastAsia="zh-CN"/>
          <w14:textFill>
            <w14:solidFill>
              <w14:schemeClr w14:val="tx1"/>
            </w14:solidFill>
          </w14:textFill>
        </w:rPr>
        <w:t>嵩明县“十五五”水安全保障规划</w:t>
      </w:r>
    </w:p>
    <w:p w14:paraId="062B642E">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Style w:val="29"/>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pPr>
      <w:r>
        <w:rPr>
          <w:rStyle w:val="29"/>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（征求意见稿）</w:t>
      </w:r>
    </w:p>
    <w:p w14:paraId="5504A733">
      <w:pPr>
        <w:jc w:val="both"/>
        <w:rPr>
          <w:rStyle w:val="29"/>
          <w:rFonts w:hint="default" w:ascii="Times New Roman" w:hAnsi="Times New Roman" w:eastAsia="方正小标宋简体" w:cs="Times New Roman"/>
          <w:b w:val="0"/>
          <w:bCs w:val="0"/>
          <w:color w:val="000000" w:themeColor="text1"/>
          <w:sz w:val="44"/>
          <w:szCs w:val="44"/>
          <w:lang w:eastAsia="zh-CN"/>
          <w14:textFill>
            <w14:solidFill>
              <w14:schemeClr w14:val="tx1"/>
            </w14:solidFill>
          </w14:textFill>
        </w:rPr>
      </w:pPr>
    </w:p>
    <w:p w14:paraId="1306C74C">
      <w:pPr>
        <w:pStyle w:val="8"/>
        <w:keepNext w:val="0"/>
        <w:keepLines w:val="0"/>
        <w:pageBreakBefore w:val="0"/>
        <w:widowControl w:val="0"/>
        <w:kinsoku/>
        <w:wordWrap/>
        <w:overflowPunct/>
        <w:topLinePunct w:val="0"/>
        <w:autoSpaceDE/>
        <w:autoSpaceDN/>
        <w:bidi w:val="0"/>
        <w:adjustRightInd/>
        <w:snapToGrid/>
        <w:spacing w:after="0" w:line="540" w:lineRule="exact"/>
        <w:ind w:left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为深入贯彻落实“十五五”时期水利高质量发展战略部署，全面提升嵩明县水安全保障能力，系统补齐水利</w:t>
      </w:r>
      <w:bookmarkStart w:id="15" w:name="_GoBack"/>
      <w:bookmarkEnd w:id="15"/>
      <w:r>
        <w:rPr>
          <w:rFonts w:hint="default" w:ascii="Times New Roman" w:hAnsi="Times New Roman" w:eastAsia="仿宋_GB2312" w:cs="Times New Roman"/>
          <w:sz w:val="32"/>
          <w:szCs w:val="32"/>
        </w:rPr>
        <w:t>基础设施短板，基于嵩明县水安全现状，特制定本规划。</w:t>
      </w:r>
    </w:p>
    <w:p w14:paraId="20F314EC">
      <w:pPr>
        <w:keepNext w:val="0"/>
        <w:keepLines w:val="0"/>
        <w:pageBreakBefore w:val="0"/>
        <w:widowControl w:val="0"/>
        <w:kinsoku/>
        <w:wordWrap/>
        <w:overflowPunct/>
        <w:topLinePunct w:val="0"/>
        <w:autoSpaceDE/>
        <w:autoSpaceDN/>
        <w:bidi w:val="0"/>
        <w:adjustRightInd/>
        <w:snapToGrid/>
        <w:spacing w:line="540" w:lineRule="exact"/>
        <w:ind w:leftChars="0" w:firstLine="643"/>
        <w:jc w:val="left"/>
        <w:textAlignment w:val="auto"/>
        <w:rPr>
          <w:rStyle w:val="29"/>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Style w:val="29"/>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一、总体要求</w:t>
      </w:r>
      <w:bookmarkEnd w:id="0"/>
      <w:bookmarkEnd w:id="1"/>
      <w:bookmarkEnd w:id="2"/>
      <w:bookmarkStart w:id="3" w:name="_Toc13755"/>
    </w:p>
    <w:bookmarkEnd w:id="3"/>
    <w:p w14:paraId="1DEBFF20">
      <w:pPr>
        <w:pStyle w:val="8"/>
        <w:keepNext w:val="0"/>
        <w:keepLines w:val="0"/>
        <w:pageBreakBefore w:val="0"/>
        <w:widowControl w:val="0"/>
        <w:kinsoku/>
        <w:wordWrap/>
        <w:overflowPunct/>
        <w:topLinePunct w:val="0"/>
        <w:autoSpaceDE/>
        <w:autoSpaceDN/>
        <w:bidi w:val="0"/>
        <w:adjustRightInd/>
        <w:snapToGrid/>
        <w:spacing w:after="0" w:line="540" w:lineRule="exact"/>
        <w:ind w:left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坚持以习近平新时代中国特色社会主义思想为指导，深入贯彻党的二十大和二十届历次全会精神，坚定不移践行习近平总书记“节水优先、空间均衡、系统治理、两手发力”治水思路和关于治水重要论述精神。锚定</w:t>
      </w:r>
      <w:r>
        <w:rPr>
          <w:rFonts w:hint="default" w:ascii="Times New Roman" w:hAnsi="Times New Roman" w:eastAsia="仿宋_GB2312" w:cs="Times New Roman"/>
          <w:sz w:val="32"/>
          <w:szCs w:val="32"/>
        </w:rPr>
        <w:t>水利高质量发展目标，以满足人民群众日益增长的水安全保障需求为根本宗旨，聚焦水旱灾害防御、供水保障、粮食生产灌溉、水生态环境保护、智慧水利建设等领域的突出短板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通过</w:t>
      </w:r>
      <w:r>
        <w:rPr>
          <w:rFonts w:hint="default" w:ascii="Times New Roman" w:hAnsi="Times New Roman" w:eastAsia="仿宋_GB2312" w:cs="Times New Roman"/>
          <w:sz w:val="32"/>
          <w:szCs w:val="32"/>
          <w:lang w:eastAsia="zh-CN"/>
        </w:rPr>
        <w:t>统筹发展和安全</w:t>
      </w:r>
      <w:r>
        <w:rPr>
          <w:rFonts w:hint="default" w:ascii="Times New Roman" w:hAnsi="Times New Roman" w:eastAsia="仿宋_GB2312" w:cs="Times New Roman"/>
          <w:sz w:val="32"/>
          <w:szCs w:val="32"/>
        </w:rPr>
        <w:t>，系统推进水治理体系与治理能力现代化，构建功能完备、协同联动、保障有力、绿色智慧的现代化水安全保障网络，为嵩明县经济社会高质量发展提供坚实的水利支撑。</w:t>
      </w:r>
    </w:p>
    <w:p w14:paraId="77801F48">
      <w:pPr>
        <w:pStyle w:val="8"/>
        <w:keepNext w:val="0"/>
        <w:keepLines w:val="0"/>
        <w:pageBreakBefore w:val="0"/>
        <w:widowControl w:val="0"/>
        <w:kinsoku/>
        <w:wordWrap/>
        <w:overflowPunct/>
        <w:topLinePunct w:val="0"/>
        <w:autoSpaceDE/>
        <w:autoSpaceDN/>
        <w:bidi w:val="0"/>
        <w:adjustRightInd/>
        <w:snapToGrid/>
        <w:spacing w:after="0" w:line="540" w:lineRule="exact"/>
        <w:ind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到2030年，</w:t>
      </w:r>
      <w:r>
        <w:rPr>
          <w:rFonts w:hint="default" w:ascii="Times New Roman" w:hAnsi="Times New Roman" w:eastAsia="仿宋_GB2312" w:cs="Times New Roman"/>
          <w:sz w:val="32"/>
          <w:szCs w:val="32"/>
          <w:lang w:eastAsia="zh-CN"/>
        </w:rPr>
        <w:t>全</w:t>
      </w:r>
      <w:r>
        <w:rPr>
          <w:rFonts w:hint="default" w:ascii="Times New Roman" w:hAnsi="Times New Roman" w:eastAsia="仿宋_GB2312" w:cs="Times New Roman"/>
          <w:sz w:val="32"/>
          <w:szCs w:val="32"/>
        </w:rPr>
        <w:t>县基本建成现代化水安全保障体系，</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b/>
          <w:bCs/>
          <w:sz w:val="32"/>
          <w:szCs w:val="32"/>
        </w:rPr>
        <w:t>防洪抗旱减灾能力显著提升：</w:t>
      </w:r>
      <w:r>
        <w:rPr>
          <w:rFonts w:hint="default" w:ascii="Times New Roman" w:hAnsi="Times New Roman" w:eastAsia="仿宋_GB2312" w:cs="Times New Roman"/>
          <w:sz w:val="32"/>
          <w:szCs w:val="32"/>
        </w:rPr>
        <w:t>全面补齐水旱灾害防御短板，县级防洪抗旱减灾体系更加完善。重要河段防洪达标率提升至</w:t>
      </w:r>
      <w:r>
        <w:rPr>
          <w:rFonts w:hint="default" w:ascii="Times New Roman" w:hAnsi="Times New Roman" w:eastAsia="仿宋_GB2312" w:cs="Times New Roman"/>
          <w:sz w:val="32"/>
          <w:szCs w:val="32"/>
          <w:lang w:val="en-US" w:eastAsia="zh-CN"/>
        </w:rPr>
        <w:t>88.1</w:t>
      </w:r>
      <w:r>
        <w:rPr>
          <w:rFonts w:hint="default" w:ascii="Times New Roman" w:hAnsi="Times New Roman" w:eastAsia="仿宋_GB2312" w:cs="Times New Roman"/>
          <w:sz w:val="32"/>
          <w:szCs w:val="32"/>
        </w:rPr>
        <w:t>%，重点城镇防洪标准达到规范要求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b/>
          <w:bCs/>
          <w:sz w:val="32"/>
          <w:szCs w:val="32"/>
        </w:rPr>
        <w:t>城</w:t>
      </w:r>
      <w:r>
        <w:rPr>
          <w:rFonts w:hint="default" w:ascii="Times New Roman" w:hAnsi="Times New Roman" w:eastAsia="仿宋_GB2312" w:cs="Times New Roman"/>
          <w:b/>
          <w:bCs/>
          <w:sz w:val="32"/>
          <w:szCs w:val="32"/>
          <w:lang w:eastAsia="zh-CN"/>
        </w:rPr>
        <w:t>乡供水保障能力明显增强：</w:t>
      </w:r>
      <w:r>
        <w:rPr>
          <w:rFonts w:hint="default" w:ascii="Times New Roman" w:hAnsi="Times New Roman" w:eastAsia="仿宋_GB2312" w:cs="Times New Roman"/>
          <w:sz w:val="32"/>
          <w:szCs w:val="32"/>
        </w:rPr>
        <w:t>农村供水“3+1”标准化建设和管护模式全面落地，农村自来水普及率达到98%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规模化供水工程覆盖农村人口比例达到78%，县域统管比例达到90%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bCs/>
          <w:sz w:val="32"/>
          <w:szCs w:val="32"/>
          <w:lang w:eastAsia="zh-CN"/>
        </w:rPr>
        <w:t>三是粮食生产灌溉供水保障稳固可靠：</w:t>
      </w:r>
      <w:r>
        <w:rPr>
          <w:rFonts w:hint="default" w:ascii="Times New Roman" w:hAnsi="Times New Roman" w:eastAsia="仿宋_GB2312" w:cs="Times New Roman"/>
          <w:sz w:val="32"/>
          <w:szCs w:val="32"/>
        </w:rPr>
        <w:t>农田灌溉设施体系进一步完善，有效灌溉面积稳步扩大，农田灌溉水有效利用系数提高至</w:t>
      </w:r>
      <w:r>
        <w:rPr>
          <w:rFonts w:hint="default" w:ascii="Times New Roman" w:hAnsi="Times New Roman" w:eastAsia="仿宋_GB2312" w:cs="Times New Roman"/>
          <w:sz w:val="32"/>
          <w:szCs w:val="32"/>
          <w:lang w:val="en-US" w:eastAsia="zh-CN"/>
        </w:rPr>
        <w:t>0.59</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bCs/>
          <w:sz w:val="32"/>
          <w:szCs w:val="32"/>
          <w:lang w:eastAsia="zh-CN"/>
        </w:rPr>
        <w:t>四是</w:t>
      </w:r>
      <w:r>
        <w:rPr>
          <w:rFonts w:hint="default" w:ascii="Times New Roman" w:hAnsi="Times New Roman" w:eastAsia="仿宋_GB2312" w:cs="Times New Roman"/>
          <w:b/>
          <w:bCs/>
          <w:sz w:val="32"/>
          <w:szCs w:val="32"/>
        </w:rPr>
        <w:t>水生态环境持续向好：</w:t>
      </w:r>
      <w:r>
        <w:rPr>
          <w:rFonts w:hint="default" w:ascii="Times New Roman" w:hAnsi="Times New Roman" w:eastAsia="仿宋_GB2312" w:cs="Times New Roman"/>
          <w:sz w:val="32"/>
          <w:szCs w:val="32"/>
        </w:rPr>
        <w:t>河库生态环境持续改善，空间管控更加严格</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重点河库生态流量保障程度达到90%</w:t>
      </w:r>
      <w:r>
        <w:rPr>
          <w:rFonts w:hint="default" w:ascii="Times New Roman" w:hAnsi="Times New Roman" w:eastAsia="仿宋_GB2312" w:cs="Times New Roman"/>
          <w:sz w:val="32"/>
          <w:szCs w:val="32"/>
          <w:lang w:eastAsia="zh-CN"/>
        </w:rPr>
        <w:t>以上</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优良水体比例</w:t>
      </w:r>
      <w:r>
        <w:rPr>
          <w:rFonts w:hint="default" w:ascii="Times New Roman" w:hAnsi="Times New Roman" w:eastAsia="仿宋_GB2312" w:cs="Times New Roman"/>
          <w:sz w:val="32"/>
          <w:szCs w:val="32"/>
          <w:lang w:val="en-US" w:eastAsia="zh-CN"/>
        </w:rPr>
        <w:t>达64.5%以上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bCs/>
          <w:sz w:val="32"/>
          <w:szCs w:val="32"/>
          <w:lang w:eastAsia="zh-CN"/>
        </w:rPr>
        <w:t>五是智慧水利水平大幅提高：</w:t>
      </w:r>
      <w:r>
        <w:rPr>
          <w:rFonts w:hint="default" w:ascii="Times New Roman" w:hAnsi="Times New Roman" w:eastAsia="仿宋_GB2312" w:cs="Times New Roman"/>
          <w:sz w:val="32"/>
          <w:szCs w:val="32"/>
        </w:rPr>
        <w:t>数字孪生水利建设取得显著进展，水利数字化、网络化、智能化水平明显提升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bCs/>
          <w:sz w:val="32"/>
          <w:szCs w:val="32"/>
          <w:lang w:eastAsia="zh-CN"/>
        </w:rPr>
        <w:t>六是</w:t>
      </w:r>
      <w:r>
        <w:rPr>
          <w:rFonts w:hint="default" w:ascii="Times New Roman" w:hAnsi="Times New Roman" w:eastAsia="仿宋_GB2312" w:cs="Times New Roman"/>
          <w:b/>
          <w:bCs/>
          <w:sz w:val="32"/>
          <w:szCs w:val="32"/>
        </w:rPr>
        <w:t>水资源节约集约利用程度显著提升：</w:t>
      </w:r>
      <w:r>
        <w:rPr>
          <w:rFonts w:hint="default" w:ascii="Times New Roman" w:hAnsi="Times New Roman" w:eastAsia="仿宋_GB2312" w:cs="Times New Roman"/>
          <w:sz w:val="32"/>
          <w:szCs w:val="32"/>
        </w:rPr>
        <w:t>水资源刚性约束制度全面落实，节水型社会建设达到更高水平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全县用水总量控制在2.06亿立方米，</w:t>
      </w:r>
      <w:r>
        <w:rPr>
          <w:rFonts w:hint="default" w:ascii="Times New Roman" w:hAnsi="Times New Roman" w:eastAsia="仿宋_GB2312" w:cs="Times New Roman"/>
          <w:sz w:val="32"/>
          <w:szCs w:val="32"/>
          <w:lang w:val="en-US" w:eastAsia="zh-CN"/>
        </w:rPr>
        <w:t>万元GDP用水量下降</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，水资源支撑经济社会发展的能力持续增强。</w:t>
      </w:r>
    </w:p>
    <w:p w14:paraId="6D454BD2">
      <w:pPr>
        <w:pStyle w:val="23"/>
        <w:keepNext w:val="0"/>
        <w:keepLines w:val="0"/>
        <w:pageBreakBefore w:val="0"/>
        <w:widowControl w:val="0"/>
        <w:numPr>
          <w:ilvl w:val="0"/>
          <w:numId w:val="0"/>
        </w:numPr>
        <w:kinsoku/>
        <w:wordWrap/>
        <w:overflowPunct/>
        <w:topLinePunct w:val="0"/>
        <w:bidi w:val="0"/>
        <w:snapToGrid/>
        <w:spacing w:line="540" w:lineRule="exact"/>
        <w:ind w:leftChars="0" w:firstLine="640" w:firstLineChars="200"/>
        <w:textAlignment w:val="auto"/>
        <w:rPr>
          <w:rFonts w:hint="default" w:ascii="Times New Roman" w:hAnsi="Times New Roman" w:eastAsia="黑体" w:cs="Times New Roman"/>
          <w:b w:val="0"/>
          <w:bCs w:val="0"/>
          <w:color w:val="000000"/>
          <w:kern w:val="2"/>
          <w:sz w:val="32"/>
          <w:szCs w:val="32"/>
          <w:lang w:val="en-US" w:eastAsia="zh-CN" w:bidi="ar-SA"/>
        </w:rPr>
      </w:pPr>
      <w:bookmarkStart w:id="4" w:name="_Toc6947"/>
      <w:r>
        <w:rPr>
          <w:rFonts w:hint="default" w:ascii="Times New Roman" w:hAnsi="Times New Roman" w:eastAsia="黑体" w:cs="Times New Roman"/>
          <w:b w:val="0"/>
          <w:bCs w:val="0"/>
          <w:color w:val="000000"/>
          <w:kern w:val="2"/>
          <w:sz w:val="32"/>
          <w:szCs w:val="32"/>
          <w:lang w:val="en-US" w:eastAsia="zh-CN" w:bidi="ar-SA"/>
        </w:rPr>
        <w:t>二、</w:t>
      </w:r>
      <w:r>
        <w:rPr>
          <w:rFonts w:hint="default" w:ascii="Times New Roman" w:hAnsi="Times New Roman" w:eastAsia="黑体" w:cs="Times New Roman"/>
          <w:b w:val="0"/>
          <w:bCs w:val="0"/>
          <w:color w:val="000000"/>
          <w:kern w:val="2"/>
          <w:sz w:val="32"/>
          <w:szCs w:val="32"/>
          <w:lang w:val="en-US" w:eastAsia="zh-CN" w:bidi="ar-SA"/>
        </w:rPr>
        <w:t>任务举措</w:t>
      </w:r>
    </w:p>
    <w:p w14:paraId="1B716E5B">
      <w:pPr>
        <w:pStyle w:val="23"/>
        <w:keepNext w:val="0"/>
        <w:keepLines w:val="0"/>
        <w:pageBreakBefore w:val="0"/>
        <w:widowControl w:val="0"/>
        <w:numPr>
          <w:ilvl w:val="0"/>
          <w:numId w:val="0"/>
        </w:numPr>
        <w:kinsoku/>
        <w:wordWrap/>
        <w:overflowPunct/>
        <w:topLinePunct w:val="0"/>
        <w:bidi w:val="0"/>
        <w:snapToGrid/>
        <w:spacing w:line="540" w:lineRule="exact"/>
        <w:ind w:leftChars="0" w:firstLine="640" w:firstLineChars="20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color w:val="000000"/>
          <w:kern w:val="2"/>
          <w:sz w:val="32"/>
          <w:szCs w:val="32"/>
          <w:lang w:val="en-US" w:eastAsia="zh-CN" w:bidi="ar-SA"/>
        </w:rPr>
        <w:t>（一）</w:t>
      </w:r>
      <w:r>
        <w:rPr>
          <w:rFonts w:hint="default" w:ascii="Times New Roman" w:hAnsi="Times New Roman" w:eastAsia="楷体_GB2312" w:cs="Times New Roman"/>
          <w:sz w:val="32"/>
          <w:szCs w:val="32"/>
          <w:lang w:eastAsia="zh-CN"/>
        </w:rPr>
        <w:t>完善防洪灾害防御体系，保障防洪安全</w:t>
      </w:r>
      <w:bookmarkEnd w:id="4"/>
    </w:p>
    <w:p w14:paraId="39575728">
      <w:pPr>
        <w:pStyle w:val="50"/>
        <w:keepNext w:val="0"/>
        <w:keepLines/>
        <w:pageBreakBefore w:val="0"/>
        <w:widowControl w:val="0"/>
        <w:numPr>
          <w:ilvl w:val="0"/>
          <w:numId w:val="0"/>
        </w:numPr>
        <w:kinsoku/>
        <w:wordWrap/>
        <w:overflowPunct/>
        <w:topLinePunct w:val="0"/>
        <w:autoSpaceDE/>
        <w:autoSpaceDN/>
        <w:bidi w:val="0"/>
        <w:adjustRightInd/>
        <w:snapToGrid/>
        <w:spacing w:before="0" w:after="0" w:line="540" w:lineRule="exact"/>
        <w:ind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持续推进“一江八河”堤防建设与河道整治，加快实施病险水库（水闸）除险加固，及时消除工程安全隐患。系统开展河道清淤疏浚、岸坡整治，提升河道行洪能力。完善山洪灾害监测预警体系与监测站点，健全群测群防机制，提升山洪灾害防御响应能力。统筹推进河道整治，提升县城和重点城镇防洪排涝标准。构建以水库、河道堤防为主体，工程与非工程措施相结合的防洪减灾网络，健全水旱灾害应急联动机制，全面提升全县水旱灾害防御能力，保障人民群众生命财产安全。</w:t>
      </w:r>
    </w:p>
    <w:tbl>
      <w:tblPr>
        <w:tblStyle w:val="19"/>
        <w:tblW w:w="8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20"/>
      </w:tblGrid>
      <w:tr w14:paraId="072FC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DF199">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i w:val="0"/>
                <w:color w:val="000000"/>
                <w:kern w:val="0"/>
                <w:sz w:val="32"/>
                <w:szCs w:val="32"/>
                <w:u w:val="none"/>
                <w:lang w:val="en-US" w:eastAsia="zh-CN" w:bidi="ar"/>
              </w:rPr>
              <w:t>专栏1  完善防洪灾害防御体系</w:t>
            </w:r>
          </w:p>
        </w:tc>
      </w:tr>
      <w:tr w14:paraId="4FDC2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90" w:hRule="atLeast"/>
        </w:trPr>
        <w:tc>
          <w:tcPr>
            <w:tcW w:w="8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F4D89">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i w:val="0"/>
                <w:color w:val="000000"/>
                <w:kern w:val="0"/>
                <w:sz w:val="32"/>
                <w:szCs w:val="32"/>
                <w:u w:val="none"/>
                <w:lang w:val="en-US" w:eastAsia="zh-CN" w:bidi="ar"/>
              </w:rPr>
              <w:t>1.河道防洪标准全面提升</w:t>
            </w:r>
          </w:p>
          <w:p w14:paraId="52461D4B">
            <w:pPr>
              <w:pStyle w:val="50"/>
              <w:keepNext w:val="0"/>
              <w:keepLines w:val="0"/>
              <w:pageBreakBefore w:val="0"/>
              <w:widowControl w:val="0"/>
              <w:numPr>
                <w:ilvl w:val="0"/>
                <w:numId w:val="0"/>
              </w:numPr>
              <w:kinsoku/>
              <w:wordWrap/>
              <w:overflowPunct/>
              <w:topLinePunct w:val="0"/>
              <w:autoSpaceDE/>
              <w:autoSpaceDN/>
              <w:bidi w:val="0"/>
              <w:adjustRightInd/>
              <w:snapToGrid/>
              <w:spacing w:before="0" w:after="0" w:line="540" w:lineRule="exact"/>
              <w:ind w:leftChars="0" w:firstLine="640" w:firstLineChars="200"/>
              <w:textAlignment w:val="auto"/>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嵩阳街道主要城区河道防洪设计标准提升至50年一遇；小街镇、杨林镇、牛栏江镇、杨桥街道办事处城区段河道防洪标准提升至20年一遇；杨林工业园区、云南职教新城、云南省花卉园区河道防洪标准提升至20年一遇；其余河道两岸村庄及耕地防洪标准提升至10年一遇。</w:t>
            </w:r>
          </w:p>
        </w:tc>
      </w:tr>
      <w:tr w14:paraId="0A825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8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C67E">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i w:val="0"/>
                <w:color w:val="000000"/>
                <w:kern w:val="0"/>
                <w:sz w:val="32"/>
                <w:szCs w:val="32"/>
                <w:u w:val="none"/>
                <w:lang w:val="en-US" w:eastAsia="zh-CN" w:bidi="ar"/>
              </w:rPr>
              <w:t>2.病险水库（水闸）全面清零</w:t>
            </w:r>
          </w:p>
          <w:p w14:paraId="7B2C17E0">
            <w:pPr>
              <w:pStyle w:val="50"/>
              <w:keepNext w:val="0"/>
              <w:keepLines w:val="0"/>
              <w:pageBreakBefore w:val="0"/>
              <w:widowControl w:val="0"/>
              <w:numPr>
                <w:ilvl w:val="0"/>
                <w:numId w:val="0"/>
              </w:numPr>
              <w:kinsoku/>
              <w:wordWrap/>
              <w:overflowPunct/>
              <w:topLinePunct w:val="0"/>
              <w:autoSpaceDE/>
              <w:autoSpaceDN/>
              <w:bidi w:val="0"/>
              <w:adjustRightInd/>
              <w:snapToGrid/>
              <w:spacing w:before="0" w:after="0" w:line="540" w:lineRule="exact"/>
              <w:ind w:leftChars="0" w:firstLine="640" w:firstLineChars="200"/>
              <w:textAlignment w:val="auto"/>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遵循“应查尽查、应除尽除”原则，及时开展安全鉴定，完成全县现存5</w:t>
            </w:r>
            <w:r>
              <w:rPr>
                <w:rFonts w:hint="default" w:ascii="Times New Roman" w:hAnsi="Times New Roman" w:eastAsia="仿宋_GB2312" w:cs="Times New Roman"/>
                <w:kern w:val="2"/>
                <w:sz w:val="32"/>
                <w:szCs w:val="32"/>
                <w:lang w:val="en-US" w:eastAsia="zh-CN" w:bidi="ar-SA"/>
              </w:rPr>
              <w:t>座</w:t>
            </w:r>
            <w:r>
              <w:rPr>
                <w:rFonts w:hint="default" w:ascii="Times New Roman" w:hAnsi="Times New Roman" w:eastAsia="仿宋_GB2312" w:cs="Times New Roman"/>
                <w:kern w:val="2"/>
                <w:sz w:val="32"/>
                <w:szCs w:val="32"/>
                <w:lang w:val="en-US" w:eastAsia="zh-CN" w:bidi="ar-SA"/>
              </w:rPr>
              <w:t>病险水库（水闸）的除险加固任务。结合水库物业化管理及维修养护，及时更新改造老化失修的闸门、启闭设备和溢洪道设施，补齐工程运行安全短板，恢复水库原有防洪、调蓄功能，确保工程运行安全稳定。</w:t>
            </w:r>
          </w:p>
        </w:tc>
      </w:tr>
      <w:tr w14:paraId="56920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50" w:hRule="atLeast"/>
        </w:trPr>
        <w:tc>
          <w:tcPr>
            <w:tcW w:w="8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2F943">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i w:val="0"/>
                <w:color w:val="000000"/>
                <w:kern w:val="0"/>
                <w:sz w:val="32"/>
                <w:szCs w:val="32"/>
                <w:u w:val="none"/>
                <w:lang w:val="en-US" w:eastAsia="zh-CN" w:bidi="ar"/>
              </w:rPr>
              <w:t>3.山洪灾害防御能力全面提升</w:t>
            </w:r>
          </w:p>
          <w:p w14:paraId="546EE062">
            <w:pPr>
              <w:pStyle w:val="50"/>
              <w:keepNext w:val="0"/>
              <w:keepLines w:val="0"/>
              <w:pageBreakBefore w:val="0"/>
              <w:widowControl w:val="0"/>
              <w:numPr>
                <w:ilvl w:val="0"/>
                <w:numId w:val="0"/>
              </w:numPr>
              <w:kinsoku/>
              <w:wordWrap/>
              <w:overflowPunct/>
              <w:topLinePunct w:val="0"/>
              <w:autoSpaceDE/>
              <w:autoSpaceDN/>
              <w:bidi w:val="0"/>
              <w:adjustRightInd/>
              <w:snapToGrid/>
              <w:spacing w:before="0" w:after="0" w:line="540" w:lineRule="exact"/>
              <w:ind w:leftChars="0" w:firstLine="640" w:firstLineChars="200"/>
              <w:textAlignment w:val="auto"/>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依托现有山洪灾害监测预警站点设备，优化监测预警信息发布渠道。完善县、镇、村三级山洪灾害防御责任体系和群测群防工作机制，定期开展防御演练，提升基层灾害应急响应处置能力，最大程度降低山洪灾害损失。</w:t>
            </w:r>
          </w:p>
        </w:tc>
      </w:tr>
    </w:tbl>
    <w:p w14:paraId="3D274C26">
      <w:pPr>
        <w:keepNext w:val="0"/>
        <w:keepLines w:val="0"/>
        <w:pageBreakBefore w:val="0"/>
        <w:widowControl w:val="0"/>
        <w:kinsoku/>
        <w:wordWrap/>
        <w:overflowPunct/>
        <w:topLinePunct w:val="0"/>
        <w:autoSpaceDE/>
        <w:autoSpaceDN/>
        <w:bidi w:val="0"/>
        <w:adjustRightInd/>
        <w:snapToGrid/>
        <w:spacing w:line="540" w:lineRule="exact"/>
        <w:ind w:firstLine="48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（二）</w:t>
      </w:r>
      <w:bookmarkStart w:id="5" w:name="_Toc32018"/>
      <w:r>
        <w:rPr>
          <w:rFonts w:hint="default" w:ascii="Times New Roman" w:hAnsi="Times New Roman" w:eastAsia="楷体_GB2312" w:cs="Times New Roman"/>
          <w:sz w:val="32"/>
          <w:szCs w:val="32"/>
          <w:lang w:eastAsia="zh-CN"/>
        </w:rPr>
        <w:t>支撑和融入市级水网工程体系，保障供水安全</w:t>
      </w:r>
      <w:bookmarkEnd w:id="5"/>
    </w:p>
    <w:p w14:paraId="5E339E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深挖县域现有水源调蓄潜力，通过水库清淤扩容、库群联通联调、灌区节水改造多重路径，提升骨干水资源配置与蓄水供水能力。紧扣城乡供水不均衡、不充分突出问题，坚持“建大、并中、减小”发展路径，聚焦水质净化、老旧管网更新、工程长效管护三大重点，推动城乡供水工程规模化整合改造，严格落实农村供水“三个责任”“三项制度”，逐步实现城乡供水同网、同质、同服务、同管理一体化发展。主动对接清水海引水、牛栏江补水、滇中引水等市级重大引调水工程，积极争取水资源配置指标，补齐县域跨流域调配短板，强化极端干旱、突发供水事故应急保障能力，稳定保障城乡居民基本生活用水需求。</w:t>
      </w:r>
    </w:p>
    <w:tbl>
      <w:tblPr>
        <w:tblStyle w:val="19"/>
        <w:tblW w:w="8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20"/>
      </w:tblGrid>
      <w:tr w14:paraId="2C2B1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AC929">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i w:val="0"/>
                <w:color w:val="000000"/>
                <w:kern w:val="0"/>
                <w:sz w:val="32"/>
                <w:szCs w:val="32"/>
                <w:u w:val="none"/>
                <w:lang w:val="en-US" w:eastAsia="zh-CN" w:bidi="ar"/>
              </w:rPr>
              <w:t>专栏2  支撑和融入市级水网工程体系</w:t>
            </w:r>
          </w:p>
        </w:tc>
      </w:tr>
      <w:tr w14:paraId="2292D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716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1.源调控能力提升工程</w:t>
            </w:r>
          </w:p>
          <w:p w14:paraId="457BF4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实施大石头水库清淤扩容试点项目，推进弥良河—大冲河水库连通渠建设，打通库群互联互通通道，实现多水库联合调度，优化区域水资源时空配置与调蓄能力。</w:t>
            </w:r>
          </w:p>
        </w:tc>
      </w:tr>
      <w:tr w14:paraId="3D6DC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A4C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2.城乡供水一体化提质工程</w:t>
            </w:r>
          </w:p>
          <w:p w14:paraId="560A31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分批实施农村供水保障提升专项行动，全域改造老旧供水管网、配套水质净化消毒设施，打通县域供水管网互联互通脉络，构建统一规划、统一建设、统一管护的城乡供水新格局。</w:t>
            </w:r>
          </w:p>
        </w:tc>
      </w:tr>
      <w:tr w14:paraId="61F37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71E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3.应急供水保障工程</w:t>
            </w:r>
          </w:p>
          <w:p w14:paraId="1438AB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对接市级水网主干管线，优化县域水资源配置格局，完善干旱应急备用水源体系，全面提升极端气候条件下供水安全韧</w:t>
            </w:r>
            <w:r>
              <w:rPr>
                <w:rFonts w:hint="default" w:ascii="Times New Roman" w:hAnsi="Times New Roman" w:cs="Times New Roman"/>
                <w:color w:val="000000"/>
                <w:sz w:val="24"/>
                <w:szCs w:val="24"/>
              </w:rPr>
              <w:t>性。</w:t>
            </w:r>
          </w:p>
        </w:tc>
      </w:tr>
    </w:tbl>
    <w:p w14:paraId="1D62DBAE">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（三）</w:t>
      </w:r>
      <w:bookmarkStart w:id="6" w:name="_Toc10946"/>
      <w:r>
        <w:rPr>
          <w:rFonts w:hint="default" w:ascii="Times New Roman" w:hAnsi="Times New Roman" w:eastAsia="楷体_GB2312" w:cs="Times New Roman"/>
          <w:sz w:val="32"/>
          <w:szCs w:val="32"/>
          <w:lang w:eastAsia="zh-CN"/>
        </w:rPr>
        <w:t>打造“新时代元阳梯田”灌溉体系，保障粮食安全</w:t>
      </w:r>
      <w:bookmarkEnd w:id="6"/>
    </w:p>
    <w:p w14:paraId="412D62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对标“新时代元阳梯田”建设标准，以大型灌区续建配套现代化改造为核心抓手，完善骨干渠系与田间输配水网络，</w:t>
      </w:r>
      <w:r>
        <w:rPr>
          <w:rFonts w:hint="default" w:ascii="Times New Roman" w:hAnsi="Times New Roman" w:eastAsia="仿宋_GB2312" w:cs="Times New Roman"/>
          <w:kern w:val="2"/>
          <w:sz w:val="32"/>
          <w:szCs w:val="32"/>
          <w:lang w:val="en-US" w:eastAsia="zh-CN" w:bidi="ar-SA"/>
        </w:rPr>
        <w:t>全域推广</w:t>
      </w:r>
      <w:r>
        <w:rPr>
          <w:rFonts w:hint="default" w:ascii="Times New Roman" w:hAnsi="Times New Roman" w:eastAsia="仿宋_GB2312" w:cs="Times New Roman"/>
          <w:kern w:val="2"/>
          <w:sz w:val="32"/>
          <w:szCs w:val="32"/>
          <w:lang w:val="en-US" w:eastAsia="zh-CN" w:bidi="ar-SA"/>
        </w:rPr>
        <w:t>管道输水、精准计量，打通农田灌溉“最后一公里”堵点。统筹整合各类农田水利建设资金，科学优化灌区灌排布局，健全旱涝统筹调度机制，持续提升灌区抗旱排涝综合保障能力，夯实粮食稳产增产水利基础。坚持常态化开展农业水价综合改革，足额落实工程运维经费；持续推进精准补贴、节水奖励，充分调动用水户节水积极性，推动灌区工程长效良性运行。</w:t>
      </w:r>
    </w:p>
    <w:tbl>
      <w:tblPr>
        <w:tblStyle w:val="19"/>
        <w:tblW w:w="8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20"/>
      </w:tblGrid>
      <w:tr w14:paraId="0564E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8B7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专栏3  打造“新时代元阳梯田”灌溉体系</w:t>
            </w:r>
          </w:p>
        </w:tc>
      </w:tr>
      <w:tr w14:paraId="2D8B3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DE4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1.灌区骨干设施完善工程</w:t>
            </w:r>
          </w:p>
          <w:p w14:paraId="52AC30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完成嵩明大型灌区续建配套与现代化改造项目初步设计，同步推进项目“软建设”，获得上级资金支持后及时开工</w:t>
            </w:r>
            <w:r>
              <w:rPr>
                <w:rFonts w:hint="default" w:ascii="Times New Roman" w:hAnsi="Times New Roman" w:eastAsia="仿宋_GB2312" w:cs="Times New Roman"/>
                <w:kern w:val="2"/>
                <w:sz w:val="32"/>
                <w:szCs w:val="32"/>
                <w:lang w:val="en-US" w:eastAsia="zh-CN" w:bidi="ar-SA"/>
              </w:rPr>
              <w:t>建设。</w:t>
            </w:r>
          </w:p>
        </w:tc>
      </w:tr>
      <w:tr w14:paraId="4C4FB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DA2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2.田间灌排配套工程</w:t>
            </w:r>
          </w:p>
          <w:p w14:paraId="2E8E11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统筹推进小型农田水利、老旧泵站沟渠改造、田间输水管网配套，扩大有效灌溉面积，全面提升农田输水效率。</w:t>
            </w:r>
          </w:p>
        </w:tc>
      </w:tr>
      <w:tr w14:paraId="4EB2E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427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bookmarkStart w:id="7" w:name="_Toc31531"/>
            <w:r>
              <w:rPr>
                <w:rFonts w:hint="default" w:ascii="Times New Roman" w:hAnsi="Times New Roman" w:eastAsia="仿宋_GB2312" w:cs="Times New Roman"/>
                <w:kern w:val="2"/>
                <w:sz w:val="32"/>
                <w:szCs w:val="32"/>
                <w:lang w:val="en-US" w:eastAsia="zh-CN" w:bidi="ar-SA"/>
              </w:rPr>
              <w:t>3.农业水价改革深化工程</w:t>
            </w:r>
          </w:p>
          <w:p w14:paraId="1E04D9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认真贯彻落实既定改革政策，强化农业水费收取和使用情况监督检查，确保农业水费“取之于水、用之于水”，逐步构建“以水养水”良性运行模式。</w:t>
            </w:r>
          </w:p>
        </w:tc>
      </w:tr>
    </w:tbl>
    <w:p w14:paraId="2CC161DE">
      <w:pPr>
        <w:keepNext w:val="0"/>
        <w:keepLines w:val="0"/>
        <w:pageBreakBefore w:val="0"/>
        <w:numPr>
          <w:ilvl w:val="0"/>
          <w:numId w:val="0"/>
        </w:numPr>
        <w:kinsoku/>
        <w:wordWrap/>
        <w:overflowPunct/>
        <w:topLinePunct w:val="0"/>
        <w:bidi w:val="0"/>
        <w:snapToGrid/>
        <w:spacing w:line="540" w:lineRule="exact"/>
        <w:ind w:firstLine="640" w:firstLineChars="200"/>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kern w:val="2"/>
          <w:sz w:val="32"/>
          <w:szCs w:val="32"/>
          <w:lang w:val="en-US" w:eastAsia="zh-CN" w:bidi="ar-SA"/>
        </w:rPr>
        <w:t>（四）</w:t>
      </w:r>
      <w:r>
        <w:rPr>
          <w:rFonts w:hint="default" w:ascii="Times New Roman" w:hAnsi="Times New Roman" w:eastAsia="楷体_GB2312" w:cs="Times New Roman"/>
          <w:sz w:val="32"/>
          <w:szCs w:val="32"/>
          <w:lang w:eastAsia="zh-CN"/>
        </w:rPr>
        <w:t>完善复苏河湖治理体系，保障生态安全</w:t>
      </w:r>
      <w:bookmarkEnd w:id="7"/>
    </w:p>
    <w:p w14:paraId="05E615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以河库生态流量刚性管控为核心，科学核定全域河库生态基流目标，统筹平衡生活、生产、生态用水需求，布设生态流量自动监测站点，建立预警调度闭环机制，保障河库基本生态用水，维持河库自然生态功能。以小流域为治理单元，全域实施坡耕地整治、生态清洁小流域建设，严格落实生产建设项目水土保持“三同时”制度，严控人为新增水土流失。系统开展“一江八河”水环境综合整治，清退侵占河湖岸线乱象，修复自然滨水空间，持续提升断面水质达标率，打造河畅、水清、岸绿、景美的宜居水生态廊道。</w:t>
      </w:r>
    </w:p>
    <w:tbl>
      <w:tblPr>
        <w:tblStyle w:val="19"/>
        <w:tblW w:w="8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20"/>
      </w:tblGrid>
      <w:tr w14:paraId="549CB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17C04">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i w:val="0"/>
                <w:color w:val="000000"/>
                <w:kern w:val="0"/>
                <w:sz w:val="32"/>
                <w:szCs w:val="32"/>
                <w:u w:val="none"/>
                <w:lang w:val="en-US" w:eastAsia="zh-CN" w:bidi="ar"/>
              </w:rPr>
              <w:t xml:space="preserve">专栏4  </w:t>
            </w:r>
            <w:r>
              <w:rPr>
                <w:rFonts w:hint="default" w:ascii="Times New Roman" w:hAnsi="Times New Roman" w:eastAsia="楷体_GB2312" w:cs="Times New Roman"/>
                <w:sz w:val="32"/>
                <w:szCs w:val="32"/>
                <w:lang w:eastAsia="zh-CN"/>
              </w:rPr>
              <w:t>完善复苏河湖治理体系</w:t>
            </w:r>
          </w:p>
        </w:tc>
      </w:tr>
      <w:tr w14:paraId="221F1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B7D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1.河库生态流量保障工程</w:t>
            </w:r>
          </w:p>
          <w:p w14:paraId="51B4C2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落实生态流量常态化管控要求，在重点干支河流布设自动化监测站点，完善监测、预警、调度全链条管理制度，保障河库生态用水足额稳定供给。</w:t>
            </w:r>
          </w:p>
        </w:tc>
      </w:tr>
      <w:tr w14:paraId="1C8CF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3F4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2.水土流失系统治理工程</w:t>
            </w:r>
          </w:p>
          <w:p w14:paraId="2001AF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实施分水沟小流域坡耕地综合治理、老草凹生态清洁小流域示范项目，从严管控生产建设项目水土保持，巩固水土流失治理成效。</w:t>
            </w:r>
          </w:p>
        </w:tc>
      </w:tr>
      <w:tr w14:paraId="54D1D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204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3.河库岸线生态修复工程</w:t>
            </w:r>
          </w:p>
          <w:p w14:paraId="02CE94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推进弥良河入河排污口规范化整治、牛栏江（嵩明段）全域水环境综合治理，常态化排查整治河库“四乱”问题，建设滨水生态缓冲带，持续改善农村河渠库塘人居环境，稳定提升流域水环境质量</w:t>
            </w:r>
            <w:r>
              <w:rPr>
                <w:rFonts w:hint="default" w:ascii="Times New Roman" w:hAnsi="Times New Roman" w:eastAsia="仿宋_GB2312" w:cs="Times New Roman"/>
                <w:color w:val="000000"/>
                <w:sz w:val="32"/>
                <w:szCs w:val="32"/>
              </w:rPr>
              <w:t>。</w:t>
            </w:r>
          </w:p>
        </w:tc>
      </w:tr>
    </w:tbl>
    <w:p w14:paraId="15AFB79F">
      <w:pPr>
        <w:keepNext w:val="0"/>
        <w:keepLines w:val="0"/>
        <w:pageBreakBefore w:val="0"/>
        <w:numPr>
          <w:ilvl w:val="0"/>
          <w:numId w:val="0"/>
        </w:numPr>
        <w:kinsoku/>
        <w:wordWrap/>
        <w:overflowPunct/>
        <w:topLinePunct w:val="0"/>
        <w:bidi w:val="0"/>
        <w:snapToGrid/>
        <w:spacing w:line="540" w:lineRule="exact"/>
        <w:ind w:firstLine="640" w:firstLineChars="200"/>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（五）</w:t>
      </w:r>
      <w:bookmarkStart w:id="8" w:name="_Toc28942"/>
      <w:r>
        <w:rPr>
          <w:rFonts w:hint="default" w:ascii="Times New Roman" w:hAnsi="Times New Roman" w:eastAsia="楷体_GB2312" w:cs="Times New Roman"/>
          <w:kern w:val="2"/>
          <w:sz w:val="32"/>
          <w:szCs w:val="32"/>
          <w:lang w:val="en-US" w:eastAsia="zh-CN" w:bidi="ar-SA"/>
        </w:rPr>
        <w:t>完善数字孪生水利体系，实现智慧赋能</w:t>
      </w:r>
      <w:bookmarkEnd w:id="8"/>
    </w:p>
    <w:p w14:paraId="284DF8C0">
      <w:pPr>
        <w:pStyle w:val="50"/>
        <w:keepNext w:val="0"/>
        <w:keepLines w:val="0"/>
        <w:pageBreakBefore w:val="0"/>
        <w:widowControl w:val="0"/>
        <w:numPr>
          <w:ilvl w:val="0"/>
          <w:numId w:val="0"/>
        </w:numPr>
        <w:kinsoku/>
        <w:wordWrap/>
        <w:overflowPunct/>
        <w:topLinePunct w:val="0"/>
        <w:autoSpaceDE/>
        <w:autoSpaceDN/>
        <w:bidi w:val="0"/>
        <w:adjustRightInd/>
        <w:snapToGrid/>
        <w:spacing w:before="0" w:after="0" w:line="540" w:lineRule="exact"/>
        <w:ind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整合全域水利监测存量资源，升级水位、雨量、水资源、水环境、工程工况自动化监测站点，实现水情、工情、雨情实时采集、智能传输、全域覆盖。搭建一体化水利智能业务平台，开发防洪调度、水资源配置、工程运维、河库管控、节水监管等智慧应用模块，推动水利决策科学化、管理精准化、服务便捷化。按照上级数字孪生水利建设统一部署，完成嵩明县境内重点水利工程、主要河库的数字孪生底板建设，对接省市水利大数据平台，实现水利信息数据共享互通。</w:t>
      </w:r>
    </w:p>
    <w:tbl>
      <w:tblPr>
        <w:tblStyle w:val="19"/>
        <w:tblW w:w="8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20"/>
      </w:tblGrid>
      <w:tr w14:paraId="4AFAF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5B1A3">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i w:val="0"/>
                <w:color w:val="000000"/>
                <w:kern w:val="0"/>
                <w:sz w:val="32"/>
                <w:szCs w:val="32"/>
                <w:u w:val="none"/>
                <w:lang w:val="en-US" w:eastAsia="zh-CN" w:bidi="ar"/>
              </w:rPr>
              <w:t xml:space="preserve">专栏5  </w:t>
            </w:r>
            <w:r>
              <w:rPr>
                <w:rFonts w:hint="default" w:ascii="Times New Roman" w:hAnsi="Times New Roman" w:eastAsia="仿宋_GB2312" w:cs="Times New Roman"/>
                <w:kern w:val="2"/>
                <w:sz w:val="32"/>
                <w:szCs w:val="32"/>
                <w:lang w:val="en-US" w:eastAsia="zh-CN" w:bidi="ar-SA"/>
              </w:rPr>
              <w:t>完</w:t>
            </w:r>
            <w:r>
              <w:rPr>
                <w:rFonts w:hint="default" w:ascii="Times New Roman" w:hAnsi="Times New Roman" w:eastAsia="仿宋_GB2312" w:cs="Times New Roman"/>
                <w:kern w:val="2"/>
                <w:sz w:val="32"/>
                <w:szCs w:val="32"/>
                <w:lang w:val="en-US" w:eastAsia="zh-CN" w:bidi="ar-SA"/>
              </w:rPr>
              <w:t>善数字孪生水利体系</w:t>
            </w:r>
          </w:p>
        </w:tc>
      </w:tr>
      <w:tr w14:paraId="306B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6F84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Chars="0" w:right="0" w:rightChars="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1.全域感知网络升级工程</w:t>
            </w:r>
          </w:p>
          <w:p w14:paraId="3AB0E4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Chars="0" w:right="0" w:rightChars="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改造现有水利监测站点，加密重点河道、水库、灌区监测点位，提升多要素监测精度与覆盖范围，实现监测数据实时回传、自动分析。</w:t>
            </w:r>
          </w:p>
        </w:tc>
      </w:tr>
      <w:tr w14:paraId="6FD68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E769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Chars="0" w:right="0" w:rightChars="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2.水利智能业务应用工程</w:t>
            </w:r>
          </w:p>
          <w:p w14:paraId="52368AD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Chars="0" w:right="0" w:rightChars="0" w:firstLine="640" w:firstLineChars="200"/>
              <w:jc w:val="left"/>
              <w:textAlignment w:val="auto"/>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围绕防洪减灾、水资源调度、工程管护、河库空间管控核心业务，搭建模块化智能应用场景，推动传统人工管理向数字化、智能化管控转型。</w:t>
            </w:r>
          </w:p>
        </w:tc>
      </w:tr>
      <w:tr w14:paraId="778C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32B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Chars="0" w:right="0" w:rightChars="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3.数字孪生底座搭建工程</w:t>
            </w:r>
          </w:p>
          <w:p w14:paraId="70C68FDF">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按照省、市统一技术标准，完成县域重点水利工程、主要河库数字孪生底板建设，打通上下级水利数据共享通道，实现跨层级信息互通共用。</w:t>
            </w:r>
          </w:p>
        </w:tc>
      </w:tr>
    </w:tbl>
    <w:p w14:paraId="13267650">
      <w:pPr>
        <w:keepNext w:val="0"/>
        <w:keepLines w:val="0"/>
        <w:pageBreakBefore w:val="0"/>
        <w:numPr>
          <w:ilvl w:val="0"/>
          <w:numId w:val="0"/>
        </w:numPr>
        <w:kinsoku/>
        <w:wordWrap/>
        <w:overflowPunct/>
        <w:topLinePunct w:val="0"/>
        <w:bidi w:val="0"/>
        <w:snapToGrid/>
        <w:spacing w:line="540" w:lineRule="exact"/>
        <w:ind w:firstLine="640" w:firstLineChars="200"/>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（六）</w:t>
      </w:r>
      <w:bookmarkStart w:id="9" w:name="_Toc14407"/>
      <w:r>
        <w:rPr>
          <w:rFonts w:hint="default" w:ascii="Times New Roman" w:hAnsi="Times New Roman" w:eastAsia="楷体_GB2312" w:cs="Times New Roman"/>
          <w:kern w:val="2"/>
          <w:sz w:val="32"/>
          <w:szCs w:val="32"/>
          <w:lang w:val="en-US" w:eastAsia="zh-CN" w:bidi="ar-SA"/>
        </w:rPr>
        <w:t>强化节水制度政策体系，实现水资源持续利用</w:t>
      </w:r>
      <w:bookmarkEnd w:id="9"/>
    </w:p>
    <w:p w14:paraId="2CD99E0C">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严格执行水资源刚性约束制度，将节水作为水资源开发、利用、调度前置条件，全面落实国家节水行动。强化用水总量、用水强度双控管理，完善农业、工业、城乡服务业用水定额体系，以定额约束抑制不合理用水需求。分领域推进节水提质：农业端普及高效节水灌溉、工业端推动循环用水改造、城镇端开展供水管网漏损治理与公共领域节水提升。实施水资源承载能力分区管控，完善水价调节、节水奖励、节水认证激励政策，持续推进节水型机关、企业、小区创建，营造全民自觉节水社会氛围，持续提升水资源对县域经济社会发展承载能力。</w:t>
      </w:r>
    </w:p>
    <w:tbl>
      <w:tblPr>
        <w:tblStyle w:val="19"/>
        <w:tblW w:w="8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20"/>
      </w:tblGrid>
      <w:tr w14:paraId="16740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77434">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i w:val="0"/>
                <w:color w:val="000000"/>
                <w:kern w:val="0"/>
                <w:sz w:val="32"/>
                <w:szCs w:val="32"/>
                <w:u w:val="none"/>
                <w:lang w:val="en-US" w:eastAsia="zh-CN" w:bidi="ar"/>
              </w:rPr>
              <w:t xml:space="preserve">专栏6  </w:t>
            </w:r>
            <w:r>
              <w:rPr>
                <w:rFonts w:hint="default" w:ascii="Times New Roman" w:hAnsi="Times New Roman" w:eastAsia="仿宋_GB2312" w:cs="Times New Roman"/>
                <w:kern w:val="2"/>
                <w:sz w:val="32"/>
                <w:szCs w:val="32"/>
                <w:lang w:val="en-US" w:eastAsia="zh-CN" w:bidi="ar-SA"/>
              </w:rPr>
              <w:t>强化节水制度政策体系</w:t>
            </w:r>
          </w:p>
        </w:tc>
      </w:tr>
      <w:tr w14:paraId="3A177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83AE7">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1.水资源刚性约束落地工程</w:t>
            </w:r>
          </w:p>
          <w:p w14:paraId="67C1597E">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细化分解县域用水总量控制指标，构建县、镇两级用水强度管控体系，强化规划、建设项目水资源论证源头管控，遏制粗放式用水。</w:t>
            </w:r>
          </w:p>
        </w:tc>
      </w:tr>
      <w:tr w14:paraId="36224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94508">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2.重点领域节水提升工程</w:t>
            </w:r>
          </w:p>
          <w:p w14:paraId="27661511">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分批实施农业高效节水改造、工业循环用水技改、城镇老旧管网漏损治理，推进学校、医院、园区等公共机构节水改造。</w:t>
            </w:r>
          </w:p>
        </w:tc>
      </w:tr>
      <w:tr w14:paraId="03814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BF580">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3.节水载体全域创建工程</w:t>
            </w:r>
          </w:p>
          <w:p w14:paraId="770CC0EA">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巩固县域节水型社会达标建设成果，多层次打造各类节水示范载体，完善节水激励配套政策，培育全民节水新风尚。</w:t>
            </w:r>
          </w:p>
        </w:tc>
      </w:tr>
    </w:tbl>
    <w:p w14:paraId="5C520FCB">
      <w:pPr>
        <w:keepNext w:val="0"/>
        <w:keepLines w:val="0"/>
        <w:pageBreakBefore w:val="0"/>
        <w:numPr>
          <w:ilvl w:val="0"/>
          <w:numId w:val="0"/>
        </w:numPr>
        <w:kinsoku/>
        <w:wordWrap/>
        <w:overflowPunct/>
        <w:topLinePunct w:val="0"/>
        <w:bidi w:val="0"/>
        <w:snapToGrid/>
        <w:spacing w:line="540" w:lineRule="exact"/>
        <w:ind w:firstLine="640" w:firstLineChars="200"/>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（七）</w:t>
      </w:r>
      <w:bookmarkStart w:id="10" w:name="_Toc17079"/>
      <w:r>
        <w:rPr>
          <w:rFonts w:hint="default" w:ascii="Times New Roman" w:hAnsi="Times New Roman" w:eastAsia="楷体_GB2312" w:cs="Times New Roman"/>
          <w:kern w:val="2"/>
          <w:sz w:val="32"/>
          <w:szCs w:val="32"/>
          <w:lang w:val="en-US" w:eastAsia="zh-CN" w:bidi="ar-SA"/>
        </w:rPr>
        <w:t>健全科技改革创新体系，实现可持续发展</w:t>
      </w:r>
      <w:bookmarkEnd w:id="10"/>
    </w:p>
    <w:p w14:paraId="3B98A0E0">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立足嵩明水利发展现实需求，聚焦水旱灾害防御、水资源节约、水生态修复核心领域，补强基层水利专业人才队伍，完善人才培养、培训、激励机制。引进推广高效节水、智慧监测、生态修复成熟新技术、新工艺、新设备，全面提升水利工程建设、运维科技水平。深化水利体制机制改革，明晰各类水利工程管护主体、管护责任，创新小型水利工程物业化管护、政府购买服务新模式，保障工程长效运行。拓宽水利投融资渠道，依托县级水利投资平台发挥财政资金撬动效应，创新政企合作模式，引导社会资本参与水利项目投资、建设、运营。</w:t>
      </w:r>
    </w:p>
    <w:tbl>
      <w:tblPr>
        <w:tblStyle w:val="19"/>
        <w:tblW w:w="8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20"/>
      </w:tblGrid>
      <w:tr w14:paraId="63AA1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37"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A98E1">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i w:val="0"/>
                <w:color w:val="000000"/>
                <w:kern w:val="0"/>
                <w:sz w:val="32"/>
                <w:szCs w:val="32"/>
                <w:u w:val="none"/>
                <w:lang w:val="en-US" w:eastAsia="zh-CN" w:bidi="ar"/>
              </w:rPr>
              <w:t xml:space="preserve">专栏7  </w:t>
            </w:r>
            <w:r>
              <w:rPr>
                <w:rFonts w:hint="default" w:ascii="Times New Roman" w:hAnsi="Times New Roman" w:eastAsia="仿宋_GB2312" w:cs="Times New Roman"/>
                <w:kern w:val="2"/>
                <w:sz w:val="32"/>
                <w:szCs w:val="32"/>
                <w:lang w:val="en-US" w:eastAsia="zh-CN" w:bidi="ar-SA"/>
              </w:rPr>
              <w:t>健全科技改革创新体系</w:t>
            </w:r>
          </w:p>
        </w:tc>
      </w:tr>
      <w:tr w14:paraId="3237E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149AE">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1.水利人才队伍培优工程</w:t>
            </w:r>
          </w:p>
          <w:p w14:paraId="744F870C">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针对基层水利业务短板开展常态化专题培训，充实一线专业技术力量，完善人才引进、培养、激励配套机制，吸引专业人才投身水利事业。</w:t>
            </w:r>
          </w:p>
        </w:tc>
      </w:tr>
      <w:tr w14:paraId="5A122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CAD46">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2.水利先进技术推广工程</w:t>
            </w:r>
          </w:p>
          <w:p w14:paraId="509C8C1D">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围绕高效节水灌溉、数字孪生水利、河库生态修复三大方向，落地成熟适用新技术、新设备，提升水利全流程科技赋能水平。</w:t>
            </w:r>
          </w:p>
        </w:tc>
      </w:tr>
      <w:tr w14:paraId="14831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50771">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3.小型水利管护机制创新工程</w:t>
            </w:r>
          </w:p>
          <w:p w14:paraId="011EA541">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深化小型水利工程产权制度改革，推广物业化运维、社会化管护模式，足额落实管护主体、人员、经费，破解小型工程失管失修难题。</w:t>
            </w:r>
          </w:p>
        </w:tc>
      </w:tr>
      <w:tr w14:paraId="127AE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F64DF">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4.水利投融资模式创新工程</w:t>
            </w:r>
          </w:p>
          <w:p w14:paraId="2DC12124">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kern w:val="2"/>
                <w:sz w:val="32"/>
                <w:szCs w:val="32"/>
                <w:lang w:val="en-US" w:eastAsia="zh-CN" w:bidi="ar-SA"/>
              </w:rPr>
              <w:t>优化水利项目多元投融资路径，放大财政资金杠杆作用，探索多元化政企合作模式，拓宽水利建设资金来源渠道。</w:t>
            </w:r>
          </w:p>
        </w:tc>
      </w:tr>
    </w:tbl>
    <w:p w14:paraId="2F944F73">
      <w:pPr>
        <w:keepNext w:val="0"/>
        <w:keepLines w:val="0"/>
        <w:pageBreakBefore w:val="0"/>
        <w:kinsoku/>
        <w:wordWrap/>
        <w:overflowPunct/>
        <w:topLinePunct w:val="0"/>
        <w:bidi w:val="0"/>
        <w:snapToGrid/>
        <w:spacing w:line="540" w:lineRule="exact"/>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（八）</w:t>
      </w:r>
      <w:bookmarkStart w:id="11" w:name="_Toc20878"/>
      <w:r>
        <w:rPr>
          <w:rFonts w:hint="default" w:ascii="Times New Roman" w:hAnsi="Times New Roman" w:eastAsia="楷体_GB2312" w:cs="Times New Roman"/>
          <w:sz w:val="32"/>
          <w:szCs w:val="32"/>
        </w:rPr>
        <w:t>完善水治理体制机制法治体系，提升治理效能</w:t>
      </w:r>
      <w:bookmarkEnd w:id="11"/>
    </w:p>
    <w:p w14:paraId="6B2A5BD6">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纵深推进河库长制落地见效，压实县、镇（街道）、村三级河长履职责任，健全跨部门协同联动机制，推动河库管理保护从“有名有责”向“有能有效”转变。强化水法治建设，配齐配强规范化水行政执法队伍，配齐执法装备，常态化开展执法业务培训，建立水行政执法与刑事司法衔接机制，严厉打击侵占河道、私采地下水、排污破坏河库等涉水违法行为。系统梳理完善水资源管理、河库保护、工程运维配套制度，构建完备县域水治理制度体系，全面提升水治理综合效能。</w:t>
      </w:r>
    </w:p>
    <w:tbl>
      <w:tblPr>
        <w:tblStyle w:val="19"/>
        <w:tblW w:w="8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20"/>
      </w:tblGrid>
      <w:tr w14:paraId="0AFC1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77"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A6ABE">
            <w:pPr>
              <w:keepNext w:val="0"/>
              <w:keepLines w:val="0"/>
              <w:pageBreakBefore w:val="0"/>
              <w:kinsoku/>
              <w:wordWrap/>
              <w:overflowPunct/>
              <w:topLinePunct w:val="0"/>
              <w:bidi w:val="0"/>
              <w:snapToGrid/>
              <w:spacing w:line="540" w:lineRule="exact"/>
              <w:ind w:firstLine="480"/>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专栏8完善水治理体制机制法治体系</w:t>
            </w:r>
          </w:p>
        </w:tc>
      </w:tr>
      <w:tr w14:paraId="6B460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20FC1">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1.河库长制履职增效工程</w:t>
            </w:r>
          </w:p>
          <w:p w14:paraId="25D4C29F">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完善河库长制考核督办机制，常态化开展河长履职能力培训，强化部门联合巡查、联合处置，统筹化解河库管护重难点问题。</w:t>
            </w:r>
          </w:p>
        </w:tc>
      </w:tr>
      <w:tr w14:paraId="07ABF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350F0">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2.水行政执法规范化工程</w:t>
            </w:r>
          </w:p>
          <w:p w14:paraId="1EC85F64">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推进执法队伍标准化建设，配齐执法装备，健全案件移送、联合执法机制，从严查处各类涉水违法违规行为，规范全域水事秩序。</w:t>
            </w:r>
          </w:p>
        </w:tc>
      </w:tr>
      <w:tr w14:paraId="6584F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362AE">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3.县域水制度体系完善工程</w:t>
            </w:r>
          </w:p>
          <w:p w14:paraId="5BA97E8B">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梳理修订水资源调度、水土保持、河库管控、工程管护配套管理制度，构建系统完备、贴合县域实际的水利制度框架</w:t>
            </w:r>
            <w:r>
              <w:rPr>
                <w:rFonts w:hint="default" w:ascii="Times New Roman" w:hAnsi="Times New Roman" w:cs="Times New Roman"/>
                <w:color w:val="000000"/>
                <w:sz w:val="24"/>
                <w:szCs w:val="24"/>
              </w:rPr>
              <w:t>。</w:t>
            </w:r>
          </w:p>
        </w:tc>
      </w:tr>
    </w:tbl>
    <w:p w14:paraId="5DADE1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40" w:lineRule="exact"/>
        <w:ind w:left="0" w:right="0"/>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sz w:val="32"/>
          <w:szCs w:val="32"/>
          <w:lang w:val="en-US" w:eastAsia="zh-CN"/>
        </w:rPr>
        <w:t>（九）</w:t>
      </w:r>
      <w:r>
        <w:rPr>
          <w:rFonts w:hint="default" w:ascii="Times New Roman" w:hAnsi="Times New Roman" w:eastAsia="楷体_GB2312" w:cs="Times New Roman"/>
          <w:color w:val="000000"/>
          <w:sz w:val="32"/>
          <w:szCs w:val="32"/>
        </w:rPr>
        <w:t>补齐水库移民后期扶持短板，保障移民安置区和谐稳定发展</w:t>
      </w:r>
    </w:p>
    <w:p w14:paraId="38A27A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紧扣移民群众安稳致富核心需求，聚焦安置区基础设施薄弱、产业发展滞后突出问题，持续完善移民村道路、供水、供电、公共服务配套设施，全方位改善移民生产生活条件。精准对接移民就业创业需求，开展定制化技能培训，拓宽就业增收渠道。立足安置区资源禀赋，因地制宜布局特色种植、农文旅融合产业，壮大村集体经济，持续提升移民收入水平，筑牢安置区社会和谐稳定根基。</w:t>
      </w:r>
    </w:p>
    <w:tbl>
      <w:tblPr>
        <w:tblStyle w:val="19"/>
        <w:tblW w:w="8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20"/>
      </w:tblGrid>
      <w:tr w14:paraId="71BC2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7"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F4534">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i w:val="0"/>
                <w:color w:val="000000"/>
                <w:kern w:val="0"/>
                <w:sz w:val="32"/>
                <w:szCs w:val="32"/>
                <w:u w:val="none"/>
                <w:lang w:val="en-US" w:eastAsia="zh-CN" w:bidi="ar"/>
              </w:rPr>
              <w:t xml:space="preserve">专栏9  </w:t>
            </w:r>
            <w:r>
              <w:rPr>
                <w:rFonts w:hint="default" w:ascii="Times New Roman" w:hAnsi="Times New Roman" w:eastAsia="仿宋_GB2312" w:cs="Times New Roman"/>
                <w:color w:val="000000"/>
                <w:sz w:val="32"/>
                <w:szCs w:val="32"/>
              </w:rPr>
              <w:t>补齐水库移民后期扶持短板</w:t>
            </w:r>
          </w:p>
        </w:tc>
      </w:tr>
      <w:tr w14:paraId="2E260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2"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38B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1.安置区基础设施补短板工程</w:t>
            </w:r>
          </w:p>
          <w:p w14:paraId="4A666A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统筹推进移民村道路硬化、安全饮水升级、电力保障、文体广场、污水管网等配套建设，改善人居环境。</w:t>
            </w:r>
          </w:p>
        </w:tc>
      </w:tr>
      <w:tr w14:paraId="35708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F62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2.移民特色产业培育工程</w:t>
            </w:r>
          </w:p>
          <w:p w14:paraId="16F4E1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color w:val="000000"/>
                <w:kern w:val="2"/>
                <w:sz w:val="32"/>
                <w:szCs w:val="32"/>
                <w:lang w:val="en-US" w:eastAsia="zh-CN" w:bidi="ar-SA"/>
              </w:rPr>
              <w:t>依托本地资源发展特色果蔬、花卉、水产养殖、乡村旅游等富民产业，扶持移民创业就业，持续壮大集体经济。</w:t>
            </w:r>
          </w:p>
        </w:tc>
      </w:tr>
      <w:tr w14:paraId="63ACA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5" w:hRule="atLeast"/>
          <w:jc w:val="center"/>
        </w:trPr>
        <w:tc>
          <w:tcPr>
            <w:tcW w:w="8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FC0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3.移民稳定风险防控工程</w:t>
            </w:r>
          </w:p>
          <w:p w14:paraId="45D39F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i w:val="0"/>
                <w:color w:val="000000"/>
                <w:kern w:val="0"/>
                <w:sz w:val="32"/>
                <w:szCs w:val="32"/>
                <w:u w:val="none"/>
                <w:lang w:val="en-US" w:eastAsia="zh-CN" w:bidi="ar"/>
              </w:rPr>
            </w:pPr>
            <w:r>
              <w:rPr>
                <w:rFonts w:hint="default" w:ascii="Times New Roman" w:hAnsi="Times New Roman" w:eastAsia="仿宋_GB2312" w:cs="Times New Roman"/>
                <w:color w:val="000000"/>
                <w:kern w:val="2"/>
                <w:sz w:val="32"/>
                <w:szCs w:val="32"/>
                <w:lang w:val="en-US" w:eastAsia="zh-CN" w:bidi="ar-SA"/>
              </w:rPr>
              <w:t>全面落实移民社会保障政策，常态化排查化解矛盾风险，保障移民安置区长治久安。</w:t>
            </w:r>
          </w:p>
        </w:tc>
      </w:tr>
    </w:tbl>
    <w:p w14:paraId="2C5771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楷体_GB2312" w:cs="Times New Roman"/>
          <w:color w:val="000000"/>
          <w:kern w:val="2"/>
          <w:sz w:val="32"/>
          <w:szCs w:val="32"/>
          <w:lang w:val="en-US" w:eastAsia="zh-CN" w:bidi="ar-SA"/>
        </w:rPr>
      </w:pPr>
      <w:r>
        <w:rPr>
          <w:rFonts w:hint="default" w:ascii="Times New Roman" w:hAnsi="Times New Roman" w:eastAsia="楷体_GB2312" w:cs="Times New Roman"/>
          <w:color w:val="000000"/>
          <w:kern w:val="2"/>
          <w:sz w:val="32"/>
          <w:szCs w:val="32"/>
          <w:lang w:val="en-US" w:eastAsia="zh-CN" w:bidi="ar-SA"/>
        </w:rPr>
        <w:t>（十）</w:t>
      </w:r>
      <w:bookmarkStart w:id="12" w:name="_Toc5068"/>
      <w:r>
        <w:rPr>
          <w:rFonts w:hint="default" w:ascii="Times New Roman" w:hAnsi="Times New Roman" w:eastAsia="楷体_GB2312" w:cs="Times New Roman"/>
          <w:color w:val="000000"/>
          <w:kern w:val="2"/>
          <w:sz w:val="32"/>
          <w:szCs w:val="32"/>
          <w:lang w:val="en-US" w:eastAsia="zh-CN" w:bidi="ar-SA"/>
        </w:rPr>
        <w:t>投资规模匡算</w:t>
      </w:r>
      <w:bookmarkEnd w:id="12"/>
    </w:p>
    <w:p w14:paraId="5CDC2F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本规划共统筹实施水利项目5</w:t>
      </w:r>
      <w:r>
        <w:rPr>
          <w:rFonts w:hint="default" w:ascii="Times New Roman" w:hAnsi="Times New Roman" w:eastAsia="仿宋_GB2312" w:cs="Times New Roman"/>
          <w:color w:val="000000"/>
          <w:kern w:val="2"/>
          <w:sz w:val="32"/>
          <w:szCs w:val="32"/>
          <w:lang w:val="en-US" w:eastAsia="zh-CN" w:bidi="ar-SA"/>
        </w:rPr>
        <w:t>0</w:t>
      </w:r>
      <w:r>
        <w:rPr>
          <w:rFonts w:hint="default" w:ascii="Times New Roman" w:hAnsi="Times New Roman" w:eastAsia="仿宋_GB2312" w:cs="Times New Roman"/>
          <w:color w:val="000000"/>
          <w:kern w:val="2"/>
          <w:sz w:val="32"/>
          <w:szCs w:val="32"/>
          <w:lang w:val="en-US" w:eastAsia="zh-CN" w:bidi="ar-SA"/>
        </w:rPr>
        <w:t>项，规划总投资296962.52万元，按工程类型划分投资如下：防洪排涝工程：32000万元；城乡供水一体化水网工程：128581.53万元；现代化灌溉排水网工程：80628.12万元；河湖生态修复治理工程：</w:t>
      </w:r>
      <w:r>
        <w:rPr>
          <w:rFonts w:hint="default" w:ascii="Times New Roman" w:hAnsi="Times New Roman" w:eastAsia="仿宋_GB2312" w:cs="Times New Roman"/>
          <w:color w:val="000000"/>
          <w:kern w:val="2"/>
          <w:sz w:val="32"/>
          <w:szCs w:val="32"/>
          <w:lang w:val="en-US" w:eastAsia="zh-CN" w:bidi="ar-SA"/>
        </w:rPr>
        <w:t>50952.87</w:t>
      </w:r>
      <w:r>
        <w:rPr>
          <w:rFonts w:hint="default" w:ascii="Times New Roman" w:hAnsi="Times New Roman" w:eastAsia="仿宋_GB2312" w:cs="Times New Roman"/>
          <w:color w:val="000000"/>
          <w:kern w:val="2"/>
          <w:sz w:val="32"/>
          <w:szCs w:val="32"/>
          <w:lang w:val="en-US" w:eastAsia="zh-CN" w:bidi="ar-SA"/>
        </w:rPr>
        <w:t>万元；数字孪生智慧水网工程：4800万元。</w:t>
      </w:r>
    </w:p>
    <w:p w14:paraId="64224AE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（十一）</w:t>
      </w:r>
      <w:bookmarkStart w:id="13" w:name="_Toc25931"/>
      <w:r>
        <w:rPr>
          <w:rFonts w:hint="default" w:ascii="Times New Roman" w:hAnsi="Times New Roman" w:eastAsia="楷体_GB2312" w:cs="Times New Roman"/>
          <w:kern w:val="2"/>
          <w:sz w:val="32"/>
          <w:szCs w:val="32"/>
          <w:lang w:val="en-US" w:eastAsia="zh-CN" w:bidi="ar-SA"/>
        </w:rPr>
        <w:t>环境影响评价</w:t>
      </w:r>
      <w:bookmarkEnd w:id="13"/>
    </w:p>
    <w:p w14:paraId="447AFF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本规划实施项目以防灾减灾、民生供水、农田灌溉、河库生态修复类工程为主，无高污染、高环境风险建设内容。规划实施全过程严格落实生态环境保护法律法规、项目环评及环保“三同时”制度，同步编制专项生态保护修复方案，施工期水土保持、植被保护、水质扰动管控措施落地到位后，工程短期环境负面影响可得到有效管控。整体规划契合绿色低碳发展导向，方案环境可行性良好。工程建设全过程强化生态管控，施工扰动区域同步实施植被恢复、水土保持治理，实现水利工程建设与区域生态保护协同共进。</w:t>
      </w:r>
    </w:p>
    <w:p w14:paraId="6D83067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sz w:val="32"/>
          <w:szCs w:val="32"/>
          <w:lang w:eastAsia="zh-CN"/>
        </w:rPr>
      </w:pPr>
      <w:r>
        <w:rPr>
          <w:rFonts w:hint="default" w:ascii="Times New Roman" w:hAnsi="Times New Roman" w:eastAsia="楷体_GB2312" w:cs="Times New Roman"/>
          <w:kern w:val="2"/>
          <w:sz w:val="32"/>
          <w:szCs w:val="32"/>
          <w:lang w:val="en-US" w:eastAsia="zh-CN" w:bidi="ar-SA"/>
        </w:rPr>
        <w:t>（十二）</w:t>
      </w:r>
      <w:bookmarkStart w:id="14" w:name="_Toc18314"/>
      <w:r>
        <w:rPr>
          <w:rFonts w:hint="default" w:ascii="Times New Roman" w:hAnsi="Times New Roman" w:eastAsia="楷体_GB2312" w:cs="Times New Roman"/>
          <w:kern w:val="2"/>
          <w:sz w:val="32"/>
          <w:szCs w:val="32"/>
          <w:lang w:val="en-US" w:eastAsia="zh-CN" w:bidi="ar-SA"/>
        </w:rPr>
        <w:t>风险评估</w:t>
      </w:r>
      <w:bookmarkEnd w:id="14"/>
    </w:p>
    <w:p w14:paraId="3420B4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本规划统筹多类型水利工程集中实施，契合县域经济社会、生态保护总体发展布局，实施基础条件良好，但仍存在四类不确定性风险，需提前谋划防控举措：</w:t>
      </w:r>
    </w:p>
    <w:p w14:paraId="4C93AA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1.资金筹措保障风险</w:t>
      </w:r>
    </w:p>
    <w:p w14:paraId="2BA0D1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规划项目投资体量较大，单纯依靠县级财政难以足额保障建设需求；若上级专项资金争取不畅、市场化融资渠道受阻、社会资本引入不足，将延缓项目实施进度。应对举措：创新水利多元投融资模式，全力向上对接争取水利专项补助资金；拓展政府和社会资本合作、水利专项债等融资路径，发挥财政资金撬动作用，保障项目资金闭环供给。</w:t>
      </w:r>
    </w:p>
    <w:p w14:paraId="761F78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2.项目审批与建设实施风险</w:t>
      </w:r>
    </w:p>
    <w:p w14:paraId="3B32AF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多数水利项目涉及土地、林地、环评、水土保持多部门多层级审批，流程周期较长；施工阶段易受征地拆迁协调、极端天气、地质条件等外部因素干扰，造成工期滞后。应对举措：提前统筹项目前期论证，建立项目审批绿色通道，优化并联审批流程；提前开展征地群众沟通协调，科学编制施工组织方案，降低外部因素对项目推进的制约。</w:t>
      </w:r>
    </w:p>
    <w:p w14:paraId="4B77C1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3.施工期生态环境扰动风险</w:t>
      </w:r>
    </w:p>
    <w:p w14:paraId="2DBE1F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规划项目整体环境影响可控，但施工开挖、弃土堆放、临时占地易造成局部水土流失、植被破坏、河道水质短期扰动，环保管控措施落实不到位将加剧局部生态影响。应对举措：细化施工期生态保护专项方案，同步配套截排水、挡土、植被恢复措施，完工后及时开展生态修复，最大限度降低工程建设生态扰动。</w:t>
      </w:r>
    </w:p>
    <w:p w14:paraId="4C8A6F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4.工程建成后长效管护风险</w:t>
      </w:r>
    </w:p>
    <w:p w14:paraId="6C02A5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若工程管护机制不完善、管护主体不清晰、运维经费保障不足，小型水利工程易出现老化失修、效益衰减问题。应对举措：深化水利工程管护体制改革，明确管护责任主体，足额保障运维经费；依托数字孪生智慧水利平台实现远程常态化监管，创新物业化、社会化管护模式，保障各类水利工程长期稳定发挥效益。</w:t>
      </w:r>
    </w:p>
    <w:p w14:paraId="5C6AA15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lang w:eastAsia="zh-CN"/>
        </w:rPr>
        <w:t>、组织保障</w:t>
      </w:r>
    </w:p>
    <w:p w14:paraId="1B6BD8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40" w:lineRule="exact"/>
        <w:ind w:left="0" w:right="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为确保规划各项任务落地见效，一是加强统筹协调，</w:t>
      </w:r>
      <w:r>
        <w:rPr>
          <w:rFonts w:hint="default" w:ascii="Times New Roman" w:hAnsi="Times New Roman" w:eastAsia="仿宋_GB2312" w:cs="Times New Roman"/>
          <w:color w:val="000000"/>
          <w:kern w:val="2"/>
          <w:sz w:val="32"/>
          <w:szCs w:val="32"/>
          <w:lang w:val="en-US" w:eastAsia="zh-CN" w:bidi="ar-SA"/>
        </w:rPr>
        <w:t>细化年度任务，构建分级负责、多方协同、闭环推进机制，压实责任、推动落实。</w:t>
      </w:r>
      <w:r>
        <w:rPr>
          <w:rFonts w:hint="default" w:ascii="Times New Roman" w:hAnsi="Times New Roman" w:eastAsia="仿宋_GB2312" w:cs="Times New Roman"/>
          <w:color w:val="000000"/>
          <w:kern w:val="2"/>
          <w:sz w:val="32"/>
          <w:szCs w:val="32"/>
          <w:lang w:val="en-US" w:eastAsia="zh-CN" w:bidi="ar-SA"/>
        </w:rPr>
        <w:t>二是强化要素保障</w:t>
      </w:r>
      <w:r>
        <w:rPr>
          <w:rFonts w:hint="default"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扎实推进项目前期工作，同时，主动对接上级部门争取政策、资金、项目支持，</w:t>
      </w:r>
      <w:r>
        <w:rPr>
          <w:rFonts w:hint="default" w:ascii="Times New Roman" w:hAnsi="Times New Roman" w:eastAsia="仿宋_GB2312" w:cs="Times New Roman"/>
          <w:color w:val="000000"/>
          <w:kern w:val="2"/>
          <w:sz w:val="32"/>
          <w:szCs w:val="32"/>
          <w:lang w:val="en-US" w:eastAsia="zh-CN" w:bidi="ar-SA"/>
        </w:rPr>
        <w:t>加快项目落地。</w:t>
      </w:r>
      <w:r>
        <w:rPr>
          <w:rFonts w:hint="default" w:ascii="Times New Roman" w:hAnsi="Times New Roman" w:eastAsia="仿宋_GB2312" w:cs="Times New Roman"/>
          <w:color w:val="000000"/>
          <w:kern w:val="2"/>
          <w:sz w:val="32"/>
          <w:szCs w:val="32"/>
          <w:lang w:val="en-US" w:eastAsia="zh-CN" w:bidi="ar-SA"/>
        </w:rPr>
        <w:t>三是创新多元投融资模式，拓宽水利建设资金来源，为项目实施提供稳定资金支撑。四是建立规划实施常态化跟踪评估机制，定期调度项目进展，及时协调解决推进中的堵点难点问题，保障规划各项目标任务顺利完成。五是加大宣传引导，构建全社会共同关注支持水安全保障工作的良好氛围，及时总结推广水利建设的好经验好做法，凝聚各方共识合力，推动嵩明县水利事业高质量发展，为全县经济社会持续健康发展筑牢坚实水安全支撑。</w:t>
      </w:r>
    </w:p>
    <w:p w14:paraId="6289C1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p>
    <w:p w14:paraId="4F0313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附件：1.嵩明县“十五五”水安全保障项目汇总表</w:t>
      </w:r>
    </w:p>
    <w:p w14:paraId="756B5C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1598" w:leftChars="266" w:right="0" w:hanging="960" w:hangingChars="300"/>
        <w:jc w:val="left"/>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 xml:space="preserve">      2.嵩明县“十五五”水安全保障规划分项工程统计表</w:t>
      </w:r>
    </w:p>
    <w:p w14:paraId="2C5DF0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p>
    <w:p w14:paraId="44C7A5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p>
    <w:p w14:paraId="43908F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p>
    <w:p w14:paraId="508C82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p>
    <w:p w14:paraId="5D3ED6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p>
    <w:p w14:paraId="3821F6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p>
    <w:p w14:paraId="22B056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p>
    <w:p w14:paraId="533C7D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p>
    <w:p w14:paraId="4946EE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p>
    <w:p w14:paraId="59DFBE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560" w:lineRule="exact"/>
        <w:ind w:left="0" w:right="0"/>
        <w:jc w:val="left"/>
        <w:rPr>
          <w:rFonts w:hint="default" w:ascii="Times New Roman" w:hAnsi="Times New Roman" w:eastAsia="仿宋_GB2312" w:cs="Times New Roman"/>
          <w:color w:val="000000"/>
          <w:kern w:val="2"/>
          <w:sz w:val="32"/>
          <w:szCs w:val="32"/>
          <w:lang w:val="en-US" w:eastAsia="zh-CN" w:bidi="ar-SA"/>
        </w:rPr>
      </w:pPr>
    </w:p>
    <w:p w14:paraId="0FABD3C6">
      <w:pPr>
        <w:bidi w:val="0"/>
        <w:rPr>
          <w:rFonts w:hint="default" w:ascii="Times New Roman" w:hAnsi="Times New Roman" w:eastAsia="仿宋_GB2312" w:cs="Times New Roman"/>
          <w:color w:val="000000"/>
          <w:kern w:val="2"/>
          <w:sz w:val="32"/>
          <w:szCs w:val="32"/>
          <w:lang w:val="en-US" w:eastAsia="zh-CN" w:bidi="ar-SA"/>
        </w:rPr>
      </w:pPr>
    </w:p>
    <w:p w14:paraId="16F6C220">
      <w:pPr>
        <w:bidi w:val="0"/>
        <w:ind w:left="0" w:leftChars="0" w:firstLine="0" w:firstLineChars="0"/>
        <w:rPr>
          <w:rFonts w:hint="default" w:ascii="Times New Roman" w:hAnsi="Times New Roman" w:cs="Times New Roman"/>
          <w:sz w:val="32"/>
          <w:szCs w:val="32"/>
          <w:lang w:val="en-US" w:eastAsia="zh-CN"/>
        </w:rPr>
      </w:pPr>
      <w:r>
        <w:rPr>
          <w:rFonts w:hint="default" w:ascii="Times New Roman" w:hAnsi="Times New Roman" w:cs="Times New Roman"/>
          <w:sz w:val="32"/>
          <w:szCs w:val="32"/>
          <w:lang w:eastAsia="zh-CN"/>
        </w:rPr>
        <w:t>附件</w:t>
      </w:r>
      <w:r>
        <w:rPr>
          <w:rFonts w:hint="default" w:ascii="Times New Roman" w:hAnsi="Times New Roman" w:cs="Times New Roman"/>
          <w:sz w:val="32"/>
          <w:szCs w:val="32"/>
          <w:lang w:val="en-US" w:eastAsia="zh-CN"/>
        </w:rPr>
        <w:t>1</w:t>
      </w:r>
    </w:p>
    <w:p w14:paraId="019BC316">
      <w:pPr>
        <w:bidi w:val="0"/>
        <w:ind w:left="0" w:leftChars="0" w:firstLine="0" w:firstLineChars="0"/>
        <w:jc w:val="center"/>
        <w:rPr>
          <w:rFonts w:hint="default" w:ascii="Times New Roman" w:hAnsi="Times New Roman" w:eastAsia="黑体" w:cs="Times New Roman"/>
          <w:color w:val="000000"/>
          <w:kern w:val="2"/>
          <w:sz w:val="32"/>
          <w:szCs w:val="32"/>
          <w:lang w:val="en-US" w:eastAsia="zh-CN" w:bidi="ar-SA"/>
        </w:rPr>
      </w:pPr>
      <w:r>
        <w:rPr>
          <w:rFonts w:hint="default" w:ascii="Times New Roman" w:hAnsi="Times New Roman" w:eastAsia="黑体" w:cs="Times New Roman"/>
          <w:color w:val="000000"/>
          <w:kern w:val="2"/>
          <w:sz w:val="32"/>
          <w:szCs w:val="32"/>
          <w:lang w:val="en-US" w:eastAsia="zh-CN" w:bidi="ar-SA"/>
        </w:rPr>
        <w:t>嵩明县“十五五”水安全保障项目汇总表</w:t>
      </w:r>
    </w:p>
    <w:tbl>
      <w:tblPr>
        <w:tblStyle w:val="19"/>
        <w:tblW w:w="85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135"/>
        <w:gridCol w:w="3765"/>
        <w:gridCol w:w="970"/>
        <w:gridCol w:w="1669"/>
      </w:tblGrid>
      <w:tr w14:paraId="02B09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7" w:hRule="atLeast"/>
        </w:trPr>
        <w:tc>
          <w:tcPr>
            <w:tcW w:w="59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5DD45">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项目</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9DC78">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项目数量</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458A2">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工程项目总投资</w:t>
            </w:r>
          </w:p>
        </w:tc>
      </w:tr>
      <w:tr w14:paraId="2F618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7" w:hRule="atLeast"/>
        </w:trPr>
        <w:tc>
          <w:tcPr>
            <w:tcW w:w="59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CD7A1">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7096C">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（件）</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D2AD9">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（万元）</w:t>
            </w:r>
          </w:p>
        </w:tc>
      </w:tr>
      <w:tr w14:paraId="36956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5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5A983">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合计</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3D1FA">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50</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0A42C">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296962.52</w:t>
            </w:r>
          </w:p>
        </w:tc>
      </w:tr>
      <w:tr w14:paraId="6B647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E66EA">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一、防洪排涝网工程</w:t>
            </w: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E6B71">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山洪沟规划治理工程</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22D29">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0</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98AAD">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0</w:t>
            </w:r>
          </w:p>
        </w:tc>
      </w:tr>
      <w:tr w14:paraId="75426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6" w:hRule="atLeast"/>
        </w:trPr>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2F0B1">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B0084">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病险水库（闸）除险加固工程</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022E4">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5</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5E2F6">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4800</w:t>
            </w:r>
          </w:p>
        </w:tc>
      </w:tr>
      <w:tr w14:paraId="1EBA7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A7ED5">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0A773">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主要河流治理</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CF356">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69974">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12200</w:t>
            </w:r>
          </w:p>
        </w:tc>
      </w:tr>
      <w:tr w14:paraId="7ED1A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49CD6">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4476C">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小计</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E3C24">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583E4">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17000</w:t>
            </w:r>
          </w:p>
        </w:tc>
      </w:tr>
      <w:tr w14:paraId="0F2CE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6" w:hRule="atLeast"/>
        </w:trPr>
        <w:tc>
          <w:tcPr>
            <w:tcW w:w="21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7AD89">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城乡供水网工程</w:t>
            </w: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E5878">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城乡供水工程</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8078A">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E198A">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143581.53</w:t>
            </w:r>
          </w:p>
        </w:tc>
      </w:tr>
      <w:tr w14:paraId="1E51F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EEB6C">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4A06C">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小计</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10E88">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D7C6E">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143581.53</w:t>
            </w:r>
          </w:p>
        </w:tc>
      </w:tr>
      <w:tr w14:paraId="241DC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0D0B9">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灌溉排水网工程</w:t>
            </w: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C0FCD">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嵩明大型灌区续建配套与现代化改造项</w:t>
            </w:r>
            <w:r>
              <w:rPr>
                <w:rFonts w:hint="default" w:ascii="Times New Roman" w:hAnsi="Times New Roman" w:cs="Times New Roman"/>
                <w:kern w:val="0"/>
                <w:sz w:val="21"/>
                <w:szCs w:val="21"/>
                <w:lang w:val="en-US" w:eastAsia="zh-CN"/>
              </w:rPr>
              <w:t>目</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567B6">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D33CA">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62084.12</w:t>
            </w:r>
          </w:p>
        </w:tc>
      </w:tr>
      <w:tr w14:paraId="1F09F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660B1">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641C4">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小型农田水利建设</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EDAEA">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41386">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6000</w:t>
            </w:r>
          </w:p>
        </w:tc>
      </w:tr>
      <w:tr w14:paraId="64F85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6" w:hRule="atLeast"/>
        </w:trPr>
        <w:tc>
          <w:tcPr>
            <w:tcW w:w="2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A202B">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9DD90">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嵩明县小型灌排泵站、沟渠改造工程</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78F42">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44ACE">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3601</w:t>
            </w:r>
          </w:p>
        </w:tc>
      </w:tr>
      <w:tr w14:paraId="194E6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6" w:hRule="atLeast"/>
        </w:trPr>
        <w:tc>
          <w:tcPr>
            <w:tcW w:w="2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F0BD0">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47440">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嵩明县小型输配水管网灌溉工程</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FAD19">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84FDD">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8943</w:t>
            </w:r>
          </w:p>
        </w:tc>
      </w:tr>
      <w:tr w14:paraId="7ED98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9E691">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F76AE">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小计</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A4916">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4</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B6FD2">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80628.12</w:t>
            </w:r>
          </w:p>
        </w:tc>
      </w:tr>
      <w:tr w14:paraId="05A3E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B01C6">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四、河湖生态网工程</w:t>
            </w: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2A40F">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水土保持工程</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2B686">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321BC">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2102</w:t>
            </w:r>
          </w:p>
        </w:tc>
      </w:tr>
      <w:tr w14:paraId="646CC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B0372">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7A411">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重要河流生态廊道建设工程</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E046C">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4</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9C91B">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22268.4</w:t>
            </w:r>
          </w:p>
        </w:tc>
      </w:tr>
      <w:tr w14:paraId="09255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5404C">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E2D71">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水库移民后期扶持</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1E637">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19</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55E58">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25582.47</w:t>
            </w:r>
          </w:p>
        </w:tc>
      </w:tr>
      <w:tr w14:paraId="1F9F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D157E">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F2866">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地下水超采综合治理工程</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FE78D">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69B44">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1000</w:t>
            </w:r>
          </w:p>
        </w:tc>
      </w:tr>
      <w:tr w14:paraId="75722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0D551">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473F3">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小计</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6E7C3">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26</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6ACD2">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50952.87</w:t>
            </w:r>
          </w:p>
        </w:tc>
      </w:tr>
      <w:tr w14:paraId="379FF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1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279DD">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五、数字孪生网工程</w:t>
            </w: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FB811">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水利信息化基础设施</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D5D65">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3</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970BB">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4800</w:t>
            </w:r>
          </w:p>
        </w:tc>
      </w:tr>
      <w:tr w14:paraId="4482F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5" w:hRule="atLeast"/>
        </w:trPr>
        <w:tc>
          <w:tcPr>
            <w:tcW w:w="2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98FBF">
            <w:pPr>
              <w:widowControl/>
              <w:spacing w:line="240" w:lineRule="exact"/>
              <w:ind w:firstLine="0" w:firstLineChars="0"/>
              <w:jc w:val="center"/>
              <w:rPr>
                <w:rFonts w:hint="default" w:ascii="Times New Roman" w:hAnsi="Times New Roman" w:cs="Times New Roman"/>
                <w:kern w:val="0"/>
                <w:sz w:val="21"/>
                <w:szCs w:val="21"/>
                <w:lang w:val="en-US" w:eastAsia="zh-CN"/>
              </w:rPr>
            </w:pPr>
          </w:p>
        </w:tc>
        <w:tc>
          <w:tcPr>
            <w:tcW w:w="3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9052D">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小计</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5F550">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3</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2A4E1">
            <w:pPr>
              <w:widowControl/>
              <w:spacing w:line="240" w:lineRule="exact"/>
              <w:ind w:firstLine="0" w:firstLineChars="0"/>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4800</w:t>
            </w:r>
          </w:p>
        </w:tc>
      </w:tr>
    </w:tbl>
    <w:p w14:paraId="0AAFE62A">
      <w:pPr>
        <w:bidi w:val="0"/>
        <w:ind w:left="0" w:leftChars="0" w:firstLine="0" w:firstLineChars="0"/>
        <w:rPr>
          <w:rFonts w:hint="default" w:ascii="Times New Roman" w:hAnsi="Times New Roman" w:cs="Times New Roman"/>
          <w:lang w:val="en-US" w:eastAsia="zh-CN"/>
        </w:rPr>
      </w:pPr>
    </w:p>
    <w:p w14:paraId="3E131175">
      <w:pPr>
        <w:bidi w:val="0"/>
        <w:ind w:left="0" w:leftChars="0" w:firstLine="0" w:firstLineChars="0"/>
        <w:rPr>
          <w:rFonts w:hint="default" w:ascii="Times New Roman" w:hAnsi="Times New Roman" w:cs="Times New Roman"/>
          <w:sz w:val="32"/>
          <w:szCs w:val="32"/>
          <w:lang w:eastAsia="zh-CN"/>
        </w:rPr>
      </w:pPr>
    </w:p>
    <w:p w14:paraId="3D73160E">
      <w:pPr>
        <w:pageBreakBefore w:val="0"/>
        <w:widowControl/>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lang w:eastAsia="zh-CN"/>
        </w:rPr>
        <w:t>附件</w:t>
      </w:r>
      <w:r>
        <w:rPr>
          <w:rFonts w:hint="default" w:ascii="Times New Roman" w:hAnsi="Times New Roman" w:cs="Times New Roman"/>
          <w:sz w:val="32"/>
          <w:szCs w:val="32"/>
          <w:lang w:val="en-US" w:eastAsia="zh-CN"/>
        </w:rPr>
        <w:t>2</w:t>
      </w:r>
    </w:p>
    <w:p w14:paraId="37B04A71">
      <w:pPr>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eastAsia="zh-CN"/>
          <w14:textFill>
            <w14:solidFill>
              <w14:schemeClr w14:val="tx1"/>
            </w14:solidFill>
          </w14:textFill>
        </w:rPr>
        <w:t>附件</w:t>
      </w:r>
      <w:r>
        <w:rPr>
          <w:rFonts w:hint="default"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cs="Times New Roman"/>
          <w:b/>
          <w:bCs/>
          <w:color w:val="000000" w:themeColor="text1"/>
          <w14:textFill>
            <w14:solidFill>
              <w14:schemeClr w14:val="tx1"/>
            </w14:solidFill>
          </w14:textFill>
        </w:rPr>
        <w:t>-</w:t>
      </w:r>
      <w:r>
        <w:rPr>
          <w:rFonts w:hint="default" w:ascii="Times New Roman" w:hAnsi="Times New Roman" w:cs="Times New Roman"/>
          <w:b/>
          <w:bCs/>
          <w:color w:val="000000" w:themeColor="text1"/>
          <w:lang w:val="en-US" w:eastAsia="zh-CN"/>
          <w14:textFill>
            <w14:solidFill>
              <w14:schemeClr w14:val="tx1"/>
            </w14:solidFill>
          </w14:textFill>
        </w:rPr>
        <w:t>1</w:t>
      </w:r>
      <w:r>
        <w:rPr>
          <w:rFonts w:hint="default" w:ascii="Times New Roman" w:hAnsi="Times New Roman" w:cs="Times New Roman"/>
          <w:b/>
          <w:bCs/>
          <w:color w:val="000000" w:themeColor="text1"/>
          <w14:textFill>
            <w14:solidFill>
              <w14:schemeClr w14:val="tx1"/>
            </w14:solidFill>
          </w14:textFill>
        </w:rPr>
        <w:t>昆明市嵩明县“十五五”水安全保障规划防洪排涝工程表</w:t>
      </w:r>
    </w:p>
    <w:tbl>
      <w:tblPr>
        <w:tblStyle w:val="19"/>
        <w:tblW w:w="90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388"/>
        <w:gridCol w:w="1389"/>
        <w:gridCol w:w="1388"/>
        <w:gridCol w:w="1034"/>
        <w:gridCol w:w="1350"/>
        <w:gridCol w:w="1245"/>
        <w:gridCol w:w="1245"/>
      </w:tblGrid>
      <w:tr w14:paraId="31206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3" w:hRule="atLeast"/>
        </w:trPr>
        <w:tc>
          <w:tcPr>
            <w:tcW w:w="1388"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DD54CE6">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项目类型</w:t>
            </w:r>
          </w:p>
        </w:tc>
        <w:tc>
          <w:tcPr>
            <w:tcW w:w="1389" w:type="dxa"/>
            <w:vMerge w:val="restar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598CA90D">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项目名称</w:t>
            </w:r>
          </w:p>
        </w:tc>
        <w:tc>
          <w:tcPr>
            <w:tcW w:w="1388" w:type="dxa"/>
            <w:vMerge w:val="restar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685F374C">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项目内容</w:t>
            </w:r>
          </w:p>
        </w:tc>
        <w:tc>
          <w:tcPr>
            <w:tcW w:w="2384"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509D09C2">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建设时间</w:t>
            </w:r>
          </w:p>
        </w:tc>
        <w:tc>
          <w:tcPr>
            <w:tcW w:w="124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30F97C66">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计划投资（万元）</w:t>
            </w:r>
          </w:p>
        </w:tc>
        <w:tc>
          <w:tcPr>
            <w:tcW w:w="1245" w:type="dxa"/>
            <w:vMerge w:val="restart"/>
            <w:tcBorders>
              <w:top w:val="single" w:color="000000" w:sz="8" w:space="0"/>
              <w:left w:val="nil"/>
              <w:right w:val="single" w:color="000000" w:sz="8" w:space="0"/>
            </w:tcBorders>
            <w:shd w:val="clear" w:color="auto" w:fill="auto"/>
            <w:tcMar>
              <w:top w:w="15" w:type="dxa"/>
              <w:left w:w="15" w:type="dxa"/>
              <w:right w:w="15" w:type="dxa"/>
            </w:tcMar>
            <w:vAlign w:val="center"/>
          </w:tcPr>
          <w:p w14:paraId="14967471">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项目类型   （A、B、C）</w:t>
            </w:r>
          </w:p>
        </w:tc>
      </w:tr>
      <w:tr w14:paraId="6E8DA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388"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EC01D97">
            <w:pPr>
              <w:widowControl/>
              <w:spacing w:line="240" w:lineRule="exact"/>
              <w:ind w:firstLine="0" w:firstLineChars="0"/>
              <w:jc w:val="center"/>
              <w:rPr>
                <w:rFonts w:hint="default" w:ascii="Times New Roman" w:hAnsi="Times New Roman" w:cs="Times New Roman"/>
                <w:kern w:val="0"/>
                <w:sz w:val="18"/>
                <w:szCs w:val="18"/>
                <w:lang w:val="en-US" w:eastAsia="zh-CN"/>
              </w:rPr>
            </w:pPr>
          </w:p>
        </w:tc>
        <w:tc>
          <w:tcPr>
            <w:tcW w:w="1389" w:type="dxa"/>
            <w:vMerge w:val="continue"/>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5B8DC679">
            <w:pPr>
              <w:widowControl/>
              <w:spacing w:line="240" w:lineRule="exact"/>
              <w:ind w:firstLine="0" w:firstLineChars="0"/>
              <w:jc w:val="center"/>
              <w:rPr>
                <w:rFonts w:hint="default" w:ascii="Times New Roman" w:hAnsi="Times New Roman" w:cs="Times New Roman"/>
                <w:kern w:val="0"/>
                <w:sz w:val="18"/>
                <w:szCs w:val="18"/>
                <w:lang w:val="en-US" w:eastAsia="zh-CN"/>
              </w:rPr>
            </w:pPr>
          </w:p>
        </w:tc>
        <w:tc>
          <w:tcPr>
            <w:tcW w:w="1388" w:type="dxa"/>
            <w:vMerge w:val="continue"/>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29EF820C">
            <w:pPr>
              <w:widowControl/>
              <w:spacing w:line="240" w:lineRule="exact"/>
              <w:ind w:firstLine="0" w:firstLineChars="0"/>
              <w:jc w:val="center"/>
              <w:rPr>
                <w:rFonts w:hint="default" w:ascii="Times New Roman" w:hAnsi="Times New Roman" w:cs="Times New Roman"/>
                <w:kern w:val="0"/>
                <w:sz w:val="18"/>
                <w:szCs w:val="18"/>
                <w:lang w:val="en-US" w:eastAsia="zh-CN"/>
              </w:rPr>
            </w:pPr>
          </w:p>
        </w:tc>
        <w:tc>
          <w:tcPr>
            <w:tcW w:w="103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5B10D53">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计划开工时间</w:t>
            </w:r>
          </w:p>
        </w:tc>
        <w:tc>
          <w:tcPr>
            <w:tcW w:w="135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2574FC5">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计划完工时间</w:t>
            </w:r>
          </w:p>
        </w:tc>
        <w:tc>
          <w:tcPr>
            <w:tcW w:w="124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62416F9F">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合计</w:t>
            </w:r>
          </w:p>
        </w:tc>
        <w:tc>
          <w:tcPr>
            <w:tcW w:w="1245" w:type="dxa"/>
            <w:vMerge w:val="continue"/>
            <w:tcBorders>
              <w:left w:val="nil"/>
              <w:bottom w:val="single" w:color="000000" w:sz="8" w:space="0"/>
              <w:right w:val="single" w:color="000000" w:sz="8" w:space="0"/>
            </w:tcBorders>
            <w:shd w:val="clear" w:color="auto" w:fill="auto"/>
            <w:tcMar>
              <w:top w:w="15" w:type="dxa"/>
              <w:left w:w="15" w:type="dxa"/>
              <w:right w:w="15" w:type="dxa"/>
            </w:tcMar>
            <w:vAlign w:val="center"/>
          </w:tcPr>
          <w:p w14:paraId="7D2E5F95">
            <w:pPr>
              <w:widowControl/>
              <w:spacing w:line="240" w:lineRule="exact"/>
              <w:ind w:firstLine="0" w:firstLineChars="0"/>
              <w:jc w:val="center"/>
              <w:rPr>
                <w:rFonts w:hint="default" w:ascii="Times New Roman" w:hAnsi="Times New Roman" w:cs="Times New Roman"/>
                <w:kern w:val="0"/>
                <w:sz w:val="18"/>
                <w:szCs w:val="18"/>
                <w:lang w:val="en-US" w:eastAsia="zh-CN"/>
              </w:rPr>
            </w:pPr>
          </w:p>
        </w:tc>
      </w:tr>
      <w:tr w14:paraId="30F8C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388"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945C339">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主要河流治理</w:t>
            </w:r>
          </w:p>
        </w:tc>
        <w:tc>
          <w:tcPr>
            <w:tcW w:w="138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C38F075">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花庄河（八家村水库至三十工段）治理工程</w:t>
            </w:r>
          </w:p>
        </w:tc>
        <w:tc>
          <w:tcPr>
            <w:tcW w:w="138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82B6808">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对花庄河八家村水库至嵩明龙保段进行治理，治理长度5.5千米，满足八家村水库防洪安全</w:t>
            </w:r>
          </w:p>
        </w:tc>
        <w:tc>
          <w:tcPr>
            <w:tcW w:w="103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EDB7E0F">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2029年</w:t>
            </w:r>
          </w:p>
        </w:tc>
        <w:tc>
          <w:tcPr>
            <w:tcW w:w="135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60EFEFF">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2031年</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F7605B2">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9800</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4194857">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2B077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388"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C6F656E">
            <w:pPr>
              <w:widowControl/>
              <w:spacing w:line="240" w:lineRule="exact"/>
              <w:ind w:firstLine="0" w:firstLineChars="0"/>
              <w:jc w:val="center"/>
              <w:rPr>
                <w:rFonts w:hint="default" w:ascii="Times New Roman" w:hAnsi="Times New Roman" w:cs="Times New Roman"/>
                <w:kern w:val="0"/>
                <w:sz w:val="18"/>
                <w:szCs w:val="18"/>
                <w:lang w:val="en-US" w:eastAsia="zh-CN"/>
              </w:rPr>
            </w:pPr>
          </w:p>
        </w:tc>
        <w:tc>
          <w:tcPr>
            <w:tcW w:w="138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A5F11A3">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嵩明县主要河流防洪提升工程</w:t>
            </w:r>
          </w:p>
        </w:tc>
        <w:tc>
          <w:tcPr>
            <w:tcW w:w="138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070C726">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对嵩明境内牛栏江干及主要支流险工险段及易涝段进行加固加高处理。</w:t>
            </w:r>
          </w:p>
        </w:tc>
        <w:tc>
          <w:tcPr>
            <w:tcW w:w="103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1E6A73B">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2029年</w:t>
            </w:r>
          </w:p>
        </w:tc>
        <w:tc>
          <w:tcPr>
            <w:tcW w:w="135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E31B092">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2030年</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2187C0D">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2400</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AEF7CCF">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204C8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388"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6C02518">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病险水库（闸）除险加固工程</w:t>
            </w:r>
          </w:p>
        </w:tc>
        <w:tc>
          <w:tcPr>
            <w:tcW w:w="138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A492D7B">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嵩明县果子园闸除险加固工程</w:t>
            </w:r>
          </w:p>
        </w:tc>
        <w:tc>
          <w:tcPr>
            <w:tcW w:w="138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F5564AA">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拆除重建</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消除水闸防洪安全隐患，将改善0.7万亩农田的灌溉条件，保障0.05万亩农田的防洪安全，保障下游及周边的防洪除涝安全，促进当地经济社会可持续发展。</w:t>
            </w:r>
          </w:p>
        </w:tc>
        <w:tc>
          <w:tcPr>
            <w:tcW w:w="103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14ECE7C">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2026年</w:t>
            </w:r>
          </w:p>
        </w:tc>
        <w:tc>
          <w:tcPr>
            <w:tcW w:w="135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79988A6">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2027年</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29BA879">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1950</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D17D022">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A：加快推进，优先开工</w:t>
            </w:r>
          </w:p>
        </w:tc>
      </w:tr>
      <w:tr w14:paraId="5314D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388"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E7CB361">
            <w:pPr>
              <w:widowControl/>
              <w:spacing w:line="240" w:lineRule="exact"/>
              <w:ind w:firstLine="0" w:firstLineChars="0"/>
              <w:jc w:val="center"/>
              <w:rPr>
                <w:rFonts w:hint="default" w:ascii="Times New Roman" w:hAnsi="Times New Roman" w:cs="Times New Roman"/>
                <w:kern w:val="0"/>
                <w:sz w:val="18"/>
                <w:szCs w:val="18"/>
                <w:lang w:val="en-US" w:eastAsia="zh-CN"/>
              </w:rPr>
            </w:pPr>
          </w:p>
        </w:tc>
        <w:tc>
          <w:tcPr>
            <w:tcW w:w="138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BF82012">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嵩明县小倚伴闸除险加固工程</w:t>
            </w:r>
          </w:p>
        </w:tc>
        <w:tc>
          <w:tcPr>
            <w:tcW w:w="138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78272B1">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在原址拆除重建，提升河道防洪功能</w:t>
            </w:r>
          </w:p>
        </w:tc>
        <w:tc>
          <w:tcPr>
            <w:tcW w:w="103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FD3C48E">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2028年</w:t>
            </w:r>
          </w:p>
        </w:tc>
        <w:tc>
          <w:tcPr>
            <w:tcW w:w="135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5972A2C">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2030年</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50C0268">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750</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9C81253">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4B0B1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388"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5C837B7">
            <w:pPr>
              <w:widowControl/>
              <w:spacing w:line="240" w:lineRule="exact"/>
              <w:ind w:firstLine="0" w:firstLineChars="0"/>
              <w:jc w:val="center"/>
              <w:rPr>
                <w:rFonts w:hint="default" w:ascii="Times New Roman" w:hAnsi="Times New Roman" w:cs="Times New Roman"/>
                <w:kern w:val="0"/>
                <w:sz w:val="18"/>
                <w:szCs w:val="18"/>
                <w:lang w:val="en-US" w:eastAsia="zh-CN"/>
              </w:rPr>
            </w:pPr>
          </w:p>
        </w:tc>
        <w:tc>
          <w:tcPr>
            <w:tcW w:w="138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32F70EE">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嵩明县罗良闸除险加固工程</w:t>
            </w:r>
          </w:p>
        </w:tc>
        <w:tc>
          <w:tcPr>
            <w:tcW w:w="138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BC08ADE">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拆除重建，项目的建设将改善1.8万亩农田的灌溉条件，保障0.4万亩农田的防洪安全，保障下游及周边的防洪除涝安全，促进当地经济社会可持续发展。</w:t>
            </w:r>
          </w:p>
        </w:tc>
        <w:tc>
          <w:tcPr>
            <w:tcW w:w="103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18949C9">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2028年</w:t>
            </w:r>
          </w:p>
        </w:tc>
        <w:tc>
          <w:tcPr>
            <w:tcW w:w="135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56F39CA">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2030年</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FE8497E">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1100</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7FFB443">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17C0A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388"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8A40EAD">
            <w:pPr>
              <w:widowControl/>
              <w:spacing w:line="240" w:lineRule="exact"/>
              <w:ind w:firstLine="0" w:firstLineChars="0"/>
              <w:jc w:val="center"/>
              <w:rPr>
                <w:rFonts w:hint="default" w:ascii="Times New Roman" w:hAnsi="Times New Roman" w:cs="Times New Roman"/>
                <w:kern w:val="0"/>
                <w:sz w:val="18"/>
                <w:szCs w:val="18"/>
                <w:lang w:val="en-US" w:eastAsia="zh-CN"/>
              </w:rPr>
            </w:pPr>
          </w:p>
        </w:tc>
        <w:tc>
          <w:tcPr>
            <w:tcW w:w="138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9F030BC">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嵩明县老羊闸除险加固工程</w:t>
            </w:r>
          </w:p>
        </w:tc>
        <w:tc>
          <w:tcPr>
            <w:tcW w:w="138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02DA95B">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在原址拆除重建，提升河道防洪功能</w:t>
            </w:r>
          </w:p>
        </w:tc>
        <w:tc>
          <w:tcPr>
            <w:tcW w:w="103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E9FC973">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2027年</w:t>
            </w:r>
          </w:p>
        </w:tc>
        <w:tc>
          <w:tcPr>
            <w:tcW w:w="135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631A553">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2028年</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49A34DD">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500</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EADD4BB">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7A087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388"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76CD5C2">
            <w:pPr>
              <w:widowControl/>
              <w:spacing w:line="240" w:lineRule="exact"/>
              <w:ind w:firstLine="0" w:firstLineChars="0"/>
              <w:jc w:val="center"/>
              <w:rPr>
                <w:rFonts w:hint="default" w:ascii="Times New Roman" w:hAnsi="Times New Roman" w:cs="Times New Roman"/>
                <w:kern w:val="0"/>
                <w:sz w:val="18"/>
                <w:szCs w:val="18"/>
                <w:lang w:val="en-US" w:eastAsia="zh-CN"/>
              </w:rPr>
            </w:pPr>
          </w:p>
        </w:tc>
        <w:tc>
          <w:tcPr>
            <w:tcW w:w="138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B3F0D2D">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嵩明县李官村水闸除险加固工程</w:t>
            </w:r>
          </w:p>
        </w:tc>
        <w:tc>
          <w:tcPr>
            <w:tcW w:w="1388"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E42CAB3">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在原址拆除重建，提升河道防洪功能</w:t>
            </w:r>
          </w:p>
        </w:tc>
        <w:tc>
          <w:tcPr>
            <w:tcW w:w="103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3552631">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2027年</w:t>
            </w:r>
          </w:p>
        </w:tc>
        <w:tc>
          <w:tcPr>
            <w:tcW w:w="135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5474F19">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2030年</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C093CA1">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500</w:t>
            </w:r>
          </w:p>
        </w:tc>
        <w:tc>
          <w:tcPr>
            <w:tcW w:w="12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18321E3">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bl>
    <w:p w14:paraId="6FF49B7E">
      <w:pPr>
        <w:pStyle w:val="17"/>
        <w:ind w:firstLine="482"/>
        <w:jc w:val="center"/>
        <w:rPr>
          <w:rFonts w:hint="default" w:ascii="Times New Roman" w:hAnsi="Times New Roman" w:cs="Times New Roman"/>
          <w:b/>
          <w:bCs/>
          <w:color w:val="000000" w:themeColor="text1"/>
          <w14:textFill>
            <w14:solidFill>
              <w14:schemeClr w14:val="tx1"/>
            </w14:solidFill>
          </w14:textFill>
        </w:rPr>
        <w:sectPr>
          <w:headerReference r:id="rId5" w:type="default"/>
          <w:footerReference r:id="rId6" w:type="default"/>
          <w:pgSz w:w="11906" w:h="16838"/>
          <w:pgMar w:top="2098" w:right="1474" w:bottom="1984" w:left="1587" w:header="851" w:footer="992" w:gutter="0"/>
          <w:cols w:space="0" w:num="1"/>
          <w:docGrid w:type="lines" w:linePitch="332" w:charSpace="0"/>
        </w:sectPr>
      </w:pPr>
    </w:p>
    <w:p w14:paraId="4E846024">
      <w:pPr>
        <w:pStyle w:val="17"/>
        <w:ind w:firstLine="482"/>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eastAsia="zh-CN"/>
          <w14:textFill>
            <w14:solidFill>
              <w14:schemeClr w14:val="tx1"/>
            </w14:solidFill>
          </w14:textFill>
        </w:rPr>
        <w:t>附件</w:t>
      </w:r>
      <w:r>
        <w:rPr>
          <w:rFonts w:hint="default"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cs="Times New Roman"/>
          <w:b/>
          <w:bCs/>
          <w:color w:val="000000" w:themeColor="text1"/>
          <w14:textFill>
            <w14:solidFill>
              <w14:schemeClr w14:val="tx1"/>
            </w14:solidFill>
          </w14:textFill>
        </w:rPr>
        <w:t>-</w:t>
      </w:r>
      <w:r>
        <w:rPr>
          <w:rFonts w:hint="default"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cs="Times New Roman"/>
          <w:b/>
          <w:bCs/>
          <w:color w:val="000000" w:themeColor="text1"/>
          <w14:textFill>
            <w14:solidFill>
              <w14:schemeClr w14:val="tx1"/>
            </w14:solidFill>
          </w14:textFill>
        </w:rPr>
        <w:t>昆明市嵩明县“十五五”水安全保障规划城乡供水网工程表</w:t>
      </w:r>
    </w:p>
    <w:tbl>
      <w:tblPr>
        <w:tblStyle w:val="19"/>
        <w:tblW w:w="91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515"/>
        <w:gridCol w:w="2955"/>
        <w:gridCol w:w="753"/>
        <w:gridCol w:w="945"/>
        <w:gridCol w:w="975"/>
        <w:gridCol w:w="975"/>
      </w:tblGrid>
      <w:tr w14:paraId="2ECEF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3" w:hRule="atLeast"/>
        </w:trPr>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5D2529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项目类型</w:t>
            </w:r>
          </w:p>
        </w:tc>
        <w:tc>
          <w:tcPr>
            <w:tcW w:w="1515" w:type="dxa"/>
            <w:vMerge w:val="restar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25CA00CE">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项目名称</w:t>
            </w:r>
          </w:p>
        </w:tc>
        <w:tc>
          <w:tcPr>
            <w:tcW w:w="2955" w:type="dxa"/>
            <w:vMerge w:val="restar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55571390">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项目内容</w:t>
            </w:r>
          </w:p>
        </w:tc>
        <w:tc>
          <w:tcPr>
            <w:tcW w:w="1698" w:type="dxa"/>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41A386DB">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建设时间</w:t>
            </w:r>
          </w:p>
        </w:tc>
        <w:tc>
          <w:tcPr>
            <w:tcW w:w="97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1B192BC9">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计划投资（万元）</w:t>
            </w:r>
          </w:p>
        </w:tc>
        <w:tc>
          <w:tcPr>
            <w:tcW w:w="975" w:type="dxa"/>
            <w:vMerge w:val="restart"/>
            <w:tcBorders>
              <w:top w:val="single" w:color="000000" w:sz="8" w:space="0"/>
              <w:left w:val="nil"/>
              <w:right w:val="single" w:color="000000" w:sz="8" w:space="0"/>
            </w:tcBorders>
            <w:shd w:val="clear" w:color="auto" w:fill="auto"/>
            <w:tcMar>
              <w:top w:w="15" w:type="dxa"/>
              <w:left w:w="15" w:type="dxa"/>
              <w:right w:w="15" w:type="dxa"/>
            </w:tcMar>
            <w:vAlign w:val="center"/>
          </w:tcPr>
          <w:p w14:paraId="0E798AC5">
            <w:pPr>
              <w:widowControl/>
              <w:spacing w:line="240" w:lineRule="exact"/>
              <w:ind w:firstLine="0" w:firstLineChars="0"/>
              <w:jc w:val="both"/>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项目类型（A、B、C）</w:t>
            </w:r>
          </w:p>
        </w:tc>
      </w:tr>
      <w:tr w14:paraId="73A8A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5350D5A">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33C2952B">
            <w:pPr>
              <w:widowControl/>
              <w:spacing w:line="240" w:lineRule="exact"/>
              <w:ind w:firstLine="0" w:firstLineChars="0"/>
              <w:jc w:val="center"/>
              <w:rPr>
                <w:rFonts w:hint="default" w:ascii="Times New Roman" w:hAnsi="Times New Roman" w:cs="Times New Roman"/>
                <w:kern w:val="0"/>
                <w:sz w:val="18"/>
                <w:szCs w:val="18"/>
              </w:rPr>
            </w:pPr>
          </w:p>
        </w:tc>
        <w:tc>
          <w:tcPr>
            <w:tcW w:w="2955" w:type="dxa"/>
            <w:vMerge w:val="continue"/>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76CE4FE2">
            <w:pPr>
              <w:widowControl/>
              <w:spacing w:line="240" w:lineRule="exact"/>
              <w:ind w:firstLine="0" w:firstLineChars="0"/>
              <w:jc w:val="center"/>
              <w:rPr>
                <w:rFonts w:hint="default" w:ascii="Times New Roman" w:hAnsi="Times New Roman" w:cs="Times New Roman"/>
                <w:kern w:val="0"/>
                <w:sz w:val="18"/>
                <w:szCs w:val="18"/>
              </w:rPr>
            </w:pPr>
          </w:p>
        </w:tc>
        <w:tc>
          <w:tcPr>
            <w:tcW w:w="75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33DE3C8">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计划开工时间</w:t>
            </w:r>
          </w:p>
        </w:tc>
        <w:tc>
          <w:tcPr>
            <w:tcW w:w="9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D6EB88C">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计划完工时间</w:t>
            </w:r>
          </w:p>
        </w:tc>
        <w:tc>
          <w:tcPr>
            <w:tcW w:w="97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39BFF9DB">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合计</w:t>
            </w:r>
          </w:p>
        </w:tc>
        <w:tc>
          <w:tcPr>
            <w:tcW w:w="975" w:type="dxa"/>
            <w:vMerge w:val="continue"/>
            <w:tcBorders>
              <w:left w:val="nil"/>
              <w:bottom w:val="single" w:color="000000" w:sz="8" w:space="0"/>
              <w:right w:val="single" w:color="000000" w:sz="8" w:space="0"/>
            </w:tcBorders>
            <w:shd w:val="clear" w:color="auto" w:fill="auto"/>
            <w:tcMar>
              <w:top w:w="15" w:type="dxa"/>
              <w:left w:w="15" w:type="dxa"/>
              <w:right w:w="15" w:type="dxa"/>
            </w:tcMar>
            <w:vAlign w:val="center"/>
          </w:tcPr>
          <w:p w14:paraId="05E393BF">
            <w:pPr>
              <w:widowControl/>
              <w:spacing w:line="240" w:lineRule="exact"/>
              <w:ind w:firstLine="0" w:firstLineChars="0"/>
              <w:jc w:val="center"/>
              <w:rPr>
                <w:rFonts w:hint="default" w:ascii="Times New Roman" w:hAnsi="Times New Roman" w:cs="Times New Roman"/>
                <w:kern w:val="0"/>
                <w:sz w:val="18"/>
                <w:szCs w:val="18"/>
                <w:lang w:val="en-US" w:eastAsia="zh-CN"/>
              </w:rPr>
            </w:pPr>
          </w:p>
        </w:tc>
      </w:tr>
      <w:tr w14:paraId="28A4F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930AA5D">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城乡供水工程</w:t>
            </w:r>
          </w:p>
        </w:tc>
        <w:tc>
          <w:tcPr>
            <w:tcW w:w="151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7AC54FA">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嵩明县城乡供水一体化三年行动项目</w:t>
            </w:r>
          </w:p>
        </w:tc>
        <w:tc>
          <w:tcPr>
            <w:tcW w:w="29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F9C96E2">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新建配水管网123.6km。</w:t>
            </w:r>
          </w:p>
        </w:tc>
        <w:tc>
          <w:tcPr>
            <w:tcW w:w="75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CEB114E">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2026年</w:t>
            </w:r>
          </w:p>
        </w:tc>
        <w:tc>
          <w:tcPr>
            <w:tcW w:w="9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3ADFFBE">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2030年</w:t>
            </w:r>
          </w:p>
        </w:tc>
        <w:tc>
          <w:tcPr>
            <w:tcW w:w="9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9E36032">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4100</w:t>
            </w:r>
          </w:p>
        </w:tc>
        <w:tc>
          <w:tcPr>
            <w:tcW w:w="9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2244991">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392B6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B2DEF19">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770CAD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嵩明县城乡供水一体化项目</w:t>
            </w: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3AA02D5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嵩明县嵩阳街道农村老旧供水管网改造工程：新建配水管网228.0km。</w:t>
            </w:r>
          </w:p>
        </w:tc>
        <w:tc>
          <w:tcPr>
            <w:tcW w:w="75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8D609CE">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2026年</w:t>
            </w:r>
          </w:p>
        </w:tc>
        <w:tc>
          <w:tcPr>
            <w:tcW w:w="94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51D81F7">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2030年</w:t>
            </w:r>
          </w:p>
        </w:tc>
        <w:tc>
          <w:tcPr>
            <w:tcW w:w="97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889FCD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69530</w:t>
            </w:r>
          </w:p>
        </w:tc>
        <w:tc>
          <w:tcPr>
            <w:tcW w:w="975" w:type="dxa"/>
            <w:vMerge w:val="restart"/>
            <w:tcBorders>
              <w:top w:val="nil"/>
              <w:left w:val="nil"/>
              <w:right w:val="single" w:color="000000" w:sz="8" w:space="0"/>
            </w:tcBorders>
            <w:shd w:val="clear" w:color="auto" w:fill="auto"/>
            <w:tcMar>
              <w:top w:w="15" w:type="dxa"/>
              <w:left w:w="15" w:type="dxa"/>
              <w:right w:w="15" w:type="dxa"/>
            </w:tcMar>
            <w:vAlign w:val="center"/>
          </w:tcPr>
          <w:p w14:paraId="08B18C85">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78C42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FD770E6">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B964904">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61D039B7">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嵩明县杨桥街道农村老旧供水管网改造工程：新建配水管网281.0km。</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B5D7508">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B351451">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F47DCAE">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right w:val="single" w:color="000000" w:sz="8" w:space="0"/>
            </w:tcBorders>
            <w:shd w:val="clear" w:color="auto" w:fill="auto"/>
            <w:tcMar>
              <w:top w:w="15" w:type="dxa"/>
              <w:left w:w="15" w:type="dxa"/>
              <w:right w:w="15" w:type="dxa"/>
            </w:tcMar>
            <w:vAlign w:val="center"/>
          </w:tcPr>
          <w:p w14:paraId="0D2F6366">
            <w:pPr>
              <w:widowControl/>
              <w:spacing w:line="240" w:lineRule="exact"/>
              <w:ind w:firstLine="0" w:firstLineChars="0"/>
              <w:jc w:val="center"/>
              <w:rPr>
                <w:rFonts w:hint="default" w:ascii="Times New Roman" w:hAnsi="Times New Roman" w:cs="Times New Roman"/>
                <w:kern w:val="0"/>
                <w:sz w:val="18"/>
                <w:szCs w:val="18"/>
              </w:rPr>
            </w:pPr>
          </w:p>
        </w:tc>
      </w:tr>
      <w:tr w14:paraId="09293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5CD9852">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0DB62DA">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7CD0468D">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嵩明县小街镇农村老旧供水管网改造工程：新建配水管网330.0km。</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F2228FE">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ABAAB0E">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86EECDC">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right w:val="single" w:color="000000" w:sz="8" w:space="0"/>
            </w:tcBorders>
            <w:shd w:val="clear" w:color="auto" w:fill="auto"/>
            <w:tcMar>
              <w:top w:w="15" w:type="dxa"/>
              <w:left w:w="15" w:type="dxa"/>
              <w:right w:w="15" w:type="dxa"/>
            </w:tcMar>
            <w:vAlign w:val="center"/>
          </w:tcPr>
          <w:p w14:paraId="60521342">
            <w:pPr>
              <w:widowControl/>
              <w:spacing w:line="240" w:lineRule="exact"/>
              <w:ind w:firstLine="0" w:firstLineChars="0"/>
              <w:jc w:val="center"/>
              <w:rPr>
                <w:rFonts w:hint="default" w:ascii="Times New Roman" w:hAnsi="Times New Roman" w:cs="Times New Roman"/>
                <w:kern w:val="0"/>
                <w:sz w:val="18"/>
                <w:szCs w:val="18"/>
              </w:rPr>
            </w:pPr>
          </w:p>
        </w:tc>
      </w:tr>
      <w:tr w14:paraId="03590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F397548">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B30CC50">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515CDDC5">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嵩明县杨林镇农村老旧供水管网改造工程：新建配水管网312.0km。</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037B1A1">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C479EE9">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51D7F40">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right w:val="single" w:color="000000" w:sz="8" w:space="0"/>
            </w:tcBorders>
            <w:shd w:val="clear" w:color="auto" w:fill="auto"/>
            <w:tcMar>
              <w:top w:w="15" w:type="dxa"/>
              <w:left w:w="15" w:type="dxa"/>
              <w:right w:w="15" w:type="dxa"/>
            </w:tcMar>
            <w:vAlign w:val="center"/>
          </w:tcPr>
          <w:p w14:paraId="0DA3C858">
            <w:pPr>
              <w:widowControl/>
              <w:spacing w:line="240" w:lineRule="exact"/>
              <w:ind w:firstLine="0" w:firstLineChars="0"/>
              <w:jc w:val="center"/>
              <w:rPr>
                <w:rFonts w:hint="default" w:ascii="Times New Roman" w:hAnsi="Times New Roman" w:cs="Times New Roman"/>
                <w:kern w:val="0"/>
                <w:sz w:val="18"/>
                <w:szCs w:val="18"/>
              </w:rPr>
            </w:pPr>
          </w:p>
        </w:tc>
      </w:tr>
      <w:tr w14:paraId="52255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4D84A2A">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8ED49FE">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3DABAE6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嵩明县牛栏江镇农村老旧供水管网改造工程：新建水质化验室、自动监控系统。</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92E8A08">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B315342">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BE8E480">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right w:val="single" w:color="000000" w:sz="8" w:space="0"/>
            </w:tcBorders>
            <w:shd w:val="clear" w:color="auto" w:fill="auto"/>
            <w:tcMar>
              <w:top w:w="15" w:type="dxa"/>
              <w:left w:w="15" w:type="dxa"/>
              <w:right w:w="15" w:type="dxa"/>
            </w:tcMar>
            <w:vAlign w:val="center"/>
          </w:tcPr>
          <w:p w14:paraId="4EF59839">
            <w:pPr>
              <w:widowControl/>
              <w:spacing w:line="240" w:lineRule="exact"/>
              <w:ind w:firstLine="0" w:firstLineChars="0"/>
              <w:jc w:val="center"/>
              <w:rPr>
                <w:rFonts w:hint="default" w:ascii="Times New Roman" w:hAnsi="Times New Roman" w:cs="Times New Roman"/>
                <w:kern w:val="0"/>
                <w:sz w:val="18"/>
                <w:szCs w:val="18"/>
              </w:rPr>
            </w:pPr>
          </w:p>
        </w:tc>
      </w:tr>
      <w:tr w14:paraId="3E410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B5B6FCF">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58CA5F0">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1FBC4A77">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嵩明县农村供水水质提升工程：新建消毒、净化设施。</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4AA5D39">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BDC007B">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337027C">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right w:val="single" w:color="000000" w:sz="8" w:space="0"/>
            </w:tcBorders>
            <w:shd w:val="clear" w:color="auto" w:fill="auto"/>
            <w:tcMar>
              <w:top w:w="15" w:type="dxa"/>
              <w:left w:w="15" w:type="dxa"/>
              <w:right w:w="15" w:type="dxa"/>
            </w:tcMar>
            <w:vAlign w:val="center"/>
          </w:tcPr>
          <w:p w14:paraId="076B8DD7">
            <w:pPr>
              <w:widowControl/>
              <w:spacing w:line="240" w:lineRule="exact"/>
              <w:ind w:firstLine="0" w:firstLineChars="0"/>
              <w:jc w:val="center"/>
              <w:rPr>
                <w:rFonts w:hint="default" w:ascii="Times New Roman" w:hAnsi="Times New Roman" w:cs="Times New Roman"/>
                <w:kern w:val="0"/>
                <w:sz w:val="18"/>
                <w:szCs w:val="18"/>
              </w:rPr>
            </w:pPr>
          </w:p>
        </w:tc>
      </w:tr>
      <w:tr w14:paraId="6DB47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F4CFF74">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EF8DC83">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1028B1B">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杨桥街道大村子集中供水工程：新建输水管网1.7km，新建消毒、净化设施。</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D12C64D">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FDCA837">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73D2D0B">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bottom w:val="single" w:color="000000" w:sz="8" w:space="0"/>
              <w:right w:val="single" w:color="000000" w:sz="8" w:space="0"/>
            </w:tcBorders>
            <w:shd w:val="clear" w:color="auto" w:fill="auto"/>
            <w:tcMar>
              <w:top w:w="15" w:type="dxa"/>
              <w:left w:w="15" w:type="dxa"/>
              <w:right w:w="15" w:type="dxa"/>
            </w:tcMar>
            <w:vAlign w:val="center"/>
          </w:tcPr>
          <w:p w14:paraId="34C2A16D">
            <w:pPr>
              <w:widowControl/>
              <w:spacing w:line="240" w:lineRule="exact"/>
              <w:ind w:firstLine="0" w:firstLineChars="0"/>
              <w:jc w:val="center"/>
              <w:rPr>
                <w:rFonts w:hint="default" w:ascii="Times New Roman" w:hAnsi="Times New Roman" w:cs="Times New Roman"/>
                <w:kern w:val="0"/>
                <w:sz w:val="18"/>
                <w:szCs w:val="18"/>
              </w:rPr>
            </w:pPr>
          </w:p>
        </w:tc>
      </w:tr>
      <w:tr w14:paraId="3EC6F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88B8BB2">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BD15848">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嵩明县县城龙井片区老旧供水管网漏损治理建设项目</w:t>
            </w: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4905B20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1.</w:t>
            </w:r>
            <w:r>
              <w:rPr>
                <w:rFonts w:hint="default" w:ascii="Times New Roman" w:hAnsi="Times New Roman" w:cs="Times New Roman"/>
                <w:kern w:val="0"/>
                <w:sz w:val="18"/>
                <w:szCs w:val="18"/>
                <w:lang w:val="en-US" w:eastAsia="zh-CN"/>
              </w:rPr>
              <w:t>供水管网及附属设施建设改造：新建DN300供水主管及附属设施3.5km，改造DN80~DN200供水主管及附属设施41.5km，改造DN15~DN80供水管及附属设施56.5km</w:t>
            </w:r>
          </w:p>
        </w:tc>
        <w:tc>
          <w:tcPr>
            <w:tcW w:w="75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520249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2029</w:t>
            </w:r>
          </w:p>
        </w:tc>
        <w:tc>
          <w:tcPr>
            <w:tcW w:w="94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B28AE9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2031</w:t>
            </w:r>
          </w:p>
        </w:tc>
        <w:tc>
          <w:tcPr>
            <w:tcW w:w="97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B228AD2">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9165</w:t>
            </w:r>
          </w:p>
        </w:tc>
        <w:tc>
          <w:tcPr>
            <w:tcW w:w="975" w:type="dxa"/>
            <w:vMerge w:val="restart"/>
            <w:tcBorders>
              <w:top w:val="nil"/>
              <w:left w:val="nil"/>
              <w:right w:val="single" w:color="000000" w:sz="8" w:space="0"/>
            </w:tcBorders>
            <w:shd w:val="clear" w:color="auto" w:fill="auto"/>
            <w:tcMar>
              <w:top w:w="15" w:type="dxa"/>
              <w:left w:w="15" w:type="dxa"/>
              <w:right w:w="15" w:type="dxa"/>
            </w:tcMar>
            <w:vAlign w:val="center"/>
          </w:tcPr>
          <w:p w14:paraId="259D0F79">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2E7E4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5E5CD67">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534B8F2">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95E91A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w:t>
            </w:r>
            <w:r>
              <w:rPr>
                <w:rFonts w:hint="default" w:ascii="Times New Roman" w:hAnsi="Times New Roman" w:cs="Times New Roman"/>
                <w:kern w:val="0"/>
                <w:sz w:val="18"/>
                <w:szCs w:val="18"/>
                <w:lang w:val="en-US" w:eastAsia="zh-CN"/>
              </w:rPr>
              <w:t>开展供水管网分区计量、压力调控等工程</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38DB70E">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FD1F9A1">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F5BF0E2">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bottom w:val="single" w:color="000000" w:sz="8" w:space="0"/>
              <w:right w:val="single" w:color="000000" w:sz="8" w:space="0"/>
            </w:tcBorders>
            <w:shd w:val="clear" w:color="auto" w:fill="auto"/>
            <w:tcMar>
              <w:top w:w="15" w:type="dxa"/>
              <w:left w:w="15" w:type="dxa"/>
              <w:right w:w="15" w:type="dxa"/>
            </w:tcMar>
            <w:vAlign w:val="center"/>
          </w:tcPr>
          <w:p w14:paraId="13FD4374">
            <w:pPr>
              <w:widowControl/>
              <w:spacing w:line="240" w:lineRule="exact"/>
              <w:ind w:firstLine="0" w:firstLineChars="0"/>
              <w:jc w:val="center"/>
              <w:rPr>
                <w:rFonts w:hint="default" w:ascii="Times New Roman" w:hAnsi="Times New Roman" w:cs="Times New Roman"/>
                <w:kern w:val="0"/>
                <w:sz w:val="18"/>
                <w:szCs w:val="18"/>
              </w:rPr>
            </w:pPr>
          </w:p>
        </w:tc>
      </w:tr>
      <w:tr w14:paraId="7A44C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B07358B">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6288CC5">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杨林经开区公共供水管网及设施升级改造建设项目</w:t>
            </w: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0694BA8B">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1.</w:t>
            </w:r>
            <w:r>
              <w:rPr>
                <w:rFonts w:hint="default" w:ascii="Times New Roman" w:hAnsi="Times New Roman" w:cs="Times New Roman"/>
                <w:kern w:val="0"/>
                <w:sz w:val="18"/>
                <w:szCs w:val="18"/>
                <w:lang w:val="en-US" w:eastAsia="zh-CN"/>
              </w:rPr>
              <w:t>改造DN80~DN300供水主管及附属设施52km</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改造DN15~DN80庭院管网及附属设施57.5km</w:t>
            </w:r>
          </w:p>
        </w:tc>
        <w:tc>
          <w:tcPr>
            <w:tcW w:w="75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41EE1DD">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2028</w:t>
            </w:r>
          </w:p>
        </w:tc>
        <w:tc>
          <w:tcPr>
            <w:tcW w:w="94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0384066">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2032</w:t>
            </w:r>
          </w:p>
        </w:tc>
        <w:tc>
          <w:tcPr>
            <w:tcW w:w="97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F422053">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11200</w:t>
            </w:r>
          </w:p>
        </w:tc>
        <w:tc>
          <w:tcPr>
            <w:tcW w:w="975" w:type="dxa"/>
            <w:vMerge w:val="restart"/>
            <w:tcBorders>
              <w:top w:val="nil"/>
              <w:left w:val="nil"/>
              <w:right w:val="single" w:color="000000" w:sz="8" w:space="0"/>
            </w:tcBorders>
            <w:shd w:val="clear" w:color="auto" w:fill="auto"/>
            <w:tcMar>
              <w:top w:w="15" w:type="dxa"/>
              <w:left w:w="15" w:type="dxa"/>
              <w:right w:w="15" w:type="dxa"/>
            </w:tcMar>
            <w:vAlign w:val="center"/>
          </w:tcPr>
          <w:p w14:paraId="5271EA0F">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4D002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14482B4">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C6A7725">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DE1E0E2">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w:t>
            </w:r>
            <w:r>
              <w:rPr>
                <w:rFonts w:hint="default" w:ascii="Times New Roman" w:hAnsi="Times New Roman" w:cs="Times New Roman"/>
                <w:kern w:val="0"/>
                <w:sz w:val="18"/>
                <w:szCs w:val="18"/>
                <w:lang w:val="en-US" w:eastAsia="zh-CN"/>
              </w:rPr>
              <w:t>对经开区开展供水管网分区计量、压力调控等工程</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119A3F7">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2124B16">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8064667">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bottom w:val="single" w:color="000000" w:sz="8" w:space="0"/>
              <w:right w:val="single" w:color="000000" w:sz="8" w:space="0"/>
            </w:tcBorders>
            <w:shd w:val="clear" w:color="auto" w:fill="auto"/>
            <w:tcMar>
              <w:top w:w="15" w:type="dxa"/>
              <w:left w:w="15" w:type="dxa"/>
              <w:right w:w="15" w:type="dxa"/>
            </w:tcMar>
            <w:vAlign w:val="center"/>
          </w:tcPr>
          <w:p w14:paraId="427ECBC3">
            <w:pPr>
              <w:widowControl/>
              <w:spacing w:line="240" w:lineRule="exact"/>
              <w:ind w:firstLine="0" w:firstLineChars="0"/>
              <w:jc w:val="center"/>
              <w:rPr>
                <w:rFonts w:hint="default" w:ascii="Times New Roman" w:hAnsi="Times New Roman" w:cs="Times New Roman"/>
                <w:kern w:val="0"/>
                <w:sz w:val="18"/>
                <w:szCs w:val="18"/>
              </w:rPr>
            </w:pPr>
          </w:p>
        </w:tc>
      </w:tr>
      <w:tr w14:paraId="34DB6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92A3DFB">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1A4F258">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嵩明县花卉园区供水管网新建改造项目</w:t>
            </w: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6856584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1.</w:t>
            </w:r>
            <w:r>
              <w:rPr>
                <w:rFonts w:hint="default" w:ascii="Times New Roman" w:hAnsi="Times New Roman" w:cs="Times New Roman"/>
                <w:kern w:val="0"/>
                <w:sz w:val="18"/>
                <w:szCs w:val="18"/>
                <w:lang w:val="en-US" w:eastAsia="zh-CN"/>
              </w:rPr>
              <w:t>供水管网及附属设施建设改造</w:t>
            </w:r>
          </w:p>
        </w:tc>
        <w:tc>
          <w:tcPr>
            <w:tcW w:w="75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F80FD98">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2030</w:t>
            </w:r>
          </w:p>
        </w:tc>
        <w:tc>
          <w:tcPr>
            <w:tcW w:w="94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8F41C6B">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2031</w:t>
            </w:r>
          </w:p>
        </w:tc>
        <w:tc>
          <w:tcPr>
            <w:tcW w:w="97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B980477">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3375</w:t>
            </w:r>
          </w:p>
        </w:tc>
        <w:tc>
          <w:tcPr>
            <w:tcW w:w="975" w:type="dxa"/>
            <w:vMerge w:val="restart"/>
            <w:tcBorders>
              <w:top w:val="nil"/>
              <w:left w:val="nil"/>
              <w:right w:val="single" w:color="000000" w:sz="8" w:space="0"/>
            </w:tcBorders>
            <w:shd w:val="clear" w:color="auto" w:fill="auto"/>
            <w:tcMar>
              <w:top w:w="15" w:type="dxa"/>
              <w:left w:w="15" w:type="dxa"/>
              <w:right w:w="15" w:type="dxa"/>
            </w:tcMar>
            <w:vAlign w:val="center"/>
          </w:tcPr>
          <w:p w14:paraId="223A49D3">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001F1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C426B1F">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5E5B9CB">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330029C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新建及改造DN15~DN200供水管及附属设施20.5km</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C4AB496">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91DD3A4">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789B20E">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right w:val="single" w:color="000000" w:sz="8" w:space="0"/>
            </w:tcBorders>
            <w:shd w:val="clear" w:color="auto" w:fill="auto"/>
            <w:tcMar>
              <w:top w:w="15" w:type="dxa"/>
              <w:left w:w="15" w:type="dxa"/>
              <w:right w:w="15" w:type="dxa"/>
            </w:tcMar>
            <w:vAlign w:val="center"/>
          </w:tcPr>
          <w:p w14:paraId="4EB5A673">
            <w:pPr>
              <w:widowControl/>
              <w:spacing w:line="240" w:lineRule="exact"/>
              <w:ind w:firstLine="0" w:firstLineChars="0"/>
              <w:jc w:val="center"/>
              <w:rPr>
                <w:rFonts w:hint="default" w:ascii="Times New Roman" w:hAnsi="Times New Roman" w:cs="Times New Roman"/>
                <w:kern w:val="0"/>
                <w:sz w:val="18"/>
                <w:szCs w:val="18"/>
              </w:rPr>
            </w:pPr>
          </w:p>
        </w:tc>
      </w:tr>
      <w:tr w14:paraId="1DD1E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5652982">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B459D19">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B4B1275">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w:t>
            </w:r>
            <w:r>
              <w:rPr>
                <w:rFonts w:hint="default" w:ascii="Times New Roman" w:hAnsi="Times New Roman" w:cs="Times New Roman"/>
                <w:kern w:val="0"/>
                <w:sz w:val="18"/>
                <w:szCs w:val="18"/>
                <w:lang w:val="en-US" w:eastAsia="zh-CN"/>
              </w:rPr>
              <w:t>开展供水管网分区计量、压力调控等工程</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EB9F99F">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3D86F45">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6C8AB45">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bottom w:val="single" w:color="000000" w:sz="8" w:space="0"/>
              <w:right w:val="single" w:color="000000" w:sz="8" w:space="0"/>
            </w:tcBorders>
            <w:shd w:val="clear" w:color="auto" w:fill="auto"/>
            <w:tcMar>
              <w:top w:w="15" w:type="dxa"/>
              <w:left w:w="15" w:type="dxa"/>
              <w:right w:w="15" w:type="dxa"/>
            </w:tcMar>
            <w:vAlign w:val="center"/>
          </w:tcPr>
          <w:p w14:paraId="289AF2C9">
            <w:pPr>
              <w:widowControl/>
              <w:spacing w:line="240" w:lineRule="exact"/>
              <w:ind w:firstLine="0" w:firstLineChars="0"/>
              <w:jc w:val="center"/>
              <w:rPr>
                <w:rFonts w:hint="default" w:ascii="Times New Roman" w:hAnsi="Times New Roman" w:cs="Times New Roman"/>
                <w:kern w:val="0"/>
                <w:sz w:val="18"/>
                <w:szCs w:val="18"/>
              </w:rPr>
            </w:pPr>
          </w:p>
        </w:tc>
      </w:tr>
      <w:tr w14:paraId="35254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15F3FDE">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3D453A9">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杨林职教园区公共供水管网及设施升级改造建设项目</w:t>
            </w: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25F36EBC">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1.</w:t>
            </w:r>
            <w:r>
              <w:rPr>
                <w:rFonts w:hint="default" w:ascii="Times New Roman" w:hAnsi="Times New Roman" w:cs="Times New Roman"/>
                <w:kern w:val="0"/>
                <w:sz w:val="18"/>
                <w:szCs w:val="18"/>
                <w:lang w:val="en-US" w:eastAsia="zh-CN"/>
              </w:rPr>
              <w:t>供水管网及附属设施建设改造</w:t>
            </w:r>
          </w:p>
        </w:tc>
        <w:tc>
          <w:tcPr>
            <w:tcW w:w="75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8A9F877">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2029</w:t>
            </w:r>
          </w:p>
        </w:tc>
        <w:tc>
          <w:tcPr>
            <w:tcW w:w="94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CC79E7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2031</w:t>
            </w:r>
          </w:p>
        </w:tc>
        <w:tc>
          <w:tcPr>
            <w:tcW w:w="97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E88D1B0">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9525</w:t>
            </w:r>
          </w:p>
        </w:tc>
        <w:tc>
          <w:tcPr>
            <w:tcW w:w="975" w:type="dxa"/>
            <w:vMerge w:val="restart"/>
            <w:tcBorders>
              <w:top w:val="nil"/>
              <w:left w:val="nil"/>
              <w:right w:val="single" w:color="000000" w:sz="8" w:space="0"/>
            </w:tcBorders>
            <w:shd w:val="clear" w:color="auto" w:fill="auto"/>
            <w:tcMar>
              <w:top w:w="15" w:type="dxa"/>
              <w:left w:w="15" w:type="dxa"/>
              <w:right w:w="15" w:type="dxa"/>
            </w:tcMar>
            <w:vAlign w:val="center"/>
          </w:tcPr>
          <w:p w14:paraId="5A6913B9">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1CF19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B740FCC">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AF97112">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nil"/>
              <w:right w:val="single" w:color="000000" w:sz="8" w:space="0"/>
            </w:tcBorders>
            <w:shd w:val="clear" w:color="auto" w:fill="auto"/>
            <w:tcMar>
              <w:top w:w="15" w:type="dxa"/>
              <w:left w:w="15" w:type="dxa"/>
              <w:right w:w="15" w:type="dxa"/>
            </w:tcMar>
            <w:vAlign w:val="center"/>
          </w:tcPr>
          <w:p w14:paraId="5DD33D63">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改造DN80~DN400供水主管及附属设施41.5km，改造DN15~DN80供水管及附属设施50.5km</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40F0B20">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187D34B">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19D95BE">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right w:val="single" w:color="000000" w:sz="8" w:space="0"/>
            </w:tcBorders>
            <w:shd w:val="clear" w:color="auto" w:fill="auto"/>
            <w:tcMar>
              <w:top w:w="15" w:type="dxa"/>
              <w:left w:w="15" w:type="dxa"/>
              <w:right w:w="15" w:type="dxa"/>
            </w:tcMar>
            <w:vAlign w:val="center"/>
          </w:tcPr>
          <w:p w14:paraId="298DAD21">
            <w:pPr>
              <w:widowControl/>
              <w:spacing w:line="240" w:lineRule="exact"/>
              <w:ind w:firstLine="0" w:firstLineChars="0"/>
              <w:jc w:val="center"/>
              <w:rPr>
                <w:rFonts w:hint="default" w:ascii="Times New Roman" w:hAnsi="Times New Roman" w:cs="Times New Roman"/>
                <w:kern w:val="0"/>
                <w:sz w:val="18"/>
                <w:szCs w:val="18"/>
              </w:rPr>
            </w:pPr>
          </w:p>
        </w:tc>
      </w:tr>
      <w:tr w14:paraId="27015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6EEAE4B">
            <w:pPr>
              <w:widowControl/>
              <w:spacing w:line="240" w:lineRule="exact"/>
              <w:ind w:firstLine="0" w:firstLineChars="0"/>
              <w:jc w:val="center"/>
              <w:rPr>
                <w:rFonts w:hint="default" w:ascii="Times New Roman" w:hAnsi="Times New Roman" w:cs="Times New Roman"/>
                <w:kern w:val="0"/>
                <w:sz w:val="18"/>
                <w:szCs w:val="18"/>
              </w:rPr>
            </w:pPr>
          </w:p>
        </w:tc>
        <w:tc>
          <w:tcPr>
            <w:tcW w:w="151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DFA1FA4">
            <w:pPr>
              <w:widowControl/>
              <w:spacing w:line="240" w:lineRule="exact"/>
              <w:ind w:firstLine="0" w:firstLineChars="0"/>
              <w:jc w:val="center"/>
              <w:rPr>
                <w:rFonts w:hint="default" w:ascii="Times New Roman" w:hAnsi="Times New Roman" w:cs="Times New Roman"/>
                <w:kern w:val="0"/>
                <w:sz w:val="18"/>
                <w:szCs w:val="18"/>
              </w:rPr>
            </w:pPr>
          </w:p>
        </w:tc>
        <w:tc>
          <w:tcPr>
            <w:tcW w:w="29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BE7F20C">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w:t>
            </w:r>
            <w:r>
              <w:rPr>
                <w:rFonts w:hint="default" w:ascii="Times New Roman" w:hAnsi="Times New Roman" w:cs="Times New Roman"/>
                <w:kern w:val="0"/>
                <w:sz w:val="18"/>
                <w:szCs w:val="18"/>
                <w:lang w:val="en-US" w:eastAsia="zh-CN"/>
              </w:rPr>
              <w:t>对园区开展供水管网分区计量、压力调控等工程，并新建供水GIS智能化、信息化系统1套。</w:t>
            </w:r>
          </w:p>
        </w:tc>
        <w:tc>
          <w:tcPr>
            <w:tcW w:w="75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E2B48BD">
            <w:pPr>
              <w:widowControl/>
              <w:spacing w:line="240" w:lineRule="exact"/>
              <w:ind w:firstLine="0" w:firstLineChars="0"/>
              <w:jc w:val="center"/>
              <w:rPr>
                <w:rFonts w:hint="default" w:ascii="Times New Roman" w:hAnsi="Times New Roman" w:cs="Times New Roman"/>
                <w:kern w:val="0"/>
                <w:sz w:val="18"/>
                <w:szCs w:val="18"/>
              </w:rPr>
            </w:pPr>
          </w:p>
        </w:tc>
        <w:tc>
          <w:tcPr>
            <w:tcW w:w="94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2B946F4">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3827C3E">
            <w:pPr>
              <w:widowControl/>
              <w:spacing w:line="240" w:lineRule="exact"/>
              <w:ind w:firstLine="0" w:firstLineChars="0"/>
              <w:jc w:val="center"/>
              <w:rPr>
                <w:rFonts w:hint="default" w:ascii="Times New Roman" w:hAnsi="Times New Roman" w:cs="Times New Roman"/>
                <w:kern w:val="0"/>
                <w:sz w:val="18"/>
                <w:szCs w:val="18"/>
              </w:rPr>
            </w:pPr>
          </w:p>
        </w:tc>
        <w:tc>
          <w:tcPr>
            <w:tcW w:w="975" w:type="dxa"/>
            <w:vMerge w:val="continue"/>
            <w:tcBorders>
              <w:left w:val="nil"/>
              <w:bottom w:val="single" w:color="000000" w:sz="8" w:space="0"/>
              <w:right w:val="single" w:color="000000" w:sz="8" w:space="0"/>
            </w:tcBorders>
            <w:shd w:val="clear" w:color="auto" w:fill="auto"/>
            <w:tcMar>
              <w:top w:w="15" w:type="dxa"/>
              <w:left w:w="15" w:type="dxa"/>
              <w:right w:w="15" w:type="dxa"/>
            </w:tcMar>
            <w:vAlign w:val="center"/>
          </w:tcPr>
          <w:p w14:paraId="0A432C88">
            <w:pPr>
              <w:widowControl/>
              <w:spacing w:line="240" w:lineRule="exact"/>
              <w:ind w:firstLine="0" w:firstLineChars="0"/>
              <w:jc w:val="center"/>
              <w:rPr>
                <w:rFonts w:hint="default" w:ascii="Times New Roman" w:hAnsi="Times New Roman" w:cs="Times New Roman"/>
                <w:kern w:val="0"/>
                <w:sz w:val="18"/>
                <w:szCs w:val="18"/>
              </w:rPr>
            </w:pPr>
          </w:p>
        </w:tc>
      </w:tr>
      <w:tr w14:paraId="0F243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EAAFF32">
            <w:pPr>
              <w:widowControl/>
              <w:spacing w:line="240" w:lineRule="exact"/>
              <w:ind w:firstLine="0" w:firstLineChars="0"/>
              <w:jc w:val="center"/>
              <w:rPr>
                <w:rFonts w:hint="default" w:ascii="Times New Roman" w:hAnsi="Times New Roman" w:cs="Times New Roman"/>
                <w:kern w:val="0"/>
                <w:sz w:val="18"/>
                <w:szCs w:val="18"/>
              </w:rPr>
            </w:pPr>
          </w:p>
        </w:tc>
        <w:tc>
          <w:tcPr>
            <w:tcW w:w="151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A6BAB29">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嵩明县县城龙井片区及周边用水户</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一户一表</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提升改造工程</w:t>
            </w:r>
          </w:p>
        </w:tc>
        <w:tc>
          <w:tcPr>
            <w:tcW w:w="29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E244F49">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改造用户水表计量设施及表箱等附属设施15200户</w:t>
            </w:r>
          </w:p>
        </w:tc>
        <w:tc>
          <w:tcPr>
            <w:tcW w:w="75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7C536F2">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2029</w:t>
            </w:r>
          </w:p>
        </w:tc>
        <w:tc>
          <w:tcPr>
            <w:tcW w:w="9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73EA22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2031</w:t>
            </w:r>
          </w:p>
        </w:tc>
        <w:tc>
          <w:tcPr>
            <w:tcW w:w="9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D98A798">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8500</w:t>
            </w:r>
          </w:p>
        </w:tc>
        <w:tc>
          <w:tcPr>
            <w:tcW w:w="9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3115320">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617EE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A3E7CE7">
            <w:pPr>
              <w:widowControl/>
              <w:spacing w:line="240" w:lineRule="exact"/>
              <w:ind w:firstLine="0" w:firstLineChars="0"/>
              <w:jc w:val="center"/>
              <w:rPr>
                <w:rFonts w:hint="default" w:ascii="Times New Roman" w:hAnsi="Times New Roman" w:cs="Times New Roman"/>
                <w:kern w:val="0"/>
                <w:sz w:val="18"/>
                <w:szCs w:val="18"/>
              </w:rPr>
            </w:pPr>
          </w:p>
        </w:tc>
        <w:tc>
          <w:tcPr>
            <w:tcW w:w="151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62E09D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杨林经开区南片区增设自来水供水项目</w:t>
            </w:r>
          </w:p>
        </w:tc>
        <w:tc>
          <w:tcPr>
            <w:tcW w:w="29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2AAC78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（一）</w:t>
            </w:r>
            <w:r>
              <w:rPr>
                <w:rFonts w:hint="default" w:ascii="Times New Roman" w:hAnsi="Times New Roman" w:cs="Times New Roman"/>
                <w:kern w:val="0"/>
                <w:sz w:val="18"/>
                <w:szCs w:val="18"/>
                <w:lang w:val="en-US" w:eastAsia="zh-CN"/>
              </w:rPr>
              <w:t>供水主管建设</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新建DN600球墨铸铁管11550米，DN600焊接钢管350米，DN800II级钢筋混凝土管250米，新建DN400球墨铸铁管30米，新建DN600弹性封闸阀16个，DN600闸阀井16座，DN400弹性封闸阀1个，DN400闸阀井1座，DN80排气阀13个，钢筋混凝土排气阀井13座，DN200泄水阀13个，砖砌排泥湿井13座，顶管井2座，配套建设2000m'高位水池3座</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含附属建构筑物</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，以及道路开挖及恢复。主管线主要采用开槽施工，在穿越空港大道、官军路时采用顶管的形式，跨对龙河时采用明敷保温做桁架的形式。</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二</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配水支管完善</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新建DN400球墨铸铁管1436米，新建DN200球墨铸铁管3246米，新建DN400弹性封闸阀2个，DN400闸阀井2座，新建DN200弹性封闸阀14个，DN200闸阀井14座，DN25排气阀5个，钢筋混凝土排气阀井5座，DN75泄水阀5个，砖砌排泥湿井5座，以及道路开挖及恢复。</w:t>
            </w:r>
          </w:p>
        </w:tc>
        <w:tc>
          <w:tcPr>
            <w:tcW w:w="75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097EAB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2029</w:t>
            </w:r>
          </w:p>
        </w:tc>
        <w:tc>
          <w:tcPr>
            <w:tcW w:w="9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8D7B982">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2031</w:t>
            </w:r>
          </w:p>
        </w:tc>
        <w:tc>
          <w:tcPr>
            <w:tcW w:w="9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7D5FD9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6299.58</w:t>
            </w:r>
          </w:p>
        </w:tc>
        <w:tc>
          <w:tcPr>
            <w:tcW w:w="9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2BB4F97A">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4AAB6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4332FC3">
            <w:pPr>
              <w:widowControl/>
              <w:spacing w:line="240" w:lineRule="exact"/>
              <w:ind w:firstLine="0" w:firstLineChars="0"/>
              <w:jc w:val="center"/>
              <w:rPr>
                <w:rFonts w:hint="default" w:ascii="Times New Roman" w:hAnsi="Times New Roman" w:cs="Times New Roman"/>
                <w:kern w:val="0"/>
                <w:sz w:val="18"/>
                <w:szCs w:val="18"/>
              </w:rPr>
            </w:pPr>
          </w:p>
        </w:tc>
        <w:tc>
          <w:tcPr>
            <w:tcW w:w="151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9E5784B">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嵩明县供水管网改造及漏损治理工程</w:t>
            </w:r>
          </w:p>
        </w:tc>
        <w:tc>
          <w:tcPr>
            <w:tcW w:w="29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DCA746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1.供水管网改造工程</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改造城区DN100~DN400市政供水主管18.90km</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改造DN20~DN200老小区供水管网27.60km。2.供水管网分区计量工程</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建设一级分区2个，安装DN200~DN800远传电磁流量计6台</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建设二级分区4个，安装DN150~DN400远传电磁流量计10台</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建设三级DMA分区88个，安装DN100~DN200远传电磁水表88只。更换DN25~DN200贸易结算表578只</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更换DN15~DN100的老旧机械水表13528只。更换DN100消火栓424套并配套新增机械水表</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新增DN50市政用水机械水表30套</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新增DN15~DN32绿化用水机械水表70套</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新增DN15、DN32环卫用水机械水表30套。3.供水管网压力调控工程</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结合供水管网分区建设配套新增30套压力监测计、6套综合水质仪表。4.供水智能化建设工程</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整合现状应用系统，新建智慧水务数据平台中心，实现管网GIS系统、营收、表务、调度管理与漏损控制等数据互通、平台共享，管网资料可进行动态化管理。</w:t>
            </w:r>
          </w:p>
        </w:tc>
        <w:tc>
          <w:tcPr>
            <w:tcW w:w="75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14D8EEE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2028</w:t>
            </w:r>
          </w:p>
        </w:tc>
        <w:tc>
          <w:tcPr>
            <w:tcW w:w="9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7299422">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2030</w:t>
            </w:r>
          </w:p>
        </w:tc>
        <w:tc>
          <w:tcPr>
            <w:tcW w:w="9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47AF5CB">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6886.95</w:t>
            </w:r>
          </w:p>
        </w:tc>
        <w:tc>
          <w:tcPr>
            <w:tcW w:w="9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5E355AB">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B：推进前期，力争开工</w:t>
            </w:r>
          </w:p>
        </w:tc>
      </w:tr>
      <w:tr w14:paraId="5D777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B271FF5">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水库扩建清淤</w:t>
            </w:r>
          </w:p>
        </w:tc>
        <w:tc>
          <w:tcPr>
            <w:tcW w:w="151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F61A55A">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大石头水库水源地内源治理与清淤工程</w:t>
            </w:r>
          </w:p>
        </w:tc>
        <w:tc>
          <w:tcPr>
            <w:tcW w:w="29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6B32EED">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对大石头水库清淤，增加水库库容及蓄水能力</w:t>
            </w:r>
          </w:p>
        </w:tc>
        <w:tc>
          <w:tcPr>
            <w:tcW w:w="75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71F3853">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2027年</w:t>
            </w:r>
          </w:p>
        </w:tc>
        <w:tc>
          <w:tcPr>
            <w:tcW w:w="94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3FF4B0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2030年</w:t>
            </w:r>
          </w:p>
        </w:tc>
        <w:tc>
          <w:tcPr>
            <w:tcW w:w="9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39FB7F3D">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15000</w:t>
            </w:r>
          </w:p>
        </w:tc>
        <w:tc>
          <w:tcPr>
            <w:tcW w:w="9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6333166">
            <w:pPr>
              <w:widowControl/>
              <w:spacing w:line="240" w:lineRule="exact"/>
              <w:ind w:firstLine="0" w:firstLineChars="0"/>
              <w:jc w:val="center"/>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bl>
    <w:p w14:paraId="0DC65035">
      <w:pPr>
        <w:widowControl/>
        <w:spacing w:line="240" w:lineRule="exact"/>
        <w:ind w:firstLine="0" w:firstLineChars="0"/>
        <w:jc w:val="center"/>
        <w:rPr>
          <w:rFonts w:hint="default" w:ascii="Times New Roman" w:hAnsi="Times New Roman" w:cs="Times New Roman"/>
          <w:kern w:val="0"/>
          <w:sz w:val="18"/>
          <w:szCs w:val="18"/>
        </w:rPr>
        <w:sectPr>
          <w:pgSz w:w="11906" w:h="16838"/>
          <w:pgMar w:top="1440" w:right="1803" w:bottom="1440" w:left="1803" w:header="851" w:footer="992" w:gutter="0"/>
          <w:cols w:space="0" w:num="1"/>
          <w:docGrid w:type="lines" w:linePitch="332" w:charSpace="0"/>
        </w:sectPr>
      </w:pPr>
    </w:p>
    <w:p w14:paraId="7E8FDA17">
      <w:pPr>
        <w:pStyle w:val="17"/>
        <w:ind w:firstLine="0" w:firstLineChars="0"/>
        <w:jc w:val="center"/>
        <w:rPr>
          <w:rFonts w:hint="default" w:ascii="Times New Roman" w:hAnsi="Times New Roman" w:cs="Times New Roman"/>
          <w:b/>
          <w:bCs/>
          <w:color w:val="000000" w:themeColor="text1"/>
          <w14:textFill>
            <w14:solidFill>
              <w14:schemeClr w14:val="tx1"/>
            </w14:solidFill>
          </w14:textFill>
        </w:rPr>
      </w:pPr>
    </w:p>
    <w:p w14:paraId="20D43A43">
      <w:pPr>
        <w:pStyle w:val="17"/>
        <w:ind w:firstLine="482"/>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eastAsia="zh-CN"/>
          <w14:textFill>
            <w14:solidFill>
              <w14:schemeClr w14:val="tx1"/>
            </w14:solidFill>
          </w14:textFill>
        </w:rPr>
        <w:t>附件</w:t>
      </w:r>
      <w:r>
        <w:rPr>
          <w:rFonts w:hint="default"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cs="Times New Roman"/>
          <w:b/>
          <w:bCs/>
          <w:color w:val="000000" w:themeColor="text1"/>
          <w14:textFill>
            <w14:solidFill>
              <w14:schemeClr w14:val="tx1"/>
            </w14:solidFill>
          </w14:textFill>
        </w:rPr>
        <w:t>-</w:t>
      </w:r>
      <w:r>
        <w:rPr>
          <w:rFonts w:hint="default" w:ascii="Times New Roman" w:hAnsi="Times New Roman" w:cs="Times New Roman"/>
          <w:b/>
          <w:bCs/>
          <w:color w:val="000000" w:themeColor="text1"/>
          <w:lang w:val="en-US" w:eastAsia="zh-CN"/>
          <w14:textFill>
            <w14:solidFill>
              <w14:schemeClr w14:val="tx1"/>
            </w14:solidFill>
          </w14:textFill>
        </w:rPr>
        <w:t>3</w:t>
      </w:r>
      <w:r>
        <w:rPr>
          <w:rFonts w:hint="default" w:ascii="Times New Roman" w:hAnsi="Times New Roman" w:cs="Times New Roman"/>
          <w:b/>
          <w:bCs/>
          <w:color w:val="000000" w:themeColor="text1"/>
          <w14:textFill>
            <w14:solidFill>
              <w14:schemeClr w14:val="tx1"/>
            </w14:solidFill>
          </w14:textFill>
        </w:rPr>
        <w:t>昆明市嵩明县“十五五”水安全保障规划灌溉排水网工程表</w:t>
      </w:r>
    </w:p>
    <w:tbl>
      <w:tblPr>
        <w:tblStyle w:val="19"/>
        <w:tblW w:w="9133" w:type="dxa"/>
        <w:tblInd w:w="0" w:type="dxa"/>
        <w:tblLayout w:type="fixed"/>
        <w:tblCellMar>
          <w:top w:w="0" w:type="dxa"/>
          <w:left w:w="0" w:type="dxa"/>
          <w:bottom w:w="0" w:type="dxa"/>
          <w:right w:w="0" w:type="dxa"/>
        </w:tblCellMar>
      </w:tblPr>
      <w:tblGrid>
        <w:gridCol w:w="1743"/>
        <w:gridCol w:w="1305"/>
        <w:gridCol w:w="2775"/>
        <w:gridCol w:w="735"/>
        <w:gridCol w:w="795"/>
        <w:gridCol w:w="840"/>
        <w:gridCol w:w="940"/>
      </w:tblGrid>
      <w:tr w14:paraId="0ED6B7F2">
        <w:tblPrEx>
          <w:tblCellMar>
            <w:top w:w="0" w:type="dxa"/>
            <w:left w:w="0" w:type="dxa"/>
            <w:bottom w:w="0" w:type="dxa"/>
            <w:right w:w="0" w:type="dxa"/>
          </w:tblCellMar>
        </w:tblPrEx>
        <w:trPr>
          <w:trHeight w:val="610" w:hRule="atLeast"/>
        </w:trPr>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65C3B">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项目类型</w:t>
            </w:r>
          </w:p>
        </w:tc>
        <w:tc>
          <w:tcPr>
            <w:tcW w:w="13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66577">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项目名称</w:t>
            </w:r>
          </w:p>
        </w:tc>
        <w:tc>
          <w:tcPr>
            <w:tcW w:w="2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3D340">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项目内容</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C595A">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建设时间</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B2126">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计划投资（万元）</w:t>
            </w:r>
          </w:p>
        </w:tc>
        <w:tc>
          <w:tcPr>
            <w:tcW w:w="94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C660CA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项目类型（A、B、C）</w:t>
            </w:r>
          </w:p>
        </w:tc>
      </w:tr>
      <w:tr w14:paraId="4E838CCB">
        <w:tblPrEx>
          <w:tblCellMar>
            <w:top w:w="0" w:type="dxa"/>
            <w:left w:w="0" w:type="dxa"/>
            <w:bottom w:w="0" w:type="dxa"/>
            <w:right w:w="0" w:type="dxa"/>
          </w:tblCellMar>
        </w:tblPrEx>
        <w:trPr>
          <w:trHeight w:val="610" w:hRule="atLeast"/>
        </w:trPr>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3EAD3">
            <w:pPr>
              <w:widowControl/>
              <w:spacing w:line="240" w:lineRule="exact"/>
              <w:ind w:firstLine="0" w:firstLineChars="0"/>
              <w:jc w:val="center"/>
              <w:rPr>
                <w:rFonts w:hint="default" w:ascii="Times New Roman" w:hAnsi="Times New Roman" w:cs="Times New Roman"/>
                <w:kern w:val="0"/>
                <w:sz w:val="18"/>
                <w:szCs w:val="18"/>
              </w:rPr>
            </w:pP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29A4A">
            <w:pPr>
              <w:widowControl/>
              <w:spacing w:line="240" w:lineRule="exact"/>
              <w:ind w:firstLine="0" w:firstLineChars="0"/>
              <w:jc w:val="center"/>
              <w:rPr>
                <w:rFonts w:hint="default" w:ascii="Times New Roman" w:hAnsi="Times New Roman" w:cs="Times New Roman"/>
                <w:kern w:val="0"/>
                <w:sz w:val="18"/>
                <w:szCs w:val="18"/>
              </w:rPr>
            </w:pPr>
          </w:p>
        </w:tc>
        <w:tc>
          <w:tcPr>
            <w:tcW w:w="2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4EB08">
            <w:pPr>
              <w:widowControl/>
              <w:spacing w:line="240" w:lineRule="exact"/>
              <w:ind w:firstLine="0" w:firstLineChars="0"/>
              <w:jc w:val="center"/>
              <w:rPr>
                <w:rFonts w:hint="default" w:ascii="Times New Roman" w:hAnsi="Times New Roman" w:cs="Times New Roman"/>
                <w:kern w:val="0"/>
                <w:sz w:val="18"/>
                <w:szCs w:val="18"/>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4265">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计划开工时间</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A49BE">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计划完工时间</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A124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合计</w:t>
            </w:r>
          </w:p>
        </w:tc>
        <w:tc>
          <w:tcPr>
            <w:tcW w:w="94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D3971">
            <w:pPr>
              <w:widowControl/>
              <w:spacing w:line="240" w:lineRule="exact"/>
              <w:ind w:firstLine="0" w:firstLineChars="0"/>
              <w:jc w:val="center"/>
              <w:rPr>
                <w:rFonts w:hint="default" w:ascii="Times New Roman" w:hAnsi="Times New Roman" w:cs="Times New Roman"/>
                <w:kern w:val="0"/>
                <w:sz w:val="18"/>
                <w:szCs w:val="18"/>
              </w:rPr>
            </w:pPr>
          </w:p>
        </w:tc>
      </w:tr>
      <w:tr w14:paraId="62DFAFFA">
        <w:tblPrEx>
          <w:tblCellMar>
            <w:top w:w="0" w:type="dxa"/>
            <w:left w:w="0" w:type="dxa"/>
            <w:bottom w:w="0" w:type="dxa"/>
            <w:right w:w="0" w:type="dxa"/>
          </w:tblCellMar>
        </w:tblPrEx>
        <w:trPr>
          <w:trHeight w:val="2085" w:hRule="atLeast"/>
        </w:trPr>
        <w:tc>
          <w:tcPr>
            <w:tcW w:w="1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6F8A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大中型灌区工程</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F1BC0">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云南省嵩明大型灌区续建配套与现代化改造项目</w:t>
            </w:r>
          </w:p>
        </w:tc>
        <w:tc>
          <w:tcPr>
            <w:tcW w:w="2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8771D">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一是对部分老旧、病险节制闸进行除险加固，新建部分水闸，提升水利设施完善率。二是围绕嵩明“一江八河”走向布设供水管网和计量水表，同时兼顾水系间管网连通，形成多水源保障的供水体系，实现高效节水。三是对现有的老旧泵站进行改扩建，新建部分提水泵站，配套建设供水管网和计量水表，进一步优化水资源的时空分布。四是发展山区灌溉工程，新建蓄水池，将山里的箐沟水引至水池存储，新建水池至田间的供水主管网，配套计量设施，促进山区耕地保值增值，助力农业增产、农民增收。五是完善灌区信息化、数字孪生建设，提升管理能力和服务水平，做到管理科学。</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F805E">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C9F4E">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F492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62084.12</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27578">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B：推进前期，力争开工</w:t>
            </w:r>
          </w:p>
        </w:tc>
      </w:tr>
      <w:tr w14:paraId="2724C050">
        <w:tblPrEx>
          <w:tblCellMar>
            <w:top w:w="0" w:type="dxa"/>
            <w:left w:w="0" w:type="dxa"/>
            <w:bottom w:w="0" w:type="dxa"/>
            <w:right w:w="0" w:type="dxa"/>
          </w:tblCellMar>
        </w:tblPrEx>
        <w:trPr>
          <w:trHeight w:val="855" w:hRule="atLeast"/>
        </w:trPr>
        <w:tc>
          <w:tcPr>
            <w:tcW w:w="1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1102E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小型农田水利建设</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B3AE2">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嵩明小型农田水利建设</w:t>
            </w:r>
          </w:p>
        </w:tc>
        <w:tc>
          <w:tcPr>
            <w:tcW w:w="2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B80F6">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小型灌区渠系配套建设。</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336F5">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83319">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6B9F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6000</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182F6">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41B8B0D2">
        <w:tblPrEx>
          <w:tblCellMar>
            <w:top w:w="0" w:type="dxa"/>
            <w:left w:w="0" w:type="dxa"/>
            <w:bottom w:w="0" w:type="dxa"/>
            <w:right w:w="0" w:type="dxa"/>
          </w:tblCellMar>
        </w:tblPrEx>
        <w:trPr>
          <w:trHeight w:val="1140" w:hRule="atLeast"/>
        </w:trPr>
        <w:tc>
          <w:tcPr>
            <w:tcW w:w="1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F4FA6">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嵩明县小型灌排泵站、沟渠改造工程</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F25F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嵩明小型灌排泵站、沟渠改造工程</w:t>
            </w:r>
          </w:p>
        </w:tc>
        <w:tc>
          <w:tcPr>
            <w:tcW w:w="2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F34E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改造铺甸心泵站、老裴庄泵站、古城寺头上泵站、水海泵站、嘉丽泽1#泵站等10座泵站，新建扬水管道3.44km；改造西冲河水库天生桥进水沟、西冲河水库七里湾龙潭进水沟3.84km。</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F86BB">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18AC5">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3098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3601</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A989A">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1BD855C6">
        <w:tblPrEx>
          <w:tblCellMar>
            <w:top w:w="0" w:type="dxa"/>
            <w:left w:w="0" w:type="dxa"/>
            <w:bottom w:w="0" w:type="dxa"/>
            <w:right w:w="0" w:type="dxa"/>
          </w:tblCellMar>
        </w:tblPrEx>
        <w:trPr>
          <w:trHeight w:val="1890" w:hRule="atLeast"/>
        </w:trPr>
        <w:tc>
          <w:tcPr>
            <w:tcW w:w="1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A22F6">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嵩明县小型输配水管网灌溉工程</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BE37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嵩明小型输配水管网灌溉工程</w:t>
            </w:r>
          </w:p>
        </w:tc>
        <w:tc>
          <w:tcPr>
            <w:tcW w:w="2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89F7E">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新建小山冲坝塘至菱角塘水库输水干管、阿革勺水库输水干管</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石将军水库输水干管、河西海水库输水干管、湾地已建2000m³水池输水干管、野鸭塘水库输水干管、崔家庄已建2000m³水池输水干管、老草凹水库输水干管10.7km，新建杨林河输水支管、大冲河输水支管、弥良河</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普沙河</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果马河输水支管、小山冲坝塘输水支管、龙潭沟坝塘输水支管、河西海水库输水支管、湾地已建2000m³水池输水支管、崔家庄已建2000m³水池输水支管、古城已建2000m³水池输水支管33.62km。</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F286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4AE6B">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B509A">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8943</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8EA65">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bl>
    <w:p w14:paraId="4A49E224">
      <w:pPr>
        <w:pStyle w:val="17"/>
        <w:ind w:firstLine="482"/>
        <w:rPr>
          <w:rFonts w:hint="default" w:ascii="Times New Roman" w:hAnsi="Times New Roman" w:cs="Times New Roman"/>
          <w:b/>
          <w:bCs/>
          <w:color w:val="000000" w:themeColor="text1"/>
          <w14:textFill>
            <w14:solidFill>
              <w14:schemeClr w14:val="tx1"/>
            </w14:solidFill>
          </w14:textFill>
        </w:rPr>
        <w:sectPr>
          <w:pgSz w:w="11906" w:h="16838"/>
          <w:pgMar w:top="1440" w:right="1803" w:bottom="1440" w:left="1803" w:header="851" w:footer="992" w:gutter="0"/>
          <w:cols w:space="0" w:num="1"/>
          <w:docGrid w:type="lines" w:linePitch="332" w:charSpace="0"/>
        </w:sectPr>
      </w:pPr>
    </w:p>
    <w:p w14:paraId="5D3EECB2">
      <w:pPr>
        <w:pStyle w:val="17"/>
        <w:ind w:firstLine="482"/>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eastAsia="zh-CN"/>
          <w14:textFill>
            <w14:solidFill>
              <w14:schemeClr w14:val="tx1"/>
            </w14:solidFill>
          </w14:textFill>
        </w:rPr>
        <w:t>附件</w:t>
      </w:r>
      <w:r>
        <w:rPr>
          <w:rFonts w:hint="default"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cs="Times New Roman"/>
          <w:b/>
          <w:bCs/>
          <w:color w:val="000000" w:themeColor="text1"/>
          <w14:textFill>
            <w14:solidFill>
              <w14:schemeClr w14:val="tx1"/>
            </w14:solidFill>
          </w14:textFill>
        </w:rPr>
        <w:t>-</w:t>
      </w:r>
      <w:r>
        <w:rPr>
          <w:rFonts w:hint="default" w:ascii="Times New Roman" w:hAnsi="Times New Roman" w:cs="Times New Roman"/>
          <w:b/>
          <w:bCs/>
          <w:color w:val="000000" w:themeColor="text1"/>
          <w:lang w:val="en-US" w:eastAsia="zh-CN"/>
          <w14:textFill>
            <w14:solidFill>
              <w14:schemeClr w14:val="tx1"/>
            </w14:solidFill>
          </w14:textFill>
        </w:rPr>
        <w:t>4</w:t>
      </w:r>
      <w:r>
        <w:rPr>
          <w:rFonts w:hint="default" w:ascii="Times New Roman" w:hAnsi="Times New Roman" w:cs="Times New Roman"/>
          <w:b/>
          <w:bCs/>
          <w:color w:val="000000" w:themeColor="text1"/>
          <w14:textFill>
            <w14:solidFill>
              <w14:schemeClr w14:val="tx1"/>
            </w14:solidFill>
          </w14:textFill>
        </w:rPr>
        <w:t>昆明市嵩明县“十五五”水安全保障规划河湖生态网工程表</w:t>
      </w:r>
    </w:p>
    <w:tbl>
      <w:tblPr>
        <w:tblStyle w:val="19"/>
        <w:tblW w:w="14217" w:type="dxa"/>
        <w:tblInd w:w="0" w:type="dxa"/>
        <w:tblLayout w:type="fixed"/>
        <w:tblCellMar>
          <w:top w:w="0" w:type="dxa"/>
          <w:left w:w="0" w:type="dxa"/>
          <w:bottom w:w="0" w:type="dxa"/>
          <w:right w:w="0" w:type="dxa"/>
        </w:tblCellMar>
      </w:tblPr>
      <w:tblGrid>
        <w:gridCol w:w="1617"/>
        <w:gridCol w:w="1740"/>
        <w:gridCol w:w="8115"/>
        <w:gridCol w:w="630"/>
        <w:gridCol w:w="570"/>
        <w:gridCol w:w="600"/>
        <w:gridCol w:w="945"/>
      </w:tblGrid>
      <w:tr w14:paraId="27E95D18">
        <w:tblPrEx>
          <w:tblCellMar>
            <w:top w:w="0" w:type="dxa"/>
            <w:left w:w="0" w:type="dxa"/>
            <w:bottom w:w="0" w:type="dxa"/>
            <w:right w:w="0" w:type="dxa"/>
          </w:tblCellMar>
        </w:tblPrEx>
        <w:trPr>
          <w:trHeight w:val="570" w:hRule="atLeast"/>
        </w:trPr>
        <w:tc>
          <w:tcPr>
            <w:tcW w:w="161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EFE9D">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项目类型</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0092D">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项目名称</w:t>
            </w:r>
          </w:p>
        </w:tc>
        <w:tc>
          <w:tcPr>
            <w:tcW w:w="81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EE80D">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项目内容</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9F9EC">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建设时间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4043E">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计划投资（万元）</w:t>
            </w:r>
          </w:p>
        </w:tc>
        <w:tc>
          <w:tcPr>
            <w:tcW w:w="94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259CE0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项目类型（A、B、C）</w:t>
            </w:r>
          </w:p>
        </w:tc>
      </w:tr>
      <w:tr w14:paraId="1E13DF3C">
        <w:tblPrEx>
          <w:tblCellMar>
            <w:top w:w="0" w:type="dxa"/>
            <w:left w:w="0" w:type="dxa"/>
            <w:bottom w:w="0" w:type="dxa"/>
            <w:right w:w="0" w:type="dxa"/>
          </w:tblCellMar>
        </w:tblPrEx>
        <w:trPr>
          <w:trHeight w:val="57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ED78C">
            <w:pPr>
              <w:widowControl/>
              <w:spacing w:line="240" w:lineRule="exact"/>
              <w:ind w:firstLine="0" w:firstLineChars="0"/>
              <w:jc w:val="center"/>
              <w:rPr>
                <w:rFonts w:hint="default" w:ascii="Times New Roman" w:hAnsi="Times New Roman" w:cs="Times New Roman"/>
                <w:kern w:val="0"/>
                <w:sz w:val="18"/>
                <w:szCs w:val="18"/>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86230">
            <w:pPr>
              <w:widowControl/>
              <w:spacing w:line="240" w:lineRule="exact"/>
              <w:ind w:firstLine="0" w:firstLineChars="0"/>
              <w:jc w:val="center"/>
              <w:rPr>
                <w:rFonts w:hint="default" w:ascii="Times New Roman" w:hAnsi="Times New Roman" w:cs="Times New Roman"/>
                <w:kern w:val="0"/>
                <w:sz w:val="18"/>
                <w:szCs w:val="18"/>
              </w:rPr>
            </w:pPr>
          </w:p>
        </w:tc>
        <w:tc>
          <w:tcPr>
            <w:tcW w:w="81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42D26">
            <w:pPr>
              <w:widowControl/>
              <w:spacing w:line="240" w:lineRule="exact"/>
              <w:ind w:firstLine="0" w:firstLineChars="0"/>
              <w:jc w:val="center"/>
              <w:rPr>
                <w:rFonts w:hint="default" w:ascii="Times New Roman" w:hAnsi="Times New Roman" w:cs="Times New Roman"/>
                <w:kern w:val="0"/>
                <w:sz w:val="18"/>
                <w:szCs w:val="18"/>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D3097">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计划开工时间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29907">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计划完工时间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A7320">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合计</w:t>
            </w:r>
          </w:p>
        </w:tc>
        <w:tc>
          <w:tcPr>
            <w:tcW w:w="94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A711B">
            <w:pPr>
              <w:widowControl/>
              <w:spacing w:line="240" w:lineRule="exact"/>
              <w:ind w:firstLine="0" w:firstLineChars="0"/>
              <w:jc w:val="center"/>
              <w:rPr>
                <w:rFonts w:hint="default" w:ascii="Times New Roman" w:hAnsi="Times New Roman" w:cs="Times New Roman"/>
                <w:kern w:val="0"/>
                <w:sz w:val="18"/>
                <w:szCs w:val="18"/>
              </w:rPr>
            </w:pPr>
          </w:p>
        </w:tc>
      </w:tr>
      <w:tr w14:paraId="4AE5BF24">
        <w:tblPrEx>
          <w:tblCellMar>
            <w:top w:w="0" w:type="dxa"/>
            <w:left w:w="0" w:type="dxa"/>
            <w:bottom w:w="0" w:type="dxa"/>
            <w:right w:w="0" w:type="dxa"/>
          </w:tblCellMar>
        </w:tblPrEx>
        <w:trPr>
          <w:trHeight w:val="610" w:hRule="atLeast"/>
        </w:trPr>
        <w:tc>
          <w:tcPr>
            <w:tcW w:w="161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2BE1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水土保持工程项目</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98687">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昆明市嵩明县集中式饮用水水源地规范化建设项目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4F2D1">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修建1.9m的浸塑围栏11820m，修建规格为1200×150×150（mm）界桩146棵，修建规格为1600*1200*2mm铝合金板面界标22块，修建规格为1600*1200*2mm铝合金板面宣传牌16块，修建规格为1500*600*2mm铝合金板面交通警示牌15块</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CA1A0">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9637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2027年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77C60">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502</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FC5B2">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A：加快推进，优先开工</w:t>
            </w:r>
          </w:p>
        </w:tc>
      </w:tr>
      <w:tr w14:paraId="69198679">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CB573">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2A43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云南省昆明市嵩明县牛栏江镇分水沟小流域坡耕地水土流失综合治理工程</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7A4A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梯田工程257.58h㎡，配套措施包括提水泵站工程2座；蓄水池28座（其中50m³蓄水池1座、100m³蓄水池7座、150m³蓄水池18座、300m³蓄水池2座）；管道工程14.69km，其中PE管12.39km，热镀锌钢管2.30km；配套闸门井41座，镇支墩139座；田间道路4.71km，全部为修缮机耕道路，配套会车平台19处，下田口39座，路基挡墙416m；田间道路排水沟4.81km，沉沙井16座，预制涵管240m；水利设施喷绘40㎡，管护碑2座。</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B9C1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134A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2028年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2A031">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1600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7BCE8">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B：推进前期，力争开工</w:t>
            </w:r>
          </w:p>
        </w:tc>
      </w:tr>
      <w:tr w14:paraId="03A110BE">
        <w:tblPrEx>
          <w:tblCellMar>
            <w:top w:w="0" w:type="dxa"/>
            <w:left w:w="0" w:type="dxa"/>
            <w:bottom w:w="0" w:type="dxa"/>
            <w:right w:w="0" w:type="dxa"/>
          </w:tblCellMar>
        </w:tblPrEx>
        <w:trPr>
          <w:trHeight w:val="610" w:hRule="atLeast"/>
        </w:trPr>
        <w:tc>
          <w:tcPr>
            <w:tcW w:w="161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8D4FD">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重要河流生态廊道建设工程项目</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B1B3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嵩明县老草凹生态清洁型小流域治理工程</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97876">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以创建第一批国家水土保持示范工程成功核心，通过水土流失综合治理、面源污染防治和生态修复等手段实现小流域清洁治理。采用封育保护、梯田、坡耕地建设等减少泥沙入库，上游开展水源涵养林建设，中游开展生态沟渠拦截面源污染，下游开展湿地人工建设。</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B0C90">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997F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2028年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EB1DD">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1200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E481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B：推进前期，力争开工</w:t>
            </w:r>
          </w:p>
        </w:tc>
      </w:tr>
      <w:tr w14:paraId="39AACA5A">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F27CF">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C6318">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嵩明县弥良河入河排污口整治及规范化建设工程</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CBED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主要针对杨桥街道5个社区居委会20个自然村存在问题需要开展整治的生活污水排污口开展整治工程，主要建设内容如下：①污水收集系统建设工程新建DN300钢带主管19905m、DN200支管47190m、DN110UPVC入户管63391m，入户检查井（φ315塑料检查井）4232座，检查井（φ700塑料检查井）1672座。②污水处理系统建设工程嵩明县弥良河入河排污口整治及规范化建设工程可行性研究报告</w:t>
            </w:r>
            <w:r>
              <w:rPr>
                <w:rFonts w:hint="default" w:ascii="Times New Roman" w:hAnsi="Times New Roman" w:cs="Times New Roman"/>
                <w:kern w:val="0"/>
                <w:sz w:val="18"/>
                <w:szCs w:val="18"/>
              </w:rPr>
              <w:br w:type="textWrapping"/>
            </w:r>
            <w:r>
              <w:rPr>
                <w:rFonts w:hint="default" w:ascii="Times New Roman" w:hAnsi="Times New Roman" w:cs="Times New Roman"/>
                <w:kern w:val="0"/>
                <w:sz w:val="18"/>
                <w:szCs w:val="18"/>
              </w:rPr>
              <w:t>2350m³/d太阳能微动力A2/O一体化设施1座。</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592F7">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2027年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3D979">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2028年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8E580">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3089.4</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43286">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A：加快推进，优先开工</w:t>
            </w:r>
          </w:p>
        </w:tc>
      </w:tr>
      <w:tr w14:paraId="66861CDC">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F337F">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99985">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嵩明县上游水库水环境改善治理（一期）工程</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29B76">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建设水库周边湿地450亩、隔离栏工程5000米、宣传警示牌20块、村庄污水收集DN400管13600米、DN300管9800米、泵站5座、检查井468座、垃圾中转站1座等水环境改善治理设施。</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ADE0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2028年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7E10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B86D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3600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07FD5">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706AFF33">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6879F">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0F88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牛栏江（嵩明段）水环境综合治理一期工程</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D8B0C">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子项一：牛栏江（嵩明段）弥良河水环境综合治理项目，总投资2268万元，新建弥良河沿岸村庄截污管62.474千米，其中新建DN500污水管约8603米，新建DN400污水主管约5943米，DN300污水主管约15618米，DN200污水支管约14212米，DN100污水户管约17395米，φ700污水检查井约1599座，φ500接户清扫井约1206座，原位处理设施一套。将弥良河上游西山、大村子、布能三个社区1366户7865人生活污水接入嵩明县第一污水处理厂进行处理，西山社区弥良河库区内三个小组原位处理设施处理。计划开挖土方约27331立方米，回填土方约12486立方米，细沙包管约14900立方米，混凝土拆除约4468立方米，</w:t>
            </w:r>
            <w:r>
              <w:rPr>
                <w:rFonts w:hint="default" w:ascii="Times New Roman" w:hAnsi="Times New Roman" w:cs="Times New Roman"/>
                <w:kern w:val="0"/>
                <w:sz w:val="18"/>
                <w:szCs w:val="18"/>
                <w:lang w:eastAsia="zh-CN"/>
              </w:rPr>
              <w:t>混凝土</w:t>
            </w:r>
            <w:r>
              <w:rPr>
                <w:rFonts w:hint="default" w:ascii="Times New Roman" w:hAnsi="Times New Roman" w:cs="Times New Roman"/>
                <w:kern w:val="0"/>
                <w:sz w:val="18"/>
                <w:szCs w:val="18"/>
              </w:rPr>
              <w:t>恢复约5607立方米。</w:t>
            </w:r>
            <w:r>
              <w:rPr>
                <w:rFonts w:hint="default" w:ascii="Times New Roman" w:hAnsi="Times New Roman" w:cs="Times New Roman"/>
                <w:kern w:val="0"/>
                <w:sz w:val="18"/>
                <w:szCs w:val="18"/>
              </w:rPr>
              <w:br w:type="textWrapping"/>
            </w:r>
            <w:r>
              <w:rPr>
                <w:rFonts w:hint="default" w:ascii="Times New Roman" w:hAnsi="Times New Roman" w:cs="Times New Roman"/>
                <w:kern w:val="0"/>
                <w:sz w:val="18"/>
                <w:szCs w:val="18"/>
              </w:rPr>
              <w:t>子项二：牛栏江流域（嵩明段）干流水环境综合治理项目，总投资2430万元，牛栏江（嵩明段）干流村庄截污管网46.974千米（其中主管约33174米，分户排污管约13800米），检查井约407座，氧化池约3座；支流黑箐河村庄截污管网2.616千米（其中主管816米、分管1800米），检查井18座，挖方3866立方米</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路面破除恢复2866平方米</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氧化池1座。</w:t>
            </w:r>
            <w:r>
              <w:rPr>
                <w:rFonts w:hint="default" w:ascii="Times New Roman" w:hAnsi="Times New Roman" w:cs="Times New Roman"/>
                <w:kern w:val="0"/>
                <w:sz w:val="18"/>
                <w:szCs w:val="18"/>
              </w:rPr>
              <w:br w:type="textWrapping"/>
            </w:r>
            <w:r>
              <w:rPr>
                <w:rFonts w:hint="default" w:ascii="Times New Roman" w:hAnsi="Times New Roman" w:cs="Times New Roman"/>
                <w:kern w:val="0"/>
                <w:sz w:val="18"/>
                <w:szCs w:val="18"/>
              </w:rPr>
              <w:t>子项三：牛栏江流域（小街镇段）水环境综合治理项目，总投资3461万元。主要建设污水管网11.91千米，检查井397个，配套污水提升工程及入户管网等，生态沟渠20.243千米、河道淤泥清理2.2万立方米、河道垃圾清理0.11万吨。</w:t>
            </w:r>
            <w:r>
              <w:rPr>
                <w:rFonts w:hint="default" w:ascii="Times New Roman" w:hAnsi="Times New Roman" w:cs="Times New Roman"/>
                <w:kern w:val="0"/>
                <w:sz w:val="18"/>
                <w:szCs w:val="18"/>
              </w:rPr>
              <w:br w:type="textWrapping"/>
            </w:r>
            <w:r>
              <w:rPr>
                <w:rFonts w:hint="default" w:ascii="Times New Roman" w:hAnsi="Times New Roman" w:cs="Times New Roman"/>
                <w:kern w:val="0"/>
                <w:sz w:val="18"/>
                <w:szCs w:val="18"/>
              </w:rPr>
              <w:t>子项四：牛栏江流域小街镇集镇段污水收集工程，总投资600万元。项目依托原有集镇DN500污水管网，新建污水管网14.15千米，其中DN400污水主管400米，DN300污水主管3800米，DN200污水支管6200米，DN100污水支管3750米，污水检查井284座，将集镇北区500余商住户、南区2000余户商住户生活污水接入小街污水处理厂进行处理。</w:t>
            </w:r>
            <w:r>
              <w:rPr>
                <w:rFonts w:hint="default" w:ascii="Times New Roman" w:hAnsi="Times New Roman" w:cs="Times New Roman"/>
                <w:kern w:val="0"/>
                <w:sz w:val="18"/>
                <w:szCs w:val="18"/>
              </w:rPr>
              <w:br w:type="textWrapping"/>
            </w:r>
            <w:r>
              <w:rPr>
                <w:rFonts w:hint="default" w:ascii="Times New Roman" w:hAnsi="Times New Roman" w:cs="Times New Roman"/>
                <w:kern w:val="0"/>
                <w:sz w:val="18"/>
                <w:szCs w:val="18"/>
              </w:rPr>
              <w:t>子项五：牛栏江流域（杨林镇段）水环境综合治理项目，总投资2400万元，实施对龙河沿线截污提升工程，龙保社区下四板桥村，新村社区老羊村，官渡社区大官渡、小官渡、西村进行截污，拟建污水管网5千米，同步配套建设一体化处理设施处理达标后回用；杨林河沿河杨林社区、老城社区、张官营村委会、大树营村委会等4个村（社区）实施截污工程，拟建污水管网4千米；杨林河15千米全段实施清淤除障工作。</w:t>
            </w:r>
            <w:r>
              <w:rPr>
                <w:rFonts w:hint="default" w:ascii="Times New Roman" w:hAnsi="Times New Roman" w:cs="Times New Roman"/>
                <w:kern w:val="0"/>
                <w:sz w:val="18"/>
                <w:szCs w:val="18"/>
              </w:rPr>
              <w:br w:type="textWrapping"/>
            </w:r>
            <w:r>
              <w:rPr>
                <w:rFonts w:hint="default" w:ascii="Times New Roman" w:hAnsi="Times New Roman" w:cs="Times New Roman"/>
                <w:kern w:val="0"/>
                <w:sz w:val="18"/>
                <w:szCs w:val="18"/>
              </w:rPr>
              <w:t>子项六：牛栏江（嵩明段）果马河流域水环境综合治理项目，总投资3220万元，建设果马河村庄截污管网54.084千米，建设大庄、大营、龙院、新春邑等社区主管网DN500管6160米，DN400管9862米，检查井640个；建设连通大庄、大营、龙院、新春邑主管道DN600管14.6km接入嵩明县城北片区污水管网，建设污水提升泵站2座接入嵩明县第一</w:t>
            </w:r>
            <w:r>
              <w:rPr>
                <w:rFonts w:hint="default" w:ascii="Times New Roman" w:hAnsi="Times New Roman" w:cs="Times New Roman"/>
                <w:kern w:val="0"/>
                <w:sz w:val="18"/>
                <w:szCs w:val="18"/>
                <w:lang w:eastAsia="zh-CN"/>
              </w:rPr>
              <w:t>污水处理厂进行处理</w:t>
            </w:r>
            <w:r>
              <w:rPr>
                <w:rFonts w:hint="default" w:ascii="Times New Roman" w:hAnsi="Times New Roman" w:cs="Times New Roman"/>
                <w:kern w:val="0"/>
                <w:sz w:val="18"/>
                <w:szCs w:val="18"/>
              </w:rPr>
              <w:t>。寺脚社区建设主管网DN500管2160米，DN400管3562米，检查井229个。建设污水提升泵站1座接入就近市政污水管道。支流普沙河沿线晁家、山脚、回辉等社区建设主管网DN500管2350米，DN400管6830米，DN300管8560米，检查井710个。</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8F1BC">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7A618">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A62C2">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14379</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A7CE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B：推进前期，力争开工</w:t>
            </w:r>
          </w:p>
        </w:tc>
      </w:tr>
      <w:tr w14:paraId="79C8E870">
        <w:tblPrEx>
          <w:tblCellMar>
            <w:top w:w="0" w:type="dxa"/>
            <w:left w:w="0" w:type="dxa"/>
            <w:bottom w:w="0" w:type="dxa"/>
            <w:right w:w="0" w:type="dxa"/>
          </w:tblCellMar>
        </w:tblPrEx>
        <w:trPr>
          <w:trHeight w:val="610" w:hRule="atLeast"/>
        </w:trPr>
        <w:tc>
          <w:tcPr>
            <w:tcW w:w="161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84153">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水库移民后期扶持</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3C9F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嵩阳街道普渡社区美丽家园建设项目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10856">
            <w:pPr>
              <w:widowControl/>
              <w:spacing w:line="240" w:lineRule="exact"/>
              <w:ind w:firstLine="0" w:firstLineChars="0"/>
              <w:jc w:val="left"/>
              <w:rPr>
                <w:rFonts w:hint="default" w:ascii="Times New Roman" w:hAnsi="Times New Roman" w:eastAsia="宋体" w:cs="Times New Roman"/>
                <w:kern w:val="0"/>
                <w:sz w:val="18"/>
                <w:szCs w:val="18"/>
                <w:lang w:eastAsia="zh-CN"/>
              </w:rPr>
            </w:pPr>
            <w:r>
              <w:rPr>
                <w:rFonts w:hint="default" w:ascii="Times New Roman" w:hAnsi="Times New Roman" w:cs="Times New Roman"/>
                <w:kern w:val="0"/>
                <w:sz w:val="18"/>
                <w:szCs w:val="18"/>
                <w:lang w:eastAsia="zh-CN"/>
              </w:rPr>
              <w:t>1.</w:t>
            </w:r>
            <w:r>
              <w:rPr>
                <w:rFonts w:hint="default" w:ascii="Times New Roman" w:hAnsi="Times New Roman" w:cs="Times New Roman"/>
                <w:kern w:val="0"/>
                <w:sz w:val="18"/>
                <w:szCs w:val="18"/>
              </w:rPr>
              <w:t>污水管网2.5KM</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2、新增路灯128盏</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3、排水沟沟盖板约50M</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4、300立方蓄水池一座，约20M长挡水坝一座</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5、饮水池加固修复</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6、修复道路约3.3KM</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7、休闲步道约750M</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8、两座移民活动室约1500平米</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配套场地硬化</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9、休闲景观长廊一座约30平米</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10、水上舞台一座约150平米</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11、相关绿化改造及附属宣传栏</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12、安全围挡350米</w:t>
            </w:r>
            <w:r>
              <w:rPr>
                <w:rFonts w:hint="default" w:ascii="Times New Roman" w:hAnsi="Times New Roman" w:cs="Times New Roman"/>
                <w:kern w:val="0"/>
                <w:sz w:val="18"/>
                <w:szCs w:val="18"/>
                <w:lang w:eastAsia="zh-CN"/>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3B94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D0F89">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2027年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D6C06">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890.43</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18282">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A：加快推进，优先开工</w:t>
            </w:r>
          </w:p>
        </w:tc>
      </w:tr>
      <w:tr w14:paraId="39B0219A">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15F55">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BE09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嵩阳街道7个社区补短板建设项目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07094">
            <w:pPr>
              <w:widowControl/>
              <w:spacing w:line="240" w:lineRule="exact"/>
              <w:ind w:firstLine="0" w:firstLineChars="0"/>
              <w:jc w:val="left"/>
              <w:rPr>
                <w:rFonts w:hint="default" w:ascii="Times New Roman" w:hAnsi="Times New Roman" w:eastAsia="宋体" w:cs="Times New Roman"/>
                <w:kern w:val="0"/>
                <w:sz w:val="18"/>
                <w:szCs w:val="18"/>
                <w:lang w:eastAsia="zh-CN"/>
              </w:rPr>
            </w:pPr>
            <w:r>
              <w:rPr>
                <w:rFonts w:hint="default" w:ascii="Times New Roman" w:hAnsi="Times New Roman" w:cs="Times New Roman"/>
                <w:kern w:val="0"/>
                <w:sz w:val="18"/>
                <w:szCs w:val="18"/>
                <w:lang w:eastAsia="zh-CN"/>
              </w:rPr>
              <w:t>1.</w:t>
            </w:r>
            <w:r>
              <w:rPr>
                <w:rFonts w:hint="default" w:ascii="Times New Roman" w:hAnsi="Times New Roman" w:cs="Times New Roman"/>
                <w:kern w:val="0"/>
                <w:sz w:val="18"/>
                <w:szCs w:val="18"/>
              </w:rPr>
              <w:t>大庄社区：道路硬化约400米，雨污管网700米，路灯12盏</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2</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rPr>
              <w:t>东北街：道路硬化约150米，排水沟150米</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3</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rPr>
              <w:t>东村社区：500立方蓄水池一座，20立方蓄水池一座，配套引水管网</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4</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rPr>
              <w:t>龙院村：道路硬化约400米，雨污管网约500米</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5</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rPr>
              <w:t>寺脚社区：道路沥青约850米</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6</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rPr>
              <w:t>椅伴社区：道路硬化约410米，雨污管网85米</w:t>
            </w: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7、大营社区：雨污管网1450米，排水沟2900米，沉泥井40座</w:t>
            </w:r>
            <w:r>
              <w:rPr>
                <w:rFonts w:hint="default" w:ascii="Times New Roman" w:hAnsi="Times New Roman" w:cs="Times New Roman"/>
                <w:kern w:val="0"/>
                <w:sz w:val="18"/>
                <w:szCs w:val="18"/>
                <w:lang w:eastAsia="zh-CN"/>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0EF3D">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844F8">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2027年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8DB7D">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499.04</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5B0C9">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A：加快推进，优先开工</w:t>
            </w:r>
          </w:p>
        </w:tc>
      </w:tr>
      <w:tr w14:paraId="679DC0C0">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9B6C5">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A2009">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嵩阳街道农产品物流仓储中心建设项目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6ADE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本项目总用地面积：19682.83平方米，约29.52亩。建筑按单、多层建筑进行设计，总建筑面积为：10762.30平方米，新建建筑4幢单体，包括：两幢仓库，总建筑面积10292.89平方米（单层，门式钢架结构）；一幢设备用房和公厕，总建筑面积442.14平方米（地下一层，地上一层，混凝土框架结构）；一幢门房，总建筑面积27.27平方米（一层，混凝土框架结构）；设计使用年限50年，8度抗震设防。建筑消防类别：丙类单层仓库和单层公共建筑；建筑耐火等级：二级。</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A25C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FA835">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2027年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3B1B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3000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C3EB0">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A：加快推进，优先开工</w:t>
            </w:r>
          </w:p>
        </w:tc>
      </w:tr>
      <w:tr w14:paraId="36C6A444">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23E9B">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1047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嵩阳街道龙院社区花果山现代化设施农业建设项目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6B457">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建设200亩现代化种植大棚，并配套建设棚间道路、水沟、供电等辅助设施，发展果蔬种植。</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A2D22">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2028年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209DD">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227E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2200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E268B">
            <w:pPr>
              <w:widowControl/>
              <w:spacing w:line="240" w:lineRule="exact"/>
              <w:ind w:firstLine="0" w:firstLineChars="0"/>
              <w:jc w:val="left"/>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13EE0C52">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F904D6">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9634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嵩阳街道倚伴社区高端设施农业项目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3D00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建设100亩现代化种植大棚，并配套建设棚间道路、水沟、供电等辅助设施，发展花卉种植。</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36C60">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A5666">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19D12">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1200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6AFB8">
            <w:pPr>
              <w:widowControl/>
              <w:spacing w:line="240" w:lineRule="exact"/>
              <w:ind w:firstLine="0" w:firstLineChars="0"/>
              <w:jc w:val="left"/>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520143D5">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2DE0B">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2F094">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嵩阳街道山脚社区文旅产业提质增效建设项目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7C398">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依托山脚社区望风屏景区，建设素食、小吃、禅修、农产品销售展示等一体的商业体，增加村集体和移民的收入和务工机会。</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139D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2029年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29D3C">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1EFD7">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1200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1DEB4">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7BC5DB63">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2B703">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E599E">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嵩阳街道东村商业中心建设项目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FDF6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项目占地1800㎡，依托东村旅居产业的发展，建设商业中心2000㎡，部署饮食、农产品销售展示、文化产品等。</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86AF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6C9C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2031年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5EF7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600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579E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41B1C141">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7276C">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8AF1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嵩阳街道高密度水产养殖项目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ABD35">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充分利用小龙高速公路高架桥下地块130亩，建设高密度养鱼项目，发展农业新质业态。</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FDE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6E16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2031年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BDA01">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1400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359E2">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29E4D29A">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ABDF86">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8515E">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嵩阳街道倚伴社区美丽家园建设项目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18088">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1.新建污水管网解决136户农户生活污水排放，同时建设两个氧化塘用于收集沉淀生活污水；2.新建室外公厕2座；3.道路及场地硬化；4.新建路灯；5.新建绿化及居民活动文体广场。</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A2A87">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2029年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BE23D">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C30E4">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1073</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4833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056F878C">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0DB82">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D953C">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嵩阳街道新春邑社区高端设施养殖农文旅融合建设项目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C0DD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将三个坝塘（山心塘、黑泥塘、马家坟水库）共计150亩进行清淤、挡土支砌，完善建设进、排水设施，安装相应养殖设备开展农文旅融合发展养殖项目。</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DD369">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FD568">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2031年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8CDC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500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73235">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075A0E5A">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DFC97">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9EC47">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嵩明县杨林镇龙保社区商业中心建设项目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AF4437">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建设3栋商业大楼（内设商铺共计150间）、地下停车场及相关配套设施。</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3FBA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2029年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0957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25E61">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3000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2F2B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7A3510E7">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DDDC5">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C1EB2">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嵩明县杨林镇现代设施农业建设项目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ACF1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建设智能高端连体式温室大棚100亩，安装调温调湿一</w:t>
            </w:r>
            <w:r>
              <w:rPr>
                <w:rFonts w:hint="default" w:ascii="Times New Roman" w:hAnsi="Times New Roman" w:cs="Times New Roman"/>
                <w:kern w:val="0"/>
                <w:sz w:val="18"/>
                <w:szCs w:val="18"/>
                <w:lang w:eastAsia="zh-CN"/>
              </w:rPr>
              <w:t>体化</w:t>
            </w:r>
            <w:r>
              <w:rPr>
                <w:rFonts w:hint="default" w:ascii="Times New Roman" w:hAnsi="Times New Roman" w:cs="Times New Roman"/>
                <w:kern w:val="0"/>
                <w:sz w:val="18"/>
                <w:szCs w:val="18"/>
              </w:rPr>
              <w:t>设备及水肥一体化系统，配套建设育苗、仓储、展销等辅助设施，发展精品果蔬、花卉种植。</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7B98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2027年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740AD">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2028年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BEA6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1DF69">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B：推进前期，力争开工</w:t>
            </w:r>
          </w:p>
        </w:tc>
      </w:tr>
      <w:tr w14:paraId="39D4CCFC">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3A00A">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9BB75">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杨林镇龙保社区美丽家园建设项目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B45A7">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1.龙保社区黄家坡小组实施整村人居环境整治提升，村内建设截污工程，安装污水管道2千米，新建休闲广场1个及建设基础配套设施。2.龙保社区龙家村、上四板桥村道路硬化1.5千米，道路宽度约4米。</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49C74">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2029年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AC051">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9F68C">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1000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72608">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2AB3A224">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0B483">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A4FC2">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杨林镇大中型水库移民安置区基础设施补短板建设项目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B8A1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1.云林社区村内道路安装路灯100盏。2.大树营村委会大树营村小组道路硬化3.3千米，宽度约4米。</w:t>
            </w:r>
            <w:r>
              <w:rPr>
                <w:rFonts w:hint="default" w:ascii="Times New Roman" w:hAnsi="Times New Roman" w:cs="Times New Roman"/>
                <w:kern w:val="0"/>
                <w:sz w:val="18"/>
                <w:szCs w:val="18"/>
              </w:rPr>
              <w:br w:type="textWrapping"/>
            </w:r>
            <w:r>
              <w:rPr>
                <w:rFonts w:hint="default" w:ascii="Times New Roman" w:hAnsi="Times New Roman" w:cs="Times New Roman"/>
                <w:kern w:val="0"/>
                <w:sz w:val="18"/>
                <w:szCs w:val="18"/>
              </w:rPr>
              <w:t>3.东山村委会道路硬化4千米，道路宽度4米。4.罗良村委会道路硬化500米，道路宽度4米。</w:t>
            </w:r>
            <w:r>
              <w:rPr>
                <w:rFonts w:hint="default" w:ascii="Times New Roman" w:hAnsi="Times New Roman" w:cs="Times New Roman"/>
                <w:kern w:val="0"/>
                <w:sz w:val="18"/>
                <w:szCs w:val="18"/>
              </w:rPr>
              <w:br w:type="textWrapping"/>
            </w:r>
            <w:r>
              <w:rPr>
                <w:rFonts w:hint="default" w:ascii="Times New Roman" w:hAnsi="Times New Roman" w:cs="Times New Roman"/>
                <w:kern w:val="0"/>
                <w:sz w:val="18"/>
                <w:szCs w:val="18"/>
              </w:rPr>
              <w:t>5.老余屯村委会道路硬化1.5千米，道路宽度4米；安装太阳能路灯120盏。6.官渡社区道路硬化2千米，道路宽4米；安装太阳能路灯40盏。</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C4C9E">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2027年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8DA7D">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2028年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B20D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460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60297">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0B9A2C42">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693AD">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1DB29">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嵩明县牛栏江镇商铺光充联动站建设项目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A750C">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1.商业用房：占地面积2000㎡，建设层数3层，建筑面积6000㎡；2.充电站：占地面积1800平方米，规划重卡充电车位10个，小车充电车位25个，储能设备1套。3.屋顶光伏：在商铺屋顶及充电站上方搭建光伏板。</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FCFB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2028年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6FD2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2029年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3627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2560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03713">
            <w:pPr>
              <w:widowControl/>
              <w:spacing w:line="240" w:lineRule="exact"/>
              <w:ind w:firstLine="0" w:firstLineChars="0"/>
              <w:jc w:val="left"/>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B：推进前期，力争开工</w:t>
            </w:r>
          </w:p>
        </w:tc>
      </w:tr>
      <w:tr w14:paraId="24D76A4C">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CC941">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CE9C1">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牛栏江镇小新街商业综合体</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8EF58">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项目占地1.13亩，地块位于小新街集镇商业聚集区，拟建设1栋5层商业综合楼，建筑面积3500平方米。</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DF04F">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2029年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F4209">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C594D">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1000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9DFF2">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52A7DF67">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A1480">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D1EA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嵩明县小街镇特色商业街区建设项目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EC751">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1.场地平整6666.67平方米；2.建设6600平方米商业体建筑（含商铺、仓库等）；3.建设消防水泵房150平方米；4.场地硬化2000平方米；5.附属电力、排水、绿化设施。</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FE9E2">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2028年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C4A50">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2029年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CCD3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0FCB5">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B：推进前期，力争开工</w:t>
            </w:r>
          </w:p>
        </w:tc>
      </w:tr>
      <w:tr w14:paraId="6309939E">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2C953">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481C6">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嵩明县小街镇青龙街片区美丽家园建设项目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4D95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墩白村、本纳村、保旺村片区道路硬化13289.3平方米；污水管网建设主管4000米，支管建设3400米。</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967EC">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2028年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049B6">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2029年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2B3EB">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500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3601A">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603F20D5">
        <w:tblPrEx>
          <w:tblCellMar>
            <w:top w:w="0" w:type="dxa"/>
            <w:left w:w="0" w:type="dxa"/>
            <w:bottom w:w="0" w:type="dxa"/>
            <w:right w:w="0" w:type="dxa"/>
          </w:tblCellMar>
        </w:tblPrEx>
        <w:trPr>
          <w:trHeight w:val="610" w:hRule="atLeast"/>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618E9">
            <w:pPr>
              <w:widowControl/>
              <w:spacing w:line="240" w:lineRule="exact"/>
              <w:ind w:firstLine="0" w:firstLineChars="0"/>
              <w:jc w:val="center"/>
              <w:rPr>
                <w:rFonts w:hint="default" w:ascii="Times New Roman" w:hAnsi="Times New Roman" w:cs="Times New Roman"/>
                <w:kern w:val="0"/>
                <w:sz w:val="18"/>
                <w:szCs w:val="18"/>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E8D58">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嵩明县小街镇大中型水库移民后期扶持基础设施建设项目</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42F32">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1.入户道路建设12840平方米，其中阿古龙村3200平方米、甸丰村4100平方米、福海村2600平方米、匡郎村1840平方米、矣得谷村1100。2.污水管网建设4200米，其中阿古龙建设1200米、甸丰村建设350米、福海村建设1000米。</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0A3B5">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2029年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3A191">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22563">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500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B3AD0">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348EAF26">
        <w:tblPrEx>
          <w:tblCellMar>
            <w:top w:w="0" w:type="dxa"/>
            <w:left w:w="0" w:type="dxa"/>
            <w:bottom w:w="0" w:type="dxa"/>
            <w:right w:w="0" w:type="dxa"/>
          </w:tblCellMar>
        </w:tblPrEx>
        <w:trPr>
          <w:trHeight w:val="610"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9352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地下水超采综合治理工程项目</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3696D">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嵩明县地下水监测工程</w:t>
            </w:r>
          </w:p>
        </w:tc>
        <w:tc>
          <w:tcPr>
            <w:tcW w:w="8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8FA60">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建设地下水监测设施，对嵩明县地下水位进行定期监测。</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E7A49">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49D6D">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C5CC7">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1000</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16185">
            <w:pPr>
              <w:widowControl/>
              <w:spacing w:line="2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B：推进前期，力争开工</w:t>
            </w:r>
          </w:p>
        </w:tc>
      </w:tr>
    </w:tbl>
    <w:p w14:paraId="248F05FF">
      <w:pPr>
        <w:pStyle w:val="17"/>
        <w:ind w:firstLine="482"/>
        <w:rPr>
          <w:rFonts w:hint="default" w:ascii="Times New Roman" w:hAnsi="Times New Roman" w:cs="Times New Roman"/>
          <w:b/>
          <w:bCs/>
          <w:color w:val="000000" w:themeColor="text1"/>
          <w14:textFill>
            <w14:solidFill>
              <w14:schemeClr w14:val="tx1"/>
            </w14:solidFill>
          </w14:textFill>
        </w:rPr>
        <w:sectPr>
          <w:pgSz w:w="16838" w:h="11906" w:orient="landscape"/>
          <w:pgMar w:top="1803" w:right="1440" w:bottom="1803" w:left="1440" w:header="851" w:footer="992" w:gutter="0"/>
          <w:cols w:space="0" w:num="1"/>
          <w:docGrid w:type="lines" w:linePitch="332" w:charSpace="0"/>
        </w:sectPr>
      </w:pPr>
    </w:p>
    <w:p w14:paraId="753BBA9C">
      <w:pPr>
        <w:pStyle w:val="17"/>
        <w:jc w:val="both"/>
        <w:rPr>
          <w:rFonts w:hint="default" w:ascii="Times New Roman" w:hAnsi="Times New Roman" w:cs="Times New Roman"/>
          <w:b/>
          <w:bCs/>
          <w:color w:val="000000" w:themeColor="text1"/>
          <w:sz w:val="22"/>
          <w:szCs w:val="22"/>
          <w:lang w:eastAsia="zh-CN"/>
          <w14:textFill>
            <w14:solidFill>
              <w14:schemeClr w14:val="tx1"/>
            </w14:solidFill>
          </w14:textFill>
        </w:rPr>
      </w:pPr>
      <w:r>
        <w:rPr>
          <w:rFonts w:hint="default" w:ascii="Times New Roman" w:hAnsi="Times New Roman" w:cs="Times New Roman"/>
          <w:b/>
          <w:bCs/>
          <w:color w:val="000000" w:themeColor="text1"/>
          <w:sz w:val="22"/>
          <w:szCs w:val="22"/>
          <w:lang w:eastAsia="zh-CN"/>
          <w14:textFill>
            <w14:solidFill>
              <w14:schemeClr w14:val="tx1"/>
            </w14:solidFill>
          </w14:textFill>
        </w:rPr>
        <w:t>附件</w:t>
      </w:r>
      <w:r>
        <w:rPr>
          <w:rFonts w:hint="default" w:ascii="Times New Roman" w:hAnsi="Times New Roman" w:cs="Times New Roman"/>
          <w:b/>
          <w:bCs/>
          <w:color w:val="000000" w:themeColor="text1"/>
          <w:sz w:val="22"/>
          <w:szCs w:val="22"/>
          <w:lang w:val="en-US" w:eastAsia="zh-CN"/>
          <w14:textFill>
            <w14:solidFill>
              <w14:schemeClr w14:val="tx1"/>
            </w14:solidFill>
          </w14:textFill>
        </w:rPr>
        <w:t>2</w:t>
      </w:r>
      <w:r>
        <w:rPr>
          <w:rFonts w:hint="default" w:ascii="Times New Roman" w:hAnsi="Times New Roman" w:cs="Times New Roman"/>
          <w:b/>
          <w:bCs/>
          <w:color w:val="000000" w:themeColor="text1"/>
          <w:sz w:val="22"/>
          <w:szCs w:val="22"/>
          <w14:textFill>
            <w14:solidFill>
              <w14:schemeClr w14:val="tx1"/>
            </w14:solidFill>
          </w14:textFill>
        </w:rPr>
        <w:t>-</w:t>
      </w:r>
      <w:r>
        <w:rPr>
          <w:rFonts w:hint="default" w:ascii="Times New Roman" w:hAnsi="Times New Roman" w:cs="Times New Roman"/>
          <w:b/>
          <w:bCs/>
          <w:color w:val="000000" w:themeColor="text1"/>
          <w:sz w:val="22"/>
          <w:szCs w:val="22"/>
          <w:lang w:val="en-US" w:eastAsia="zh-CN"/>
          <w14:textFill>
            <w14:solidFill>
              <w14:schemeClr w14:val="tx1"/>
            </w14:solidFill>
          </w14:textFill>
        </w:rPr>
        <w:t>5</w:t>
      </w:r>
      <w:r>
        <w:rPr>
          <w:rFonts w:hint="default" w:ascii="Times New Roman" w:hAnsi="Times New Roman" w:cs="Times New Roman"/>
          <w:b/>
          <w:bCs/>
          <w:color w:val="000000" w:themeColor="text1"/>
          <w:sz w:val="22"/>
          <w:szCs w:val="22"/>
          <w14:textFill>
            <w14:solidFill>
              <w14:schemeClr w14:val="tx1"/>
            </w14:solidFill>
          </w14:textFill>
        </w:rPr>
        <w:t>昆明市嵩明县“十五五”水安全保障规划嵩明县数字孪生水网工程项目表</w:t>
      </w:r>
    </w:p>
    <w:tbl>
      <w:tblPr>
        <w:tblStyle w:val="19"/>
        <w:tblW w:w="9441" w:type="dxa"/>
        <w:tblInd w:w="0" w:type="dxa"/>
        <w:tblLayout w:type="fixed"/>
        <w:tblCellMar>
          <w:top w:w="0" w:type="dxa"/>
          <w:left w:w="0" w:type="dxa"/>
          <w:bottom w:w="0" w:type="dxa"/>
          <w:right w:w="0" w:type="dxa"/>
        </w:tblCellMar>
      </w:tblPr>
      <w:tblGrid>
        <w:gridCol w:w="1212"/>
        <w:gridCol w:w="3933"/>
        <w:gridCol w:w="1037"/>
        <w:gridCol w:w="1037"/>
        <w:gridCol w:w="1111"/>
        <w:gridCol w:w="1111"/>
      </w:tblGrid>
      <w:tr w14:paraId="3C3842F4">
        <w:tblPrEx>
          <w:tblCellMar>
            <w:top w:w="0" w:type="dxa"/>
            <w:left w:w="0" w:type="dxa"/>
            <w:bottom w:w="0" w:type="dxa"/>
            <w:right w:w="0" w:type="dxa"/>
          </w:tblCellMar>
        </w:tblPrEx>
        <w:trPr>
          <w:trHeight w:val="610" w:hRule="atLeast"/>
        </w:trPr>
        <w:tc>
          <w:tcPr>
            <w:tcW w:w="12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F68A3">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项目名称</w:t>
            </w:r>
          </w:p>
        </w:tc>
        <w:tc>
          <w:tcPr>
            <w:tcW w:w="39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39D76">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项目内容</w:t>
            </w: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90C7E">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建设时间</w:t>
            </w:r>
          </w:p>
        </w:tc>
        <w:tc>
          <w:tcPr>
            <w:tcW w:w="1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BDB6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计划投资（万元）</w:t>
            </w:r>
          </w:p>
        </w:tc>
        <w:tc>
          <w:tcPr>
            <w:tcW w:w="1111"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34369FC">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项目类型（A、B、C）</w:t>
            </w:r>
          </w:p>
        </w:tc>
      </w:tr>
      <w:tr w14:paraId="63646DBE">
        <w:tblPrEx>
          <w:tblCellMar>
            <w:top w:w="0" w:type="dxa"/>
            <w:left w:w="0" w:type="dxa"/>
            <w:bottom w:w="0" w:type="dxa"/>
            <w:right w:w="0" w:type="dxa"/>
          </w:tblCellMar>
        </w:tblPrEx>
        <w:trPr>
          <w:trHeight w:val="610" w:hRule="atLeast"/>
        </w:trPr>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02AE0">
            <w:pPr>
              <w:widowControl/>
              <w:spacing w:line="240" w:lineRule="exact"/>
              <w:ind w:firstLine="0" w:firstLineChars="0"/>
              <w:jc w:val="center"/>
              <w:rPr>
                <w:rFonts w:hint="default" w:ascii="Times New Roman" w:hAnsi="Times New Roman" w:cs="Times New Roman"/>
                <w:kern w:val="0"/>
                <w:sz w:val="18"/>
                <w:szCs w:val="18"/>
              </w:rPr>
            </w:pPr>
          </w:p>
        </w:tc>
        <w:tc>
          <w:tcPr>
            <w:tcW w:w="3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866F5">
            <w:pPr>
              <w:widowControl/>
              <w:spacing w:line="240" w:lineRule="exact"/>
              <w:ind w:firstLine="0" w:firstLineChars="0"/>
              <w:jc w:val="center"/>
              <w:rPr>
                <w:rFonts w:hint="default" w:ascii="Times New Roman" w:hAnsi="Times New Roman" w:cs="Times New Roman"/>
                <w:kern w:val="0"/>
                <w:sz w:val="18"/>
                <w:szCs w:val="18"/>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1750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计划开工时间</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C4BDC">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计划完工时间</w:t>
            </w:r>
          </w:p>
        </w:tc>
        <w:tc>
          <w:tcPr>
            <w:tcW w:w="1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0E05C">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合计</w:t>
            </w:r>
          </w:p>
        </w:tc>
        <w:tc>
          <w:tcPr>
            <w:tcW w:w="1111"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2E1ED">
            <w:pPr>
              <w:widowControl/>
              <w:spacing w:line="240" w:lineRule="exact"/>
              <w:ind w:firstLine="0" w:firstLineChars="0"/>
              <w:jc w:val="center"/>
              <w:rPr>
                <w:rFonts w:hint="default" w:ascii="Times New Roman" w:hAnsi="Times New Roman" w:cs="Times New Roman"/>
                <w:kern w:val="0"/>
                <w:sz w:val="18"/>
                <w:szCs w:val="18"/>
              </w:rPr>
            </w:pPr>
          </w:p>
        </w:tc>
      </w:tr>
      <w:tr w14:paraId="42111528">
        <w:tblPrEx>
          <w:tblCellMar>
            <w:top w:w="0" w:type="dxa"/>
            <w:left w:w="0" w:type="dxa"/>
            <w:bottom w:w="0" w:type="dxa"/>
            <w:right w:w="0" w:type="dxa"/>
          </w:tblCellMar>
        </w:tblPrEx>
        <w:trPr>
          <w:trHeight w:val="610" w:hRule="atLeast"/>
        </w:trPr>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0F6A4">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嵩明县水文站网专项建设工程</w:t>
            </w:r>
          </w:p>
        </w:tc>
        <w:tc>
          <w:tcPr>
            <w:tcW w:w="3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1E282">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山洪灾害防治项目新建水位、雨量监测站；水系、重点河流水文站建设，蒸发、泥沙自动监测站点建设，水土保持站点建设。</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0B0D5">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DE850">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1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8B078">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2000</w:t>
            </w:r>
          </w:p>
        </w:tc>
        <w:tc>
          <w:tcPr>
            <w:tcW w:w="1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5D2A0">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B：推进前期，力争开工</w:t>
            </w:r>
          </w:p>
        </w:tc>
      </w:tr>
      <w:tr w14:paraId="61520582">
        <w:tblPrEx>
          <w:tblCellMar>
            <w:top w:w="0" w:type="dxa"/>
            <w:left w:w="0" w:type="dxa"/>
            <w:bottom w:w="0" w:type="dxa"/>
            <w:right w:w="0" w:type="dxa"/>
          </w:tblCellMar>
        </w:tblPrEx>
        <w:trPr>
          <w:trHeight w:val="610" w:hRule="atLeast"/>
        </w:trPr>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769C6">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嵩明县指挥调度和远程集控中心建设项目</w:t>
            </w:r>
          </w:p>
        </w:tc>
        <w:tc>
          <w:tcPr>
            <w:tcW w:w="3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E1E53">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远程集控：工程现场设立现场控制中心，在工程管理单位</w:t>
            </w:r>
            <w:r>
              <w:rPr>
                <w:rFonts w:hint="default" w:ascii="Times New Roman" w:hAnsi="Times New Roman" w:cs="Times New Roman"/>
                <w:kern w:val="0"/>
                <w:sz w:val="18"/>
                <w:szCs w:val="18"/>
                <w:lang w:eastAsia="zh-CN"/>
              </w:rPr>
              <w:t>设立</w:t>
            </w:r>
            <w:r>
              <w:rPr>
                <w:rFonts w:hint="default" w:ascii="Times New Roman" w:hAnsi="Times New Roman" w:cs="Times New Roman"/>
                <w:kern w:val="0"/>
                <w:sz w:val="18"/>
                <w:szCs w:val="18"/>
              </w:rPr>
              <w:t>集控中心，集控中心与现场控制中心连接，通过现场控制中心实现对工程的远程控制联合调度：县（区）设立联合指挥调度中心，提供联合值班、综合展示、方案预演、会商研判、应急指挥等一体化的功能</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0165F">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D8DF3">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1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2B60E">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1300</w:t>
            </w:r>
          </w:p>
        </w:tc>
        <w:tc>
          <w:tcPr>
            <w:tcW w:w="1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61071">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C</w:t>
            </w:r>
            <w:r>
              <w:rPr>
                <w:rFonts w:hint="default" w:ascii="Times New Roman" w:hAnsi="Times New Roman" w:cs="Times New Roman"/>
                <w:kern w:val="0"/>
                <w:sz w:val="18"/>
                <w:szCs w:val="18"/>
                <w:lang w:val="en-US" w:eastAsia="zh-CN"/>
              </w:rPr>
              <w:t>：</w:t>
            </w:r>
            <w:r>
              <w:rPr>
                <w:rFonts w:hint="default" w:ascii="Times New Roman" w:hAnsi="Times New Roman" w:cs="Times New Roman"/>
                <w:kern w:val="0"/>
                <w:sz w:val="18"/>
                <w:szCs w:val="18"/>
                <w:lang w:val="en-US" w:eastAsia="zh-CN"/>
              </w:rPr>
              <w:t>研究阶段，储备项目</w:t>
            </w:r>
          </w:p>
        </w:tc>
      </w:tr>
      <w:tr w14:paraId="499AA7C4">
        <w:tblPrEx>
          <w:tblCellMar>
            <w:top w:w="0" w:type="dxa"/>
            <w:left w:w="0" w:type="dxa"/>
            <w:bottom w:w="0" w:type="dxa"/>
            <w:right w:w="0" w:type="dxa"/>
          </w:tblCellMar>
        </w:tblPrEx>
        <w:trPr>
          <w:trHeight w:val="610" w:hRule="atLeast"/>
        </w:trPr>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33DA6">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监测感知设备后期更新与维护工程</w:t>
            </w:r>
          </w:p>
        </w:tc>
        <w:tc>
          <w:tcPr>
            <w:tcW w:w="3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D97C8">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山洪灾害治理项目监测设备升级改造，已建中型水库现代化改造等</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37FD3">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2026年</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EBC8A">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2030年</w:t>
            </w:r>
          </w:p>
        </w:tc>
        <w:tc>
          <w:tcPr>
            <w:tcW w:w="1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C1595">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1500</w:t>
            </w:r>
          </w:p>
        </w:tc>
        <w:tc>
          <w:tcPr>
            <w:tcW w:w="1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DAE19">
            <w:pPr>
              <w:widowControl/>
              <w:spacing w:line="2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val="en-US" w:eastAsia="zh-CN"/>
              </w:rPr>
              <w:t>B：推进前期，力争开工</w:t>
            </w:r>
          </w:p>
        </w:tc>
      </w:tr>
    </w:tbl>
    <w:p w14:paraId="4F408DBA">
      <w:pPr>
        <w:pStyle w:val="17"/>
        <w:ind w:firstLine="482"/>
        <w:rPr>
          <w:rFonts w:hint="default" w:ascii="Times New Roman" w:hAnsi="Times New Roman" w:cs="Times New Roman"/>
          <w:b/>
          <w:bCs/>
          <w:color w:val="000000" w:themeColor="text1"/>
          <w14:textFill>
            <w14:solidFill>
              <w14:schemeClr w14:val="tx1"/>
            </w14:solidFill>
          </w14:textFill>
        </w:rPr>
      </w:pPr>
    </w:p>
    <w:p w14:paraId="0844BC0A">
      <w:pPr>
        <w:pStyle w:val="17"/>
        <w:ind w:firstLine="480"/>
        <w:rPr>
          <w:rFonts w:hint="default" w:ascii="Times New Roman" w:hAnsi="Times New Roman" w:cs="Times New Roman"/>
        </w:rPr>
      </w:pPr>
    </w:p>
    <w:p w14:paraId="7BDA1A06">
      <w:pPr>
        <w:pStyle w:val="17"/>
        <w:ind w:firstLine="482"/>
        <w:rPr>
          <w:b/>
          <w:bCs/>
          <w:color w:val="000000" w:themeColor="text1"/>
          <w14:textFill>
            <w14:solidFill>
              <w14:schemeClr w14:val="tx1"/>
            </w14:solidFill>
          </w14:textFill>
        </w:rPr>
      </w:pPr>
    </w:p>
    <w:sectPr>
      <w:pgSz w:w="11906" w:h="16838"/>
      <w:pgMar w:top="1440" w:right="1803" w:bottom="1440" w:left="1803" w:header="851" w:footer="992" w:gutter="0"/>
      <w:cols w:space="0" w:num="1"/>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170E55-B4AF-46BF-8FC0-0F769572DBC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38DBC29B-F413-4A98-92B9-AAD6E955F272}"/>
  </w:font>
  <w:font w:name="方正仿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embedRegular r:id="rId3" w:fontKey="{1973D52E-2E4B-4B44-A966-B4FF010E2850}"/>
  </w:font>
  <w:font w:name="方正楷体_GBK">
    <w:panose1 w:val="02000000000000000000"/>
    <w:charset w:val="86"/>
    <w:family w:val="script"/>
    <w:pitch w:val="default"/>
    <w:sig w:usb0="800002BF" w:usb1="38CF7CFA" w:usb2="00000016" w:usb3="00000000" w:csb0="00040000" w:csb1="00000000"/>
  </w:font>
  <w:font w:name="方正小标宋简体">
    <w:panose1 w:val="02000000000000000000"/>
    <w:charset w:val="86"/>
    <w:family w:val="auto"/>
    <w:pitch w:val="default"/>
    <w:sig w:usb0="00000001" w:usb1="080E0000" w:usb2="00000000" w:usb3="00000000" w:csb0="00040000" w:csb1="00000000"/>
    <w:embedRegular r:id="rId4" w:fontKey="{EEEE423E-AE1D-48AA-B662-E3A6159081A2}"/>
  </w:font>
  <w:font w:name="楷体_GB2312">
    <w:panose1 w:val="02010609030101010101"/>
    <w:charset w:val="86"/>
    <w:family w:val="auto"/>
    <w:pitch w:val="default"/>
    <w:sig w:usb0="00000001" w:usb1="080E0000" w:usb2="00000000" w:usb3="00000000" w:csb0="00040000" w:csb1="00000000"/>
    <w:embedRegular r:id="rId5" w:fontKey="{EC836DB9-F252-498D-B007-3B964F3B02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47974">
    <w:pPr>
      <w:pStyle w:val="13"/>
      <w:spacing w:line="240" w:lineRule="auto"/>
      <w:ind w:firstLine="0" w:firstLineChars="0"/>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322F7">
                          <w:pPr>
                            <w:pStyle w:val="13"/>
                            <w:spacing w:line="240" w:lineRule="auto"/>
                            <w:ind w:firstLine="0" w:firstLineChars="0"/>
                            <w:rPr>
                              <w:rFonts w:ascii="Times New Roman" w:hAnsi="Times New Roman" w:eastAsia="仿宋"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sz w:val="20"/>
                              <w:szCs w:val="20"/>
                            </w:rPr>
                            <w:t>70</w:t>
                          </w:r>
                          <w:r>
                            <w:rPr>
                              <w:rFonts w:ascii="Times New Roman" w:hAnsi="Times New Roman" w:cs="Times New Roman"/>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D6322F7">
                    <w:pPr>
                      <w:pStyle w:val="13"/>
                      <w:spacing w:line="240" w:lineRule="auto"/>
                      <w:ind w:firstLine="0" w:firstLineChars="0"/>
                      <w:rPr>
                        <w:rFonts w:ascii="Times New Roman" w:hAnsi="Times New Roman" w:eastAsia="仿宋"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sz w:val="20"/>
                        <w:szCs w:val="20"/>
                      </w:rPr>
                      <w:t>70</w:t>
                    </w:r>
                    <w:r>
                      <w:rPr>
                        <w:rFonts w:ascii="Times New Roman" w:hAnsi="Times New Roman" w:cs="Times New Roman"/>
                        <w:sz w:val="20"/>
                        <w:szCs w:val="2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0DD17">
    <w:pPr>
      <w:pStyle w:val="14"/>
      <w:pBdr>
        <w:bottom w:val="none" w:color="auto" w:sz="0" w:space="1"/>
      </w:pBdr>
      <w:spacing w:line="240" w:lineRule="auto"/>
      <w:ind w:firstLine="0" w:firstLineChars="0"/>
      <w:jc w:val="both"/>
      <w:rPr>
        <w:rFonts w:ascii="仿宋" w:hAnsi="仿宋" w:eastAsia="仿宋" w:cs="仿宋"/>
        <w:sz w:val="20"/>
        <w:szCs w:val="20"/>
        <w:lang w:bidi="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BEC14C"/>
    <w:multiLevelType w:val="multilevel"/>
    <w:tmpl w:val="C7BEC14C"/>
    <w:lvl w:ilvl="0" w:tentative="0">
      <w:start w:val="1"/>
      <w:numFmt w:val="decimal"/>
      <w:pStyle w:val="3"/>
      <w:suff w:val="space"/>
      <w:lvlText w:val="%1"/>
      <w:lvlJc w:val="center"/>
      <w:pPr>
        <w:ind w:left="0" w:firstLine="0"/>
      </w:pPr>
      <w:rPr>
        <w:rFonts w:hint="eastAsia"/>
      </w:rPr>
    </w:lvl>
    <w:lvl w:ilvl="1" w:tentative="0">
      <w:start w:val="1"/>
      <w:numFmt w:val="decimal"/>
      <w:suff w:val="space"/>
      <w:lvlText w:val="%1.%2"/>
      <w:lvlJc w:val="left"/>
      <w:pPr>
        <w:ind w:left="0" w:firstLine="0"/>
      </w:pPr>
      <w:rPr>
        <w:rFonts w:hint="default"/>
        <w:b/>
        <w:bCs/>
      </w:rPr>
    </w:lvl>
    <w:lvl w:ilvl="2" w:tentative="0">
      <w:start w:val="1"/>
      <w:numFmt w:val="decimal"/>
      <w:pStyle w:val="5"/>
      <w:suff w:val="space"/>
      <w:lvlText w:val="%1.%2.%3"/>
      <w:lvlJc w:val="left"/>
      <w:pPr>
        <w:ind w:left="0" w:firstLine="0"/>
      </w:pPr>
      <w:rPr>
        <w:rFonts w:hint="eastAsia"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6"/>
      <w:suff w:val="space"/>
      <w:lvlText w:val="%1.%2.%3.%4"/>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26BA63DD"/>
    <w:multiLevelType w:val="multilevel"/>
    <w:tmpl w:val="26BA63DD"/>
    <w:lvl w:ilvl="0" w:tentative="0">
      <w:start w:val="1"/>
      <w:numFmt w:val="decimal"/>
      <w:isLgl/>
      <w:suff w:val="space"/>
      <w:lvlText w:val="%1"/>
      <w:lvlJc w:val="left"/>
      <w:pPr>
        <w:ind w:left="0" w:firstLine="0"/>
      </w:pPr>
      <w:rPr>
        <w:rFonts w:hint="default" w:ascii="Times New Roman" w:hAnsi="Times New Roman" w:eastAsia="宋体"/>
        <w:b w:val="0"/>
        <w:i w:val="0"/>
        <w:caps w:val="0"/>
        <w:strike w:val="0"/>
        <w:dstrike w:val="0"/>
        <w:snapToGrid w:val="0"/>
        <w:vanish w:val="0"/>
        <w:color w:val="auto"/>
        <w:spacing w:val="0"/>
        <w:w w:val="100"/>
        <w:kern w:val="0"/>
        <w:position w:val="0"/>
        <w:vertAlign w:val="baseline"/>
      </w:rPr>
    </w:lvl>
    <w:lvl w:ilvl="1" w:tentative="0">
      <w:start w:val="1"/>
      <w:numFmt w:val="decimal"/>
      <w:suff w:val="space"/>
      <w:lvlText w:val="%1.%2"/>
      <w:lvlJc w:val="left"/>
      <w:pPr>
        <w:ind w:left="0" w:firstLine="0"/>
      </w:pPr>
      <w:rPr>
        <w:rFonts w:hint="default" w:ascii="Times New Roman" w:hAnsi="Times New Roman" w:eastAsia="黑体"/>
        <w:b w:val="0"/>
        <w:i w:val="0"/>
        <w:caps w:val="0"/>
        <w:strike w:val="0"/>
        <w:dstrike w:val="0"/>
        <w:snapToGrid w:val="0"/>
        <w:vanish w:val="0"/>
        <w:color w:val="auto"/>
        <w:spacing w:val="0"/>
        <w:w w:val="100"/>
        <w:kern w:val="0"/>
        <w:position w:val="0"/>
        <w:u w:val="none"/>
        <w:vertAlign w:val="baseline"/>
      </w:rPr>
    </w:lvl>
    <w:lvl w:ilvl="2" w:tentative="0">
      <w:start w:val="1"/>
      <w:numFmt w:val="decimal"/>
      <w:suff w:val="space"/>
      <w:lvlText w:val="%1.%2.%3"/>
      <w:lvlJc w:val="left"/>
      <w:pPr>
        <w:ind w:left="0" w:firstLine="0"/>
      </w:pPr>
      <w:rPr>
        <w:rFonts w:hint="eastAsia" w:ascii="Times New Roman" w:hAnsi="Times New Roman"/>
        <w:b w:val="0"/>
        <w:bCs w:val="0"/>
        <w:i w:val="0"/>
        <w:iCs w:val="0"/>
        <w:caps w:val="0"/>
        <w:smallCaps w:val="0"/>
        <w:strike w:val="0"/>
        <w:dstrike w:val="0"/>
        <w:snapToGrid w:val="0"/>
        <w:vanish w:val="0"/>
        <w:color w:val="000000"/>
        <w:spacing w:val="0"/>
        <w:kern w:val="0"/>
        <w:position w:val="0"/>
        <w:u w:val="none"/>
        <w:vertAlign w:val="baseline"/>
      </w:rPr>
    </w:lvl>
    <w:lvl w:ilvl="3" w:tentative="0">
      <w:start w:val="1"/>
      <w:numFmt w:val="decimal"/>
      <w:pStyle w:val="48"/>
      <w:suff w:val="space"/>
      <w:lvlText w:val="%1.%2.%3.%4"/>
      <w:lvlJc w:val="left"/>
      <w:pPr>
        <w:ind w:left="0" w:firstLine="0"/>
      </w:pPr>
      <w:rPr>
        <w:rFonts w:hint="default" w:ascii="Times New Roman" w:hAnsi="Times New Roman" w:eastAsia="宋体"/>
        <w:b w:val="0"/>
        <w:bCs w:val="0"/>
        <w:i w:val="0"/>
        <w:iCs w:val="0"/>
        <w:caps w:val="0"/>
        <w:smallCaps w:val="0"/>
        <w:strike w:val="0"/>
        <w:dstrike w:val="0"/>
        <w:snapToGrid w:val="0"/>
        <w:vanish w:val="0"/>
        <w:color w:val="auto"/>
        <w:spacing w:val="0"/>
        <w:w w:val="100"/>
        <w:kern w:val="0"/>
        <w:position w:val="0"/>
        <w:u w:val="none"/>
        <w:vertAlign w:val="baseline"/>
      </w:rPr>
    </w:lvl>
    <w:lvl w:ilvl="4" w:tentative="0">
      <w:start w:val="1"/>
      <w:numFmt w:val="decimal"/>
      <w:suff w:val="space"/>
      <w:lvlText w:val="%1.%2.%3.%4.%5"/>
      <w:lvlJc w:val="left"/>
      <w:pPr>
        <w:ind w:left="0" w:firstLine="0"/>
      </w:pPr>
      <w:rPr>
        <w:rFonts w:hint="default" w:ascii="Times New Roman" w:hAnsi="Times New Roman" w:eastAsia="宋体"/>
        <w:b w:val="0"/>
        <w:i w:val="0"/>
        <w:caps w:val="0"/>
        <w:strike w:val="0"/>
        <w:dstrike w:val="0"/>
        <w:snapToGrid w:val="0"/>
        <w:vanish w:val="0"/>
        <w:color w:val="000000"/>
        <w:spacing w:val="0"/>
        <w:w w:val="100"/>
        <w:kern w:val="0"/>
        <w:position w:val="0"/>
        <w:vertAlign w:val="baseline"/>
      </w:rPr>
    </w:lvl>
    <w:lvl w:ilvl="5" w:tentative="0">
      <w:start w:val="1"/>
      <w:numFmt w:val="decimal"/>
      <w:lvlRestart w:val="2"/>
      <w:pStyle w:val="40"/>
      <w:suff w:val="space"/>
      <w:lvlText w:val="表%1.%2-%6    "/>
      <w:lvlJc w:val="left"/>
      <w:pPr>
        <w:ind w:left="2410" w:firstLine="0"/>
      </w:pPr>
      <w:rPr>
        <w:rFonts w:hint="eastAsia"/>
      </w:rPr>
    </w:lvl>
    <w:lvl w:ilvl="6" w:tentative="0">
      <w:start w:val="1"/>
      <w:numFmt w:val="decimal"/>
      <w:lvlRestart w:val="2"/>
      <w:pStyle w:val="39"/>
      <w:suff w:val="space"/>
      <w:lvlText w:val="图%1.%2-%7    "/>
      <w:lvlJc w:val="left"/>
      <w:pPr>
        <w:ind w:left="2551" w:firstLine="0"/>
      </w:pPr>
      <w:rPr>
        <w:lang w:bidi="zh-CN"/>
      </w:rPr>
    </w:lvl>
    <w:lvl w:ilvl="7" w:tentative="0">
      <w:start w:val="1"/>
      <w:numFmt w:val="decimal"/>
      <w:lvlRestart w:val="2"/>
      <w:lvlText w:val="表%1.%2-%8"/>
      <w:lvlJc w:val="left"/>
      <w:pPr>
        <w:tabs>
          <w:tab w:val="left" w:pos="1843"/>
        </w:tabs>
        <w:ind w:left="1843" w:firstLine="0"/>
      </w:pPr>
      <w:rPr>
        <w:rFonts w:hint="default" w:ascii="Times New Roman" w:hAnsi="Times New Roman" w:eastAsia="宋体"/>
        <w:b/>
        <w:bCs w:val="0"/>
        <w:i w:val="0"/>
        <w:iCs w:val="0"/>
        <w:caps w:val="0"/>
        <w:smallCaps w:val="0"/>
        <w:strike w:val="0"/>
        <w:dstrike w:val="0"/>
        <w:snapToGrid w:val="0"/>
        <w:vanish w:val="0"/>
        <w:color w:val="000000"/>
        <w:spacing w:val="0"/>
        <w:kern w:val="0"/>
        <w:position w:val="0"/>
        <w:u w:val="none"/>
        <w:vertAlign w:val="baseline"/>
      </w:rPr>
    </w:lvl>
    <w:lvl w:ilvl="8" w:tentative="0">
      <w:start w:val="1"/>
      <w:numFmt w:val="decimal"/>
      <w:lvlRestart w:val="2"/>
      <w:lvlText w:val="图%1.%2-%9"/>
      <w:lvlJc w:val="left"/>
      <w:pPr>
        <w:tabs>
          <w:tab w:val="left" w:pos="4112"/>
        </w:tabs>
        <w:ind w:left="4112" w:firstLine="0"/>
      </w:pPr>
      <w:rPr>
        <w:rFonts w:hint="eastAsia" w:eastAsia="宋体"/>
        <w:b/>
        <w:bCs w:val="0"/>
        <w:i w:val="0"/>
        <w:iCs w:val="0"/>
        <w:caps w:val="0"/>
        <w:smallCaps w:val="0"/>
        <w:strike w:val="0"/>
        <w:dstrike w:val="0"/>
        <w:vanish w:val="0"/>
        <w:color w:val="000000"/>
        <w:spacing w:val="0"/>
        <w:position w:val="0"/>
        <w:u w:val="none"/>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04BD"/>
    <w:rsid w:val="000A5377"/>
    <w:rsid w:val="00172A27"/>
    <w:rsid w:val="00180A19"/>
    <w:rsid w:val="002A7DF1"/>
    <w:rsid w:val="0041428E"/>
    <w:rsid w:val="006D7AD9"/>
    <w:rsid w:val="007107BF"/>
    <w:rsid w:val="007C6736"/>
    <w:rsid w:val="008A69DB"/>
    <w:rsid w:val="00AF782D"/>
    <w:rsid w:val="00BC2651"/>
    <w:rsid w:val="00DD07C9"/>
    <w:rsid w:val="00E670A5"/>
    <w:rsid w:val="00ED39AD"/>
    <w:rsid w:val="00EE109E"/>
    <w:rsid w:val="00FC5CB5"/>
    <w:rsid w:val="03DD504D"/>
    <w:rsid w:val="05AA6D8A"/>
    <w:rsid w:val="0791068F"/>
    <w:rsid w:val="08977049"/>
    <w:rsid w:val="0A3179DC"/>
    <w:rsid w:val="0AAF2972"/>
    <w:rsid w:val="0B564076"/>
    <w:rsid w:val="0C5D5FA7"/>
    <w:rsid w:val="0D2C1CAE"/>
    <w:rsid w:val="0E0D5412"/>
    <w:rsid w:val="0E1B1C1E"/>
    <w:rsid w:val="10732F92"/>
    <w:rsid w:val="109D372F"/>
    <w:rsid w:val="134F3AD8"/>
    <w:rsid w:val="13EA6CA8"/>
    <w:rsid w:val="153B41A2"/>
    <w:rsid w:val="15E17F8B"/>
    <w:rsid w:val="17477162"/>
    <w:rsid w:val="1761731F"/>
    <w:rsid w:val="1A604CAE"/>
    <w:rsid w:val="1A712BA2"/>
    <w:rsid w:val="1DDA22BF"/>
    <w:rsid w:val="20C773B6"/>
    <w:rsid w:val="223E528E"/>
    <w:rsid w:val="244905FF"/>
    <w:rsid w:val="260C4BC5"/>
    <w:rsid w:val="28295065"/>
    <w:rsid w:val="297554F8"/>
    <w:rsid w:val="29842855"/>
    <w:rsid w:val="2D3E3036"/>
    <w:rsid w:val="2D4652F0"/>
    <w:rsid w:val="2E1D6FFC"/>
    <w:rsid w:val="2ED41244"/>
    <w:rsid w:val="312A3EEF"/>
    <w:rsid w:val="34D839D9"/>
    <w:rsid w:val="36277E24"/>
    <w:rsid w:val="38A43620"/>
    <w:rsid w:val="392C5E25"/>
    <w:rsid w:val="394B3DCE"/>
    <w:rsid w:val="3D677B97"/>
    <w:rsid w:val="3FB0070D"/>
    <w:rsid w:val="422C0D6C"/>
    <w:rsid w:val="4269321A"/>
    <w:rsid w:val="427F00B0"/>
    <w:rsid w:val="43F73075"/>
    <w:rsid w:val="4601347B"/>
    <w:rsid w:val="46B27513"/>
    <w:rsid w:val="46B935C7"/>
    <w:rsid w:val="49EB08D2"/>
    <w:rsid w:val="4A8F26EE"/>
    <w:rsid w:val="4BE870AE"/>
    <w:rsid w:val="4C2D1004"/>
    <w:rsid w:val="51A67184"/>
    <w:rsid w:val="529B4964"/>
    <w:rsid w:val="566F009C"/>
    <w:rsid w:val="567534F4"/>
    <w:rsid w:val="56CD563B"/>
    <w:rsid w:val="589315C3"/>
    <w:rsid w:val="59420016"/>
    <w:rsid w:val="5A5B4884"/>
    <w:rsid w:val="5B634AEB"/>
    <w:rsid w:val="5C6B0D80"/>
    <w:rsid w:val="5D545C63"/>
    <w:rsid w:val="60653885"/>
    <w:rsid w:val="60EF7DD9"/>
    <w:rsid w:val="627C7538"/>
    <w:rsid w:val="65766BEB"/>
    <w:rsid w:val="685F45E6"/>
    <w:rsid w:val="689A0FC4"/>
    <w:rsid w:val="68BB50C5"/>
    <w:rsid w:val="6B80410D"/>
    <w:rsid w:val="6BFD579B"/>
    <w:rsid w:val="6ED96FB9"/>
    <w:rsid w:val="6F364A2A"/>
    <w:rsid w:val="6F4B7B3E"/>
    <w:rsid w:val="705E77F1"/>
    <w:rsid w:val="71233687"/>
    <w:rsid w:val="74060F3A"/>
    <w:rsid w:val="743E5F12"/>
    <w:rsid w:val="77B4311F"/>
    <w:rsid w:val="787A69E7"/>
    <w:rsid w:val="79011C6B"/>
    <w:rsid w:val="79B63A7D"/>
    <w:rsid w:val="7A3563D6"/>
    <w:rsid w:val="7AB60C18"/>
    <w:rsid w:val="7E6F2C3A"/>
    <w:rsid w:val="7EF93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640" w:firstLineChars="200"/>
      <w:jc w:val="both"/>
    </w:pPr>
    <w:rPr>
      <w:rFonts w:ascii="Times New Roman" w:hAnsi="Times New Roman" w:eastAsia="宋体" w:cstheme="minorBidi"/>
      <w:kern w:val="2"/>
      <w:sz w:val="24"/>
      <w:szCs w:val="24"/>
      <w:lang w:val="en-US" w:eastAsia="zh-CN" w:bidi="ar-SA"/>
    </w:rPr>
  </w:style>
  <w:style w:type="paragraph" w:styleId="2">
    <w:name w:val="heading 1"/>
    <w:basedOn w:val="1"/>
    <w:next w:val="1"/>
    <w:qFormat/>
    <w:uiPriority w:val="0"/>
    <w:pPr>
      <w:keepNext/>
      <w:keepLines/>
      <w:spacing w:before="50" w:beforeLines="50" w:after="50" w:afterLines="50"/>
      <w:jc w:val="center"/>
      <w:outlineLvl w:val="0"/>
    </w:pPr>
    <w:rPr>
      <w:b/>
      <w:kern w:val="44"/>
      <w:sz w:val="32"/>
    </w:rPr>
  </w:style>
  <w:style w:type="paragraph" w:styleId="3">
    <w:name w:val="heading 2"/>
    <w:basedOn w:val="1"/>
    <w:next w:val="1"/>
    <w:unhideWhenUsed/>
    <w:qFormat/>
    <w:uiPriority w:val="0"/>
    <w:pPr>
      <w:keepNext/>
      <w:keepLines/>
      <w:numPr>
        <w:ilvl w:val="0"/>
        <w:numId w:val="1"/>
      </w:numPr>
      <w:spacing w:before="50" w:beforeLines="50" w:after="50" w:afterLines="50"/>
      <w:ind w:firstLineChars="0"/>
      <w:outlineLvl w:val="1"/>
    </w:pPr>
    <w:rPr>
      <w:rFonts w:ascii="Arial" w:hAnsi="Arial"/>
      <w:b/>
      <w:sz w:val="30"/>
    </w:rPr>
  </w:style>
  <w:style w:type="paragraph" w:styleId="4">
    <w:name w:val="heading 3"/>
    <w:basedOn w:val="1"/>
    <w:next w:val="1"/>
    <w:unhideWhenUsed/>
    <w:qFormat/>
    <w:uiPriority w:val="0"/>
    <w:pPr>
      <w:spacing w:before="50" w:beforeLines="50" w:after="50" w:afterLines="50"/>
      <w:outlineLvl w:val="2"/>
    </w:pPr>
    <w:rPr>
      <w:sz w:val="28"/>
    </w:rPr>
  </w:style>
  <w:style w:type="paragraph" w:styleId="5">
    <w:name w:val="heading 4"/>
    <w:basedOn w:val="1"/>
    <w:next w:val="1"/>
    <w:qFormat/>
    <w:uiPriority w:val="9"/>
    <w:pPr>
      <w:keepNext/>
      <w:keepLines/>
      <w:numPr>
        <w:ilvl w:val="2"/>
        <w:numId w:val="1"/>
      </w:numPr>
      <w:ind w:firstLineChars="0"/>
      <w:outlineLvl w:val="3"/>
    </w:pPr>
    <w:rPr>
      <w:b/>
      <w:bCs/>
      <w:szCs w:val="28"/>
    </w:rPr>
  </w:style>
  <w:style w:type="paragraph" w:styleId="6">
    <w:name w:val="heading 5"/>
    <w:basedOn w:val="1"/>
    <w:next w:val="1"/>
    <w:semiHidden/>
    <w:unhideWhenUsed/>
    <w:qFormat/>
    <w:uiPriority w:val="0"/>
    <w:pPr>
      <w:keepNext/>
      <w:keepLines/>
      <w:numPr>
        <w:ilvl w:val="3"/>
        <w:numId w:val="1"/>
      </w:numPr>
      <w:spacing w:before="280" w:after="290" w:line="372" w:lineRule="auto"/>
      <w:ind w:firstLineChars="0"/>
      <w:outlineLvl w:val="4"/>
    </w:pPr>
    <w:rPr>
      <w:b/>
      <w:sz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46"/>
    <w:qFormat/>
    <w:uiPriority w:val="0"/>
    <w:pPr>
      <w:jc w:val="left"/>
    </w:pPr>
  </w:style>
  <w:style w:type="paragraph" w:styleId="8">
    <w:name w:val="Body Text"/>
    <w:basedOn w:val="1"/>
    <w:semiHidden/>
    <w:unhideWhenUsed/>
    <w:qFormat/>
    <w:uiPriority w:val="99"/>
    <w:pPr>
      <w:spacing w:after="120"/>
    </w:pPr>
  </w:style>
  <w:style w:type="paragraph" w:styleId="9">
    <w:name w:val="Body Text Indent"/>
    <w:basedOn w:val="1"/>
    <w:qFormat/>
    <w:uiPriority w:val="0"/>
    <w:pPr>
      <w:ind w:firstLine="648"/>
    </w:pPr>
    <w:rPr>
      <w:rFonts w:ascii="宋体"/>
      <w:sz w:val="28"/>
    </w:rPr>
  </w:style>
  <w:style w:type="paragraph" w:styleId="10">
    <w:name w:val="toc 3"/>
    <w:basedOn w:val="1"/>
    <w:next w:val="1"/>
    <w:qFormat/>
    <w:uiPriority w:val="0"/>
    <w:pPr>
      <w:ind w:left="840" w:leftChars="400"/>
    </w:pPr>
  </w:style>
  <w:style w:type="paragraph" w:styleId="11">
    <w:name w:val="Plain Text"/>
    <w:basedOn w:val="1"/>
    <w:next w:val="1"/>
    <w:semiHidden/>
    <w:unhideWhenUsed/>
    <w:qFormat/>
    <w:uiPriority w:val="0"/>
    <w:rPr>
      <w:rFonts w:ascii="宋体" w:hAnsi="Courier New"/>
      <w:szCs w:val="20"/>
    </w:rPr>
  </w:style>
  <w:style w:type="paragraph" w:styleId="12">
    <w:name w:val="Balloon Text"/>
    <w:basedOn w:val="1"/>
    <w:link w:val="45"/>
    <w:qFormat/>
    <w:uiPriority w:val="0"/>
    <w:pPr>
      <w:spacing w:line="240" w:lineRule="auto"/>
    </w:pPr>
    <w:rPr>
      <w:sz w:val="18"/>
      <w:szCs w:val="18"/>
    </w:rPr>
  </w:style>
  <w:style w:type="paragraph" w:styleId="13">
    <w:name w:val="footer"/>
    <w:basedOn w:val="1"/>
    <w:unhideWhenUsed/>
    <w:qFormat/>
    <w:uiPriority w:val="99"/>
    <w:pPr>
      <w:tabs>
        <w:tab w:val="center" w:pos="4153"/>
        <w:tab w:val="right" w:pos="8306"/>
      </w:tabs>
      <w:snapToGrid w:val="0"/>
      <w:jc w:val="left"/>
    </w:pPr>
    <w:rPr>
      <w:rFonts w:asciiTheme="minorHAnsi" w:hAnsiTheme="minorHAnsi" w:eastAsiaTheme="minorEastAsia"/>
      <w:sz w:val="18"/>
      <w:szCs w:val="18"/>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sz w:val="18"/>
      <w:szCs w:val="18"/>
    </w:rPr>
  </w:style>
  <w:style w:type="paragraph" w:styleId="15">
    <w:name w:val="toc 2"/>
    <w:basedOn w:val="1"/>
    <w:next w:val="1"/>
    <w:qFormat/>
    <w:uiPriority w:val="0"/>
    <w:pPr>
      <w:ind w:left="420" w:leftChars="200"/>
    </w:pPr>
  </w:style>
  <w:style w:type="paragraph" w:styleId="16">
    <w:name w:val="annotation subject"/>
    <w:basedOn w:val="7"/>
    <w:next w:val="7"/>
    <w:link w:val="47"/>
    <w:qFormat/>
    <w:uiPriority w:val="0"/>
    <w:rPr>
      <w:b/>
      <w:bCs/>
    </w:rPr>
  </w:style>
  <w:style w:type="paragraph" w:styleId="17">
    <w:name w:val="Body Text First Indent"/>
    <w:basedOn w:val="8"/>
    <w:qFormat/>
    <w:uiPriority w:val="0"/>
    <w:pPr>
      <w:ind w:firstLine="843"/>
    </w:pPr>
  </w:style>
  <w:style w:type="paragraph" w:styleId="18">
    <w:name w:val="Body Text First Indent 2"/>
    <w:basedOn w:val="9"/>
    <w:qFormat/>
    <w:uiPriority w:val="0"/>
    <w:pPr>
      <w:spacing w:after="120"/>
      <w:ind w:left="420" w:leftChars="200" w:firstLine="420"/>
    </w:pPr>
    <w:rPr>
      <w:rFonts w:ascii="Times New Roman"/>
      <w:sz w:val="21"/>
    </w:rPr>
  </w:style>
  <w:style w:type="character" w:styleId="21">
    <w:name w:val="Strong"/>
    <w:basedOn w:val="20"/>
    <w:qFormat/>
    <w:uiPriority w:val="0"/>
    <w:rPr>
      <w:b/>
    </w:rPr>
  </w:style>
  <w:style w:type="character" w:styleId="22">
    <w:name w:val="annotation reference"/>
    <w:basedOn w:val="20"/>
    <w:qFormat/>
    <w:uiPriority w:val="0"/>
    <w:rPr>
      <w:sz w:val="21"/>
      <w:szCs w:val="21"/>
    </w:rPr>
  </w:style>
  <w:style w:type="paragraph" w:customStyle="1" w:styleId="23">
    <w:name w:val="正文小四"/>
    <w:basedOn w:val="1"/>
    <w:qFormat/>
    <w:uiPriority w:val="99"/>
    <w:pPr>
      <w:autoSpaceDE w:val="0"/>
      <w:autoSpaceDN w:val="0"/>
      <w:adjustRightInd w:val="0"/>
    </w:pPr>
    <w:rPr>
      <w:rFonts w:ascii="Calibri" w:hAnsi="Calibri"/>
      <w:color w:val="000000"/>
    </w:rPr>
  </w:style>
  <w:style w:type="paragraph" w:customStyle="1" w:styleId="24">
    <w:name w:val="标题4"/>
    <w:basedOn w:val="1"/>
    <w:qFormat/>
    <w:uiPriority w:val="0"/>
    <w:pPr>
      <w:adjustRightInd w:val="0"/>
      <w:ind w:firstLine="0" w:firstLineChars="0"/>
      <w:jc w:val="left"/>
      <w:textAlignment w:val="baseline"/>
      <w:outlineLvl w:val="3"/>
    </w:pPr>
    <w:rPr>
      <w:b/>
      <w:kern w:val="0"/>
      <w:szCs w:val="28"/>
    </w:rPr>
  </w:style>
  <w:style w:type="paragraph" w:customStyle="1" w:styleId="25">
    <w:name w:val="正文加粗"/>
    <w:basedOn w:val="1"/>
    <w:qFormat/>
    <w:uiPriority w:val="0"/>
    <w:pPr>
      <w:spacing w:line="560" w:lineRule="exact"/>
      <w:ind w:firstLine="0" w:firstLineChars="0"/>
      <w:jc w:val="center"/>
    </w:pPr>
    <w:rPr>
      <w:b/>
      <w:bCs/>
    </w:rPr>
  </w:style>
  <w:style w:type="paragraph" w:customStyle="1" w:styleId="26">
    <w:name w:val="表格"/>
    <w:basedOn w:val="11"/>
    <w:next w:val="1"/>
    <w:qFormat/>
    <w:uiPriority w:val="0"/>
    <w:pPr>
      <w:adjustRightInd w:val="0"/>
      <w:snapToGrid w:val="0"/>
      <w:spacing w:line="240" w:lineRule="auto"/>
      <w:ind w:firstLine="0" w:firstLineChars="0"/>
      <w:jc w:val="center"/>
    </w:pPr>
    <w:rPr>
      <w:rFonts w:ascii="Times New Roman" w:hAnsi="Times New Roman"/>
      <w:kern w:val="0"/>
      <w:sz w:val="20"/>
    </w:rPr>
  </w:style>
  <w:style w:type="paragraph" w:customStyle="1" w:styleId="27">
    <w:name w:val="DTX-WZ"/>
    <w:qFormat/>
    <w:uiPriority w:val="0"/>
    <w:pPr>
      <w:widowControl w:val="0"/>
      <w:adjustRightInd w:val="0"/>
      <w:snapToGrid w:val="0"/>
      <w:spacing w:line="560" w:lineRule="exact"/>
      <w:ind w:firstLine="600" w:firstLineChars="200"/>
      <w:jc w:val="both"/>
    </w:pPr>
    <w:rPr>
      <w:rFonts w:ascii="Times New Roman" w:hAnsi="Times New Roman" w:eastAsia="仿宋_GB2312" w:cstheme="minorBidi"/>
      <w:snapToGrid w:val="0"/>
      <w:kern w:val="2"/>
      <w:sz w:val="30"/>
      <w:szCs w:val="24"/>
      <w:lang w:val="en-US" w:eastAsia="zh-CN" w:bidi="ar-SA"/>
    </w:rPr>
  </w:style>
  <w:style w:type="paragraph" w:customStyle="1" w:styleId="28">
    <w:name w:val="正文首行缩进两字"/>
    <w:basedOn w:val="1"/>
    <w:qFormat/>
    <w:uiPriority w:val="0"/>
    <w:pPr>
      <w:snapToGrid w:val="0"/>
      <w:spacing w:line="300" w:lineRule="auto"/>
    </w:pPr>
    <w:rPr>
      <w:color w:val="000000"/>
      <w:kern w:val="0"/>
      <w:szCs w:val="28"/>
    </w:rPr>
  </w:style>
  <w:style w:type="character" w:customStyle="1" w:styleId="29">
    <w:name w:val="lh25px"/>
    <w:basedOn w:val="20"/>
    <w:qFormat/>
    <w:uiPriority w:val="0"/>
    <w:rPr>
      <w:rFonts w:asciiTheme="minorEastAsia" w:hAnsiTheme="minorEastAsia" w:eastAsiaTheme="minorEastAsia"/>
      <w:color w:val="auto"/>
      <w:sz w:val="28"/>
    </w:rPr>
  </w:style>
  <w:style w:type="paragraph" w:customStyle="1" w:styleId="30">
    <w:name w:val="WPSOffice手动目录 1"/>
    <w:qFormat/>
    <w:uiPriority w:val="0"/>
    <w:rPr>
      <w:rFonts w:ascii="Times New Roman" w:hAnsi="Times New Roman" w:eastAsia="宋体" w:cs="Times New Roman"/>
      <w:lang w:val="en-US" w:eastAsia="zh-CN" w:bidi="ar-SA"/>
    </w:rPr>
  </w:style>
  <w:style w:type="paragraph" w:customStyle="1" w:styleId="3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2">
    <w:name w:val="W表格"/>
    <w:basedOn w:val="11"/>
    <w:qFormat/>
    <w:uiPriority w:val="0"/>
    <w:pPr>
      <w:spacing w:line="240" w:lineRule="exact"/>
      <w:ind w:firstLine="0" w:firstLineChars="0"/>
      <w:jc w:val="center"/>
    </w:pPr>
    <w:rPr>
      <w:rFonts w:eastAsia="方正仿宋_GBK" w:cs="仿宋"/>
      <w:color w:val="000000"/>
      <w:sz w:val="21"/>
      <w:szCs w:val="21"/>
    </w:rPr>
  </w:style>
  <w:style w:type="character" w:customStyle="1" w:styleId="33">
    <w:name w:val="font11"/>
    <w:basedOn w:val="20"/>
    <w:qFormat/>
    <w:uiPriority w:val="0"/>
    <w:rPr>
      <w:rFonts w:hint="eastAsia" w:ascii="宋体" w:hAnsi="宋体" w:eastAsia="宋体" w:cs="宋体"/>
      <w:color w:val="000000"/>
      <w:sz w:val="24"/>
      <w:szCs w:val="24"/>
      <w:u w:val="none"/>
    </w:rPr>
  </w:style>
  <w:style w:type="character" w:customStyle="1" w:styleId="34">
    <w:name w:val="font21"/>
    <w:basedOn w:val="20"/>
    <w:qFormat/>
    <w:uiPriority w:val="0"/>
    <w:rPr>
      <w:rFonts w:hint="default" w:ascii="Times New Roman" w:hAnsi="Times New Roman" w:cs="Times New Roman"/>
      <w:color w:val="000000"/>
      <w:sz w:val="24"/>
      <w:szCs w:val="24"/>
      <w:u w:val="none"/>
    </w:rPr>
  </w:style>
  <w:style w:type="paragraph" w:customStyle="1" w:styleId="35">
    <w:name w:val="W正文"/>
    <w:link w:val="37"/>
    <w:qFormat/>
    <w:uiPriority w:val="0"/>
    <w:pPr>
      <w:spacing w:line="578" w:lineRule="exact"/>
      <w:ind w:firstLine="200" w:firstLineChars="200"/>
    </w:pPr>
    <w:rPr>
      <w:rFonts w:ascii="宋体" w:hAnsi="宋体" w:eastAsia="方正仿宋_GBK" w:cs="仿宋"/>
      <w:snapToGrid w:val="0"/>
      <w:sz w:val="32"/>
      <w:szCs w:val="44"/>
      <w:lang w:val="en-US" w:eastAsia="zh-CN" w:bidi="ar-SA"/>
    </w:rPr>
  </w:style>
  <w:style w:type="character" w:customStyle="1" w:styleId="36">
    <w:name w:val="W正文突出"/>
    <w:basedOn w:val="37"/>
    <w:qFormat/>
    <w:uiPriority w:val="1"/>
    <w:rPr>
      <w:rFonts w:ascii="宋体" w:hAnsi="宋体" w:eastAsia="方正楷体_GBK" w:cs="仿宋"/>
      <w:snapToGrid w:val="0"/>
      <w:sz w:val="32"/>
      <w:szCs w:val="44"/>
      <w:lang w:val="en-US" w:eastAsia="zh-CN" w:bidi="ar-SA"/>
    </w:rPr>
  </w:style>
  <w:style w:type="character" w:customStyle="1" w:styleId="37">
    <w:name w:val="W正文 字符"/>
    <w:basedOn w:val="20"/>
    <w:link w:val="35"/>
    <w:qFormat/>
    <w:uiPriority w:val="0"/>
    <w:rPr>
      <w:rFonts w:ascii="宋体" w:hAnsi="宋体" w:eastAsia="方正仿宋_GBK" w:cs="仿宋"/>
      <w:snapToGrid w:val="0"/>
      <w:sz w:val="32"/>
      <w:szCs w:val="44"/>
      <w:lang w:val="en-US" w:eastAsia="zh-CN" w:bidi="ar-SA"/>
    </w:rPr>
  </w:style>
  <w:style w:type="paragraph" w:customStyle="1" w:styleId="38">
    <w:name w:val="RJ正文"/>
    <w:basedOn w:val="1"/>
    <w:qFormat/>
    <w:uiPriority w:val="0"/>
    <w:pPr>
      <w:adjustRightInd w:val="0"/>
      <w:snapToGrid w:val="0"/>
      <w:ind w:firstLine="200"/>
    </w:pPr>
    <w:rPr>
      <w:rFonts w:eastAsia="仿宋" w:cs="宋体"/>
      <w:snapToGrid w:val="0"/>
      <w:kern w:val="0"/>
      <w:sz w:val="28"/>
      <w:szCs w:val="20"/>
    </w:rPr>
  </w:style>
  <w:style w:type="paragraph" w:customStyle="1" w:styleId="39">
    <w:name w:val="RJ图名"/>
    <w:basedOn w:val="1"/>
    <w:qFormat/>
    <w:uiPriority w:val="0"/>
    <w:pPr>
      <w:numPr>
        <w:ilvl w:val="6"/>
        <w:numId w:val="2"/>
      </w:numPr>
      <w:adjustRightInd w:val="0"/>
      <w:snapToGrid w:val="0"/>
      <w:spacing w:before="50" w:beforeLines="50" w:after="50" w:afterLines="50"/>
      <w:ind w:left="0"/>
      <w:jc w:val="center"/>
    </w:pPr>
    <w:rPr>
      <w:rFonts w:eastAsia="仿宋" w:cs="宋体"/>
      <w:b/>
      <w:snapToGrid w:val="0"/>
      <w:kern w:val="0"/>
      <w:szCs w:val="20"/>
    </w:rPr>
  </w:style>
  <w:style w:type="paragraph" w:customStyle="1" w:styleId="40">
    <w:name w:val="RJ表名"/>
    <w:basedOn w:val="1"/>
    <w:next w:val="38"/>
    <w:qFormat/>
    <w:uiPriority w:val="0"/>
    <w:pPr>
      <w:numPr>
        <w:ilvl w:val="5"/>
        <w:numId w:val="2"/>
      </w:numPr>
      <w:adjustRightInd w:val="0"/>
      <w:snapToGrid w:val="0"/>
      <w:spacing w:before="50" w:beforeLines="50" w:after="50" w:afterLines="50"/>
      <w:ind w:left="0"/>
      <w:jc w:val="center"/>
    </w:pPr>
    <w:rPr>
      <w:rFonts w:eastAsia="仿宋" w:cs="宋体"/>
      <w:b/>
      <w:snapToGrid w:val="0"/>
      <w:kern w:val="0"/>
      <w:szCs w:val="20"/>
    </w:rPr>
  </w:style>
  <w:style w:type="character" w:customStyle="1" w:styleId="41">
    <w:name w:val="font01"/>
    <w:basedOn w:val="20"/>
    <w:qFormat/>
    <w:uiPriority w:val="0"/>
    <w:rPr>
      <w:rFonts w:hint="default" w:ascii="Times New Roman" w:hAnsi="Times New Roman" w:cs="Times New Roman"/>
      <w:color w:val="000000"/>
      <w:sz w:val="20"/>
      <w:szCs w:val="20"/>
      <w:u w:val="none"/>
      <w:vertAlign w:val="superscript"/>
    </w:rPr>
  </w:style>
  <w:style w:type="paragraph" w:customStyle="1" w:styleId="42">
    <w:name w:val="RJ表内文字"/>
    <w:basedOn w:val="1"/>
    <w:qFormat/>
    <w:uiPriority w:val="0"/>
    <w:pPr>
      <w:adjustRightInd w:val="0"/>
      <w:snapToGrid w:val="0"/>
      <w:spacing w:line="240" w:lineRule="exact"/>
      <w:jc w:val="center"/>
    </w:pPr>
    <w:rPr>
      <w:rFonts w:eastAsia="仿宋" w:cs="宋体"/>
      <w:snapToGrid w:val="0"/>
      <w:kern w:val="0"/>
      <w:szCs w:val="21"/>
    </w:rPr>
  </w:style>
  <w:style w:type="character" w:customStyle="1" w:styleId="43">
    <w:name w:val="font41"/>
    <w:basedOn w:val="20"/>
    <w:qFormat/>
    <w:uiPriority w:val="0"/>
    <w:rPr>
      <w:rFonts w:hint="default" w:ascii="仿宋_GB2312" w:eastAsia="仿宋_GB2312" w:cs="仿宋_GB2312"/>
      <w:color w:val="000000"/>
      <w:sz w:val="18"/>
      <w:szCs w:val="18"/>
      <w:u w:val="none"/>
    </w:rPr>
  </w:style>
  <w:style w:type="character" w:customStyle="1" w:styleId="44">
    <w:name w:val="font51"/>
    <w:basedOn w:val="20"/>
    <w:qFormat/>
    <w:uiPriority w:val="0"/>
    <w:rPr>
      <w:rFonts w:hint="default" w:ascii="Times New Roman" w:hAnsi="Times New Roman" w:cs="Times New Roman"/>
      <w:color w:val="000000"/>
      <w:sz w:val="18"/>
      <w:szCs w:val="18"/>
      <w:u w:val="none"/>
    </w:rPr>
  </w:style>
  <w:style w:type="character" w:customStyle="1" w:styleId="45">
    <w:name w:val="批注框文本 Char"/>
    <w:basedOn w:val="20"/>
    <w:link w:val="12"/>
    <w:qFormat/>
    <w:uiPriority w:val="0"/>
    <w:rPr>
      <w:rFonts w:cstheme="minorBidi"/>
      <w:kern w:val="2"/>
      <w:sz w:val="18"/>
      <w:szCs w:val="18"/>
    </w:rPr>
  </w:style>
  <w:style w:type="character" w:customStyle="1" w:styleId="46">
    <w:name w:val="批注文字 Char"/>
    <w:basedOn w:val="20"/>
    <w:link w:val="7"/>
    <w:qFormat/>
    <w:uiPriority w:val="0"/>
    <w:rPr>
      <w:rFonts w:cstheme="minorBidi"/>
      <w:kern w:val="2"/>
      <w:sz w:val="24"/>
      <w:szCs w:val="24"/>
    </w:rPr>
  </w:style>
  <w:style w:type="character" w:customStyle="1" w:styleId="47">
    <w:name w:val="批注主题 Char"/>
    <w:basedOn w:val="46"/>
    <w:link w:val="16"/>
    <w:qFormat/>
    <w:uiPriority w:val="0"/>
    <w:rPr>
      <w:rFonts w:cstheme="minorBidi"/>
      <w:b/>
      <w:bCs/>
      <w:kern w:val="2"/>
      <w:sz w:val="24"/>
      <w:szCs w:val="24"/>
    </w:rPr>
  </w:style>
  <w:style w:type="paragraph" w:customStyle="1" w:styleId="48">
    <w:name w:val="RJ4"/>
    <w:basedOn w:val="1"/>
    <w:next w:val="38"/>
    <w:qFormat/>
    <w:uiPriority w:val="0"/>
    <w:pPr>
      <w:keepNext/>
      <w:keepLines/>
      <w:numPr>
        <w:ilvl w:val="3"/>
        <w:numId w:val="2"/>
      </w:numPr>
      <w:adjustRightInd w:val="0"/>
      <w:snapToGrid w:val="0"/>
      <w:spacing w:before="50" w:beforeLines="50" w:after="50" w:afterLines="50" w:line="360" w:lineRule="auto"/>
      <w:outlineLvl w:val="3"/>
    </w:pPr>
    <w:rPr>
      <w:rFonts w:ascii="Times New Roman" w:hAnsi="Times New Roman" w:eastAsia="仿宋" w:cs="Times New Roman"/>
      <w:b/>
      <w:kern w:val="0"/>
      <w:sz w:val="28"/>
      <w:szCs w:val="24"/>
    </w:rPr>
  </w:style>
  <w:style w:type="paragraph" w:customStyle="1" w:styleId="49">
    <w:name w:val="WPSOffice手动目录 3"/>
    <w:qFormat/>
    <w:uiPriority w:val="0"/>
    <w:pPr>
      <w:ind w:leftChars="400"/>
    </w:pPr>
    <w:rPr>
      <w:rFonts w:ascii="Times New Roman" w:hAnsi="Times New Roman" w:eastAsia="宋体" w:cs="Times New Roman"/>
      <w:sz w:val="20"/>
      <w:szCs w:val="20"/>
    </w:rPr>
  </w:style>
  <w:style w:type="paragraph" w:customStyle="1" w:styleId="50">
    <w:name w:val="Compact"/>
    <w:basedOn w:val="8"/>
    <w:qFormat/>
    <w:uiPriority w:val="0"/>
    <w:pPr>
      <w:spacing w:before="36" w:after="36"/>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a6ad7770-b7ff-4ed0-a6e8-286923806c6b</errorID>
      <errorWord>'</errorWord>
      <group>L1_Format</group>
      <groupName>格式问题</groupName>
      <ability>L2_HalfPunc_CN</ability>
      <abilityName>全半角检查</abilityName>
      <candidateList/>
      <explain>文本全半角错误。</explain>
      <paraID> 2AAC781</paraID>
      <start>191</start>
      <end>192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27d875-d7c7-40d2-b766-ba28eb5b4bb6}">
  <ds:schemaRefs/>
</ds:datastoreItem>
</file>

<file path=docProps/app.xml><?xml version="1.0" encoding="utf-8"?>
<Properties xmlns="http://schemas.openxmlformats.org/officeDocument/2006/extended-properties" xmlns:vt="http://schemas.openxmlformats.org/officeDocument/2006/docPropsVTypes">
  <Template>Normal</Template>
  <Company>潮州市潮安区机关及下属单位</Company>
  <Pages>24</Pages>
  <Words>13657</Words>
  <Characters>15322</Characters>
  <Lines>585</Lines>
  <Paragraphs>164</Paragraphs>
  <TotalTime>3</TotalTime>
  <ScaleCrop>false</ScaleCrop>
  <LinksUpToDate>false</LinksUpToDate>
  <CharactersWithSpaces>15347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2025-11-18T07:20:00Z</dcterms:created>
  <dc:creator>shend2</dc:creator>
  <cp:lastModifiedBy>张茂勤</cp:lastModifiedBy>
  <cp:lastPrinted>2026-07-27T08:11:00Z</cp:lastPrinted>
  <dcterms:modified xsi:type="dcterms:W3CDTF">2026-08-04T03:47:21Z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eyJoZGlkIjoiNjZmNDljY2I3YThkNmY1Njc4NjM2N2NlNjI2NjU0MGQiLCJ1c2VySWQiOiIxNTI3MTQ1NDQyIn0=</vt:lpwstr>
  </property>
  <property fmtid="{D5CDD505-2E9C-101B-9397-08002B2CF9AE}" pid="4" name="ICV">
    <vt:lpwstr>D7F8742A236E44ED84A3E07BF74CD13A_12</vt:lpwstr>
  </property>
</Properties>
</file>