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
    <w:tbl>
      <w:tblPr>
        <w:tblStyle w:val="3"/>
        <w:tblW w:w="52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973"/>
        <w:gridCol w:w="1473"/>
        <w:gridCol w:w="1050"/>
        <w:gridCol w:w="1300"/>
        <w:gridCol w:w="1250"/>
        <w:gridCol w:w="1400"/>
        <w:gridCol w:w="1500"/>
        <w:gridCol w:w="2250"/>
        <w:gridCol w:w="2464"/>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blHeader/>
        </w:trPr>
        <w:tc>
          <w:tcPr>
            <w:tcW w:w="188" w:type="pct"/>
            <w:vAlign w:val="center"/>
          </w:tcPr>
          <w:p>
            <w:pPr>
              <w:jc w:val="center"/>
              <w:rPr>
                <w:rFonts w:hint="eastAsia" w:ascii="黑体" w:hAnsi="黑体" w:eastAsia="黑体" w:cs="黑体"/>
                <w:sz w:val="36"/>
                <w:szCs w:val="24"/>
                <w:lang w:val="en-US" w:eastAsia="zh-CN"/>
              </w:rPr>
            </w:pPr>
            <w:bookmarkStart w:id="0" w:name="OLE_LINK1"/>
            <w:r>
              <w:rPr>
                <w:rFonts w:hint="eastAsia" w:ascii="黑体" w:hAnsi="黑体" w:eastAsia="黑体" w:cs="黑体"/>
                <w:sz w:val="36"/>
                <w:szCs w:val="24"/>
                <w:lang w:val="en-US" w:eastAsia="zh-CN"/>
              </w:rPr>
              <w:t>序</w:t>
            </w:r>
          </w:p>
          <w:p>
            <w:pPr>
              <w:jc w:val="center"/>
              <w:rPr>
                <w:rFonts w:hint="default"/>
                <w:vertAlign w:val="baseline"/>
                <w:lang w:val="en-US" w:eastAsia="zh-CN"/>
              </w:rPr>
            </w:pPr>
            <w:r>
              <w:rPr>
                <w:rFonts w:hint="eastAsia" w:ascii="黑体" w:hAnsi="黑体" w:eastAsia="黑体" w:cs="黑体"/>
                <w:sz w:val="36"/>
                <w:szCs w:val="24"/>
                <w:lang w:val="en-US" w:eastAsia="zh-CN"/>
              </w:rPr>
              <w:t>号</w:t>
            </w:r>
          </w:p>
        </w:tc>
        <w:tc>
          <w:tcPr>
            <w:tcW w:w="328"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部门名称</w:t>
            </w:r>
          </w:p>
        </w:tc>
        <w:tc>
          <w:tcPr>
            <w:tcW w:w="497"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收费单位名称</w:t>
            </w:r>
          </w:p>
        </w:tc>
        <w:tc>
          <w:tcPr>
            <w:tcW w:w="354"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单位性质</w:t>
            </w:r>
          </w:p>
        </w:tc>
        <w:tc>
          <w:tcPr>
            <w:tcW w:w="438"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收费项目</w:t>
            </w:r>
          </w:p>
        </w:tc>
        <w:tc>
          <w:tcPr>
            <w:tcW w:w="421"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收费性质</w:t>
            </w:r>
          </w:p>
        </w:tc>
        <w:tc>
          <w:tcPr>
            <w:tcW w:w="472"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服务内容或涉及事项</w:t>
            </w:r>
          </w:p>
        </w:tc>
        <w:tc>
          <w:tcPr>
            <w:tcW w:w="506"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收费标准</w:t>
            </w:r>
          </w:p>
        </w:tc>
        <w:tc>
          <w:tcPr>
            <w:tcW w:w="759"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标准制定方式及部门</w:t>
            </w:r>
          </w:p>
        </w:tc>
        <w:tc>
          <w:tcPr>
            <w:tcW w:w="831" w:type="pct"/>
            <w:vAlign w:val="center"/>
          </w:tcPr>
          <w:p>
            <w:pPr>
              <w:jc w:val="center"/>
              <w:rPr>
                <w:rFonts w:hint="default"/>
                <w:vertAlign w:val="baseline"/>
                <w:lang w:val="en-US" w:eastAsia="zh-CN"/>
              </w:rPr>
            </w:pPr>
            <w:r>
              <w:rPr>
                <w:rFonts w:hint="eastAsia" w:ascii="黑体" w:hAnsi="黑体" w:eastAsia="黑体" w:cs="黑体"/>
                <w:sz w:val="36"/>
                <w:szCs w:val="24"/>
                <w:lang w:val="en-US" w:eastAsia="zh-CN"/>
              </w:rPr>
              <w:t>政策依据</w:t>
            </w:r>
          </w:p>
        </w:tc>
        <w:tc>
          <w:tcPr>
            <w:tcW w:w="200" w:type="pct"/>
            <w:vAlign w:val="center"/>
          </w:tcPr>
          <w:p>
            <w:pPr>
              <w:jc w:val="center"/>
              <w:rPr>
                <w:rFonts w:hint="default" w:ascii="黑体" w:hAnsi="黑体" w:eastAsia="黑体" w:cs="黑体"/>
                <w:sz w:val="36"/>
                <w:szCs w:val="24"/>
                <w:lang w:val="en-US" w:eastAsia="zh-CN"/>
              </w:rPr>
            </w:pPr>
            <w:r>
              <w:rPr>
                <w:rFonts w:hint="eastAsia" w:ascii="黑体" w:hAnsi="黑体" w:eastAsia="黑体" w:cs="黑体"/>
                <w:sz w:val="36"/>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blHeader/>
        </w:trPr>
        <w:tc>
          <w:tcPr>
            <w:tcW w:w="18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eastAsia" w:cs="Times New Roman"/>
                <w:sz w:val="18"/>
                <w:szCs w:val="18"/>
                <w:vertAlign w:val="baseline"/>
                <w:lang w:val="en-US" w:eastAsia="zh-CN"/>
              </w:rPr>
              <w:t>18</w:t>
            </w:r>
          </w:p>
        </w:tc>
        <w:tc>
          <w:tcPr>
            <w:tcW w:w="32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kern w:val="56"/>
                <w:position w:val="6"/>
                <w:sz w:val="18"/>
                <w:szCs w:val="18"/>
                <w:vertAlign w:val="baseline"/>
                <w:lang w:val="en-US" w:eastAsia="zh-CN" w:bidi="ar-SA"/>
              </w:rPr>
            </w:pPr>
            <w:r>
              <w:rPr>
                <w:rFonts w:hint="eastAsia" w:cs="Times New Roman"/>
                <w:sz w:val="18"/>
                <w:szCs w:val="18"/>
                <w:vertAlign w:val="baseline"/>
                <w:lang w:val="en-US" w:eastAsia="zh-CN"/>
              </w:rPr>
              <w:t>嵩明县卫生健康局</w:t>
            </w:r>
          </w:p>
        </w:tc>
        <w:tc>
          <w:tcPr>
            <w:tcW w:w="497"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eastAsia" w:cs="Times New Roman"/>
                <w:sz w:val="18"/>
                <w:szCs w:val="18"/>
                <w:vertAlign w:val="baseline"/>
                <w:lang w:val="en-US" w:eastAsia="zh-CN"/>
              </w:rPr>
              <w:t>嵩明县</w:t>
            </w:r>
            <w:r>
              <w:rPr>
                <w:rFonts w:hint="default" w:ascii="Times New Roman" w:hAnsi="Times New Roman" w:cs="Times New Roman"/>
                <w:sz w:val="18"/>
                <w:szCs w:val="18"/>
                <w:vertAlign w:val="baseline"/>
                <w:lang w:val="en-US" w:eastAsia="zh-CN"/>
              </w:rPr>
              <w:t>疾病预防控制中心</w:t>
            </w:r>
          </w:p>
        </w:tc>
        <w:tc>
          <w:tcPr>
            <w:tcW w:w="354"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default" w:ascii="Times New Roman" w:hAnsi="Times New Roman" w:cs="Times New Roman"/>
                <w:sz w:val="18"/>
                <w:szCs w:val="18"/>
                <w:vertAlign w:val="baseline"/>
                <w:lang w:val="en-US" w:eastAsia="zh-CN"/>
              </w:rPr>
              <w:t>事业单位</w:t>
            </w:r>
          </w:p>
        </w:tc>
        <w:tc>
          <w:tcPr>
            <w:tcW w:w="43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default" w:ascii="Times New Roman" w:hAnsi="Times New Roman" w:cs="Times New Roman"/>
                <w:sz w:val="18"/>
                <w:szCs w:val="18"/>
                <w:vertAlign w:val="baseline"/>
                <w:lang w:val="en-US" w:eastAsia="zh-CN"/>
              </w:rPr>
              <w:t>非免疫规划疫苗储存运输费</w:t>
            </w:r>
          </w:p>
        </w:tc>
        <w:tc>
          <w:tcPr>
            <w:tcW w:w="42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default" w:ascii="Times New Roman" w:hAnsi="Times New Roman" w:cs="Times New Roman"/>
                <w:sz w:val="18"/>
                <w:szCs w:val="18"/>
                <w:vertAlign w:val="baseline"/>
                <w:lang w:val="en-US" w:eastAsia="zh-CN"/>
              </w:rPr>
              <w:t>行政事业性收费</w:t>
            </w:r>
          </w:p>
        </w:tc>
        <w:tc>
          <w:tcPr>
            <w:tcW w:w="472"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default" w:ascii="Times New Roman" w:hAnsi="Times New Roman" w:cs="Times New Roman"/>
                <w:sz w:val="18"/>
                <w:szCs w:val="18"/>
                <w:vertAlign w:val="baseline"/>
                <w:lang w:val="en-US" w:eastAsia="zh-CN"/>
              </w:rPr>
              <w:t>非免疫规划疫苗储存运输费</w:t>
            </w:r>
          </w:p>
        </w:tc>
        <w:tc>
          <w:tcPr>
            <w:tcW w:w="506"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default" w:ascii="Times New Roman" w:hAnsi="Times New Roman" w:cs="Times New Roman"/>
                <w:sz w:val="18"/>
                <w:szCs w:val="18"/>
                <w:vertAlign w:val="baseline"/>
                <w:lang w:val="en-US" w:eastAsia="zh-CN"/>
              </w:rPr>
              <w:t>10元/支</w:t>
            </w:r>
          </w:p>
        </w:tc>
        <w:tc>
          <w:tcPr>
            <w:tcW w:w="759"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default" w:ascii="Times New Roman" w:hAnsi="Times New Roman" w:cs="Times New Roman"/>
                <w:sz w:val="18"/>
                <w:szCs w:val="18"/>
                <w:vertAlign w:val="baseline"/>
                <w:lang w:val="en-US" w:eastAsia="zh-CN"/>
              </w:rPr>
              <w:t>政府制定/云南省发展和改革委员会云南省财政厅</w:t>
            </w:r>
          </w:p>
        </w:tc>
        <w:tc>
          <w:tcPr>
            <w:tcW w:w="83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r>
              <w:rPr>
                <w:rFonts w:hint="default" w:ascii="Times New Roman" w:hAnsi="Times New Roman" w:cs="Times New Roman"/>
                <w:sz w:val="18"/>
                <w:szCs w:val="18"/>
                <w:vertAlign w:val="baseline"/>
                <w:lang w:val="en-US" w:eastAsia="zh-CN"/>
              </w:rPr>
              <w:t>《云南省发展和改革委员会云南省财政厅关于核定非免疫规划疫苗储存运输费和接种服务费标准的通知》(云发改价格〔2022〕1027号)</w:t>
            </w:r>
          </w:p>
        </w:tc>
        <w:tc>
          <w:tcPr>
            <w:tcW w:w="20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auto"/>
                <w:kern w:val="56"/>
                <w:position w:val="6"/>
                <w:sz w:val="18"/>
                <w:szCs w:val="18"/>
                <w:vertAlign w:val="baseline"/>
                <w:lang w:val="en-US" w:eastAsia="zh-CN" w:bidi="ar-SA"/>
              </w:rPr>
            </w:pPr>
          </w:p>
        </w:tc>
      </w:tr>
      <w:bookmarkEnd w:id="0"/>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MmVmMzZjZTMyM2Y5MThmZjgzOTYzZDczYzBlYTUifQ=="/>
  </w:docVars>
  <w:rsids>
    <w:rsidRoot w:val="00000000"/>
    <w:rsid w:val="164755A2"/>
    <w:rsid w:val="7C37315C"/>
    <w:rsid w:val="7C484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56"/>
      <w:position w:val="6"/>
      <w:sz w:val="16"/>
      <w:szCs w:val="16"/>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2025-12-30T01:20:00Z</dcterms:created>
  <dc:creator>Admin</dc:creator>
  <cp:lastModifiedBy>王海涛</cp:lastModifiedBy>
  <dcterms:modified xsi:type="dcterms:W3CDTF">2025-12-30T06:23:38Z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B6EC9ED88BCB41CFBE4BA00A3790F484_12</vt:lpwstr>
  </property>
</Properties>
</file>