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3D741">
      <w:pPr>
        <w:jc w:val="center"/>
        <w:rPr>
          <w:rFonts w:hint="eastAsia" w:ascii="黑体" w:hAnsi="黑体" w:eastAsia="黑体" w:cs="黑体"/>
          <w:sz w:val="44"/>
          <w:szCs w:val="44"/>
          <w:vertAlign w:val="baseline"/>
          <w:lang w:val="en-US" w:eastAsia="zh-CN"/>
        </w:rPr>
      </w:pPr>
      <w:r>
        <w:rPr>
          <w:rFonts w:hint="eastAsia" w:ascii="黑体" w:hAnsi="黑体" w:eastAsia="黑体" w:cs="黑体"/>
          <w:sz w:val="44"/>
          <w:szCs w:val="44"/>
          <w:lang w:val="en-US" w:eastAsia="zh-CN"/>
        </w:rPr>
        <w:t>嵩明县水务局及下属单位综合性涉企收费目录清单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275"/>
        <w:gridCol w:w="1050"/>
        <w:gridCol w:w="1200"/>
        <w:gridCol w:w="1185"/>
        <w:gridCol w:w="1155"/>
        <w:gridCol w:w="1035"/>
        <w:gridCol w:w="2115"/>
        <w:gridCol w:w="1065"/>
        <w:gridCol w:w="975"/>
        <w:gridCol w:w="1179"/>
      </w:tblGrid>
      <w:tr w14:paraId="1CAA0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trPr>
        <w:tc>
          <w:tcPr>
            <w:tcW w:w="738" w:type="dxa"/>
            <w:vAlign w:val="center"/>
          </w:tcPr>
          <w:p w14:paraId="64E2F332">
            <w:pPr>
              <w:jc w:val="center"/>
              <w:rPr>
                <w:rFonts w:hint="default"/>
                <w:vertAlign w:val="baseline"/>
                <w:lang w:val="en-US" w:eastAsia="zh-CN"/>
              </w:rPr>
            </w:pPr>
            <w:r>
              <w:rPr>
                <w:rFonts w:hint="eastAsia" w:ascii="黑体" w:hAnsi="黑体" w:eastAsia="黑体" w:cs="黑体"/>
                <w:sz w:val="36"/>
                <w:szCs w:val="24"/>
                <w:lang w:val="en-US" w:eastAsia="zh-CN"/>
              </w:rPr>
              <w:t>序号</w:t>
            </w:r>
          </w:p>
        </w:tc>
        <w:tc>
          <w:tcPr>
            <w:tcW w:w="1275" w:type="dxa"/>
            <w:vAlign w:val="center"/>
          </w:tcPr>
          <w:p w14:paraId="28B3DB9A">
            <w:pPr>
              <w:jc w:val="center"/>
              <w:rPr>
                <w:rFonts w:hint="default"/>
                <w:vertAlign w:val="baseline"/>
                <w:lang w:val="en-US" w:eastAsia="zh-CN"/>
              </w:rPr>
            </w:pPr>
            <w:r>
              <w:rPr>
                <w:rFonts w:hint="eastAsia" w:ascii="黑体" w:hAnsi="黑体" w:eastAsia="黑体" w:cs="黑体"/>
                <w:sz w:val="36"/>
                <w:szCs w:val="24"/>
                <w:lang w:val="en-US" w:eastAsia="zh-CN"/>
              </w:rPr>
              <w:t>部门名称</w:t>
            </w:r>
          </w:p>
        </w:tc>
        <w:tc>
          <w:tcPr>
            <w:tcW w:w="1050" w:type="dxa"/>
            <w:vAlign w:val="center"/>
          </w:tcPr>
          <w:p w14:paraId="6BD477A3">
            <w:pPr>
              <w:jc w:val="center"/>
              <w:rPr>
                <w:rFonts w:hint="default"/>
                <w:vertAlign w:val="baseline"/>
                <w:lang w:val="en-US" w:eastAsia="zh-CN"/>
              </w:rPr>
            </w:pPr>
            <w:r>
              <w:rPr>
                <w:rFonts w:hint="eastAsia" w:ascii="黑体" w:hAnsi="黑体" w:eastAsia="黑体" w:cs="黑体"/>
                <w:sz w:val="36"/>
                <w:szCs w:val="24"/>
                <w:lang w:val="en-US" w:eastAsia="zh-CN"/>
              </w:rPr>
              <w:t>收费单位名称</w:t>
            </w:r>
          </w:p>
        </w:tc>
        <w:tc>
          <w:tcPr>
            <w:tcW w:w="1200" w:type="dxa"/>
            <w:vAlign w:val="center"/>
          </w:tcPr>
          <w:p w14:paraId="0EBCFC00">
            <w:pPr>
              <w:jc w:val="center"/>
              <w:rPr>
                <w:rFonts w:hint="default"/>
                <w:vertAlign w:val="baseline"/>
                <w:lang w:val="en-US" w:eastAsia="zh-CN"/>
              </w:rPr>
            </w:pPr>
            <w:r>
              <w:rPr>
                <w:rFonts w:hint="eastAsia" w:ascii="黑体" w:hAnsi="黑体" w:eastAsia="黑体" w:cs="黑体"/>
                <w:sz w:val="36"/>
                <w:szCs w:val="24"/>
                <w:lang w:val="en-US" w:eastAsia="zh-CN"/>
              </w:rPr>
              <w:t>单位性质</w:t>
            </w:r>
          </w:p>
        </w:tc>
        <w:tc>
          <w:tcPr>
            <w:tcW w:w="1185" w:type="dxa"/>
            <w:vAlign w:val="center"/>
          </w:tcPr>
          <w:p w14:paraId="4B271512">
            <w:pPr>
              <w:jc w:val="center"/>
              <w:rPr>
                <w:rFonts w:hint="default"/>
                <w:vertAlign w:val="baseline"/>
                <w:lang w:val="en-US" w:eastAsia="zh-CN"/>
              </w:rPr>
            </w:pPr>
            <w:r>
              <w:rPr>
                <w:rFonts w:hint="eastAsia" w:ascii="黑体" w:hAnsi="黑体" w:eastAsia="黑体" w:cs="黑体"/>
                <w:sz w:val="36"/>
                <w:szCs w:val="24"/>
                <w:lang w:val="en-US" w:eastAsia="zh-CN"/>
              </w:rPr>
              <w:t>收费项目</w:t>
            </w:r>
          </w:p>
        </w:tc>
        <w:tc>
          <w:tcPr>
            <w:tcW w:w="1155" w:type="dxa"/>
            <w:vAlign w:val="center"/>
          </w:tcPr>
          <w:p w14:paraId="5842477A">
            <w:pPr>
              <w:jc w:val="center"/>
              <w:rPr>
                <w:rFonts w:hint="default"/>
                <w:vertAlign w:val="baseline"/>
                <w:lang w:val="en-US" w:eastAsia="zh-CN"/>
              </w:rPr>
            </w:pPr>
            <w:r>
              <w:rPr>
                <w:rFonts w:hint="eastAsia" w:ascii="黑体" w:hAnsi="黑体" w:eastAsia="黑体" w:cs="黑体"/>
                <w:sz w:val="36"/>
                <w:szCs w:val="24"/>
                <w:lang w:val="en-US" w:eastAsia="zh-CN"/>
              </w:rPr>
              <w:t>收费性质</w:t>
            </w:r>
          </w:p>
        </w:tc>
        <w:tc>
          <w:tcPr>
            <w:tcW w:w="1035" w:type="dxa"/>
            <w:vAlign w:val="center"/>
          </w:tcPr>
          <w:p w14:paraId="1062C674">
            <w:pPr>
              <w:jc w:val="center"/>
              <w:rPr>
                <w:rFonts w:hint="default"/>
                <w:vertAlign w:val="baseline"/>
                <w:lang w:val="en-US" w:eastAsia="zh-CN"/>
              </w:rPr>
            </w:pPr>
            <w:r>
              <w:rPr>
                <w:rFonts w:hint="eastAsia" w:ascii="黑体" w:hAnsi="黑体" w:eastAsia="黑体" w:cs="黑体"/>
                <w:sz w:val="36"/>
                <w:szCs w:val="24"/>
                <w:lang w:val="en-US" w:eastAsia="zh-CN"/>
              </w:rPr>
              <w:t>服务内容或涉及事项</w:t>
            </w:r>
          </w:p>
        </w:tc>
        <w:tc>
          <w:tcPr>
            <w:tcW w:w="2115" w:type="dxa"/>
            <w:vAlign w:val="center"/>
          </w:tcPr>
          <w:p w14:paraId="0A1E8972">
            <w:pPr>
              <w:jc w:val="center"/>
              <w:rPr>
                <w:rFonts w:hint="default"/>
                <w:vertAlign w:val="baseline"/>
                <w:lang w:val="en-US" w:eastAsia="zh-CN"/>
              </w:rPr>
            </w:pPr>
            <w:r>
              <w:rPr>
                <w:rFonts w:hint="eastAsia" w:ascii="黑体" w:hAnsi="黑体" w:eastAsia="黑体" w:cs="黑体"/>
                <w:sz w:val="36"/>
                <w:szCs w:val="24"/>
                <w:lang w:val="en-US" w:eastAsia="zh-CN"/>
              </w:rPr>
              <w:t>收费标准</w:t>
            </w:r>
          </w:p>
        </w:tc>
        <w:tc>
          <w:tcPr>
            <w:tcW w:w="1065" w:type="dxa"/>
            <w:vAlign w:val="center"/>
          </w:tcPr>
          <w:p w14:paraId="55ABEF28">
            <w:pPr>
              <w:jc w:val="center"/>
              <w:rPr>
                <w:rFonts w:hint="default"/>
                <w:vertAlign w:val="baseline"/>
                <w:lang w:val="en-US" w:eastAsia="zh-CN"/>
              </w:rPr>
            </w:pPr>
            <w:r>
              <w:rPr>
                <w:rFonts w:hint="eastAsia" w:ascii="黑体" w:hAnsi="黑体" w:eastAsia="黑体" w:cs="黑体"/>
                <w:sz w:val="36"/>
                <w:szCs w:val="24"/>
                <w:lang w:val="en-US" w:eastAsia="zh-CN"/>
              </w:rPr>
              <w:t>标准制定方式及部门</w:t>
            </w:r>
          </w:p>
        </w:tc>
        <w:tc>
          <w:tcPr>
            <w:tcW w:w="975" w:type="dxa"/>
            <w:vAlign w:val="center"/>
          </w:tcPr>
          <w:p w14:paraId="4351D464">
            <w:pPr>
              <w:jc w:val="center"/>
              <w:rPr>
                <w:rFonts w:hint="default"/>
                <w:vertAlign w:val="baseline"/>
                <w:lang w:val="en-US" w:eastAsia="zh-CN"/>
              </w:rPr>
            </w:pPr>
            <w:r>
              <w:rPr>
                <w:rFonts w:hint="eastAsia" w:ascii="黑体" w:hAnsi="黑体" w:eastAsia="黑体" w:cs="黑体"/>
                <w:sz w:val="36"/>
                <w:szCs w:val="24"/>
                <w:lang w:val="en-US" w:eastAsia="zh-CN"/>
              </w:rPr>
              <w:t>政策依据</w:t>
            </w:r>
          </w:p>
        </w:tc>
        <w:tc>
          <w:tcPr>
            <w:tcW w:w="1179" w:type="dxa"/>
            <w:vAlign w:val="center"/>
          </w:tcPr>
          <w:p w14:paraId="36B9A8F9">
            <w:pPr>
              <w:jc w:val="center"/>
              <w:rPr>
                <w:rFonts w:hint="default" w:ascii="黑体" w:hAnsi="黑体" w:eastAsia="黑体" w:cs="黑体"/>
                <w:sz w:val="36"/>
                <w:szCs w:val="24"/>
                <w:lang w:val="en-US" w:eastAsia="zh-CN"/>
              </w:rPr>
            </w:pPr>
            <w:r>
              <w:rPr>
                <w:rFonts w:hint="eastAsia" w:ascii="黑体" w:hAnsi="黑体" w:eastAsia="黑体" w:cs="黑体"/>
                <w:sz w:val="36"/>
                <w:szCs w:val="24"/>
                <w:lang w:val="en-US" w:eastAsia="zh-CN"/>
              </w:rPr>
              <w:t>备注</w:t>
            </w:r>
          </w:p>
        </w:tc>
      </w:tr>
      <w:tr w14:paraId="36E92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4D2E2D92">
            <w:pPr>
              <w:snapToGrid w:val="0"/>
              <w:ind w:left="0" w:leftChars="0" w:right="0" w:righ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1</w:t>
            </w:r>
          </w:p>
        </w:tc>
        <w:tc>
          <w:tcPr>
            <w:tcW w:w="1275" w:type="dxa"/>
            <w:vAlign w:val="center"/>
          </w:tcPr>
          <w:p w14:paraId="08B62EA8">
            <w:pPr>
              <w:snapToGrid w:val="0"/>
              <w:ind w:left="0" w:leftChars="0" w:right="0" w:rightChars="0" w:firstLine="0" w:firstLineChars="0"/>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嵩明县水务局</w:t>
            </w:r>
          </w:p>
        </w:tc>
        <w:tc>
          <w:tcPr>
            <w:tcW w:w="1050" w:type="dxa"/>
            <w:vAlign w:val="center"/>
          </w:tcPr>
          <w:p w14:paraId="37289E2E">
            <w:pPr>
              <w:snapToGrid w:val="0"/>
              <w:ind w:left="0" w:leftChars="0" w:right="0" w:righ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本级</w:t>
            </w:r>
          </w:p>
        </w:tc>
        <w:tc>
          <w:tcPr>
            <w:tcW w:w="1200" w:type="dxa"/>
            <w:vAlign w:val="center"/>
          </w:tcPr>
          <w:p w14:paraId="09BA4D7C">
            <w:pPr>
              <w:snapToGrid w:val="0"/>
              <w:ind w:left="0" w:leftChars="0" w:right="0" w:rightChars="0" w:firstLine="0" w:firstLineChars="0"/>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政府部门</w:t>
            </w:r>
          </w:p>
        </w:tc>
        <w:tc>
          <w:tcPr>
            <w:tcW w:w="1185" w:type="dxa"/>
            <w:vAlign w:val="center"/>
          </w:tcPr>
          <w:p w14:paraId="708821D5">
            <w:pPr>
              <w:snapToGrid w:val="0"/>
              <w:ind w:left="0" w:leftChars="0" w:right="0" w:righ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水土保持补偿费</w:t>
            </w:r>
          </w:p>
        </w:tc>
        <w:tc>
          <w:tcPr>
            <w:tcW w:w="1155" w:type="dxa"/>
            <w:vAlign w:val="center"/>
          </w:tcPr>
          <w:p w14:paraId="2765F034">
            <w:pPr>
              <w:snapToGrid w:val="0"/>
              <w:ind w:left="0" w:leftChars="0" w:right="0" w:righ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lang w:val="en-US" w:eastAsia="zh-CN"/>
              </w:rPr>
              <w:t>行政事业性收费</w:t>
            </w:r>
          </w:p>
        </w:tc>
        <w:tc>
          <w:tcPr>
            <w:tcW w:w="1035" w:type="dxa"/>
            <w:vAlign w:val="center"/>
          </w:tcPr>
          <w:p w14:paraId="03AEA778">
            <w:pPr>
              <w:snapToGrid w:val="0"/>
              <w:ind w:left="0" w:leftChars="0" w:right="0" w:righ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专项用于水土流失预防和治理，主要用于被损坏水土保持设施和地貌植被恢复治理工程建设</w:t>
            </w:r>
          </w:p>
        </w:tc>
        <w:tc>
          <w:tcPr>
            <w:tcW w:w="2115" w:type="dxa"/>
            <w:vAlign w:val="center"/>
          </w:tcPr>
          <w:p w14:paraId="1F1999F1">
            <w:pPr>
              <w:snapToGrid w:val="0"/>
              <w:ind w:left="0" w:leftChars="0" w:right="0" w:rightChars="0" w:firstLine="472" w:firstLineChars="20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水土保持补偿费收费标准：                                         (一)对一般性生产建设项目，按照征占用土地面积每平方米0.7元一次性计征(不足1平方米的按1平方米计，下同)。                               对水利水电工程建设项目，水库淹没区不在水土保持补偿费计征范围之内。</w:t>
            </w:r>
          </w:p>
          <w:p w14:paraId="64904F22">
            <w:pPr>
              <w:snapToGrid w:val="0"/>
              <w:ind w:left="0" w:leftChars="0" w:right="0" w:rightChars="0" w:firstLine="472" w:firstLineChars="20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(二)开采矿产资源的，建设期间，按照征占用土地面积一次性计征，具体收费标准按照本条第一款执行。开采期间，石油、天然气以外的矿产资源按照开采量(采掘、采剥总量)每吨0.5元计征。          石油、天然气根据油、气生产井(不包括水井、勘探井)占地面积按年征收，每口油、气生产井占地面积按不超过2000平方米计算；对丛式井每增加一口井，增加计征面积按不超过400平方米计算，每平方米每年收费1元。                                                                                 (三)取土、挖砂(河道采砂除外)、采石以及烧制砖、瓦、瓷、石灰的，根据取土、挖砂、采石量，按照每立方米0.3元计征(不足1立方米的按1立方米计，下同)。对缴纳义务人已按前两种方式计征水土保持补偿费的，不再重复计征。                                             (四)排放废弃土、石、渣的，根据土、石、渣量，按照每立方米0.3元计征。对缴纳义务人已按前三种方式计征水土保持补偿费的，不再重复计征。</w:t>
            </w:r>
          </w:p>
        </w:tc>
        <w:tc>
          <w:tcPr>
            <w:tcW w:w="1065" w:type="dxa"/>
            <w:vAlign w:val="center"/>
          </w:tcPr>
          <w:p w14:paraId="61884AB7">
            <w:pPr>
              <w:snapToGrid w:val="0"/>
              <w:ind w:left="0" w:leftChars="0" w:right="0" w:righ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制定方式：政府制定；制定部门：云南省物价局、云南省财政厅、云南省水利厅</w:t>
            </w:r>
          </w:p>
        </w:tc>
        <w:tc>
          <w:tcPr>
            <w:tcW w:w="975" w:type="dxa"/>
            <w:vAlign w:val="center"/>
          </w:tcPr>
          <w:p w14:paraId="07DC90E9">
            <w:pPr>
              <w:snapToGrid w:val="0"/>
              <w:ind w:left="0" w:leftChars="0" w:right="0" w:rightChars="0" w:firstLine="472" w:firstLineChars="200"/>
              <w:jc w:val="left"/>
              <w:rPr>
                <w:rFonts w:hint="eastAsia" w:ascii="仿宋_GB2312" w:hAnsi="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1.《中华人民共和国水土保持法》；</w:t>
            </w:r>
          </w:p>
          <w:p w14:paraId="5E2ED5A9">
            <w:pPr>
              <w:snapToGrid w:val="0"/>
              <w:ind w:left="0" w:leftChars="0" w:right="0" w:rightChars="0" w:firstLine="472" w:firstLineChars="200"/>
              <w:jc w:val="left"/>
              <w:rPr>
                <w:rFonts w:hint="eastAsia" w:ascii="仿宋_GB2312" w:hAnsi="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2.《财政部 国家发展改革委 水利部 中国人民银行关于印发水土保持补偿费征收使用管理办法的通知》（财综〔2014〕8号）；</w:t>
            </w:r>
          </w:p>
          <w:p w14:paraId="148E967D">
            <w:pPr>
              <w:snapToGrid w:val="0"/>
              <w:ind w:left="0" w:leftChars="0" w:right="0" w:rightChars="0" w:firstLine="472" w:firstLineChars="200"/>
              <w:jc w:val="left"/>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 xml:space="preserve">3.《云南省物价局 云南省财政厅 云南省水利厅关于水土保持补偿费收费标准的通知》（云价收费〔2017〕113号）。 </w:t>
            </w:r>
          </w:p>
        </w:tc>
        <w:tc>
          <w:tcPr>
            <w:tcW w:w="1179" w:type="dxa"/>
            <w:vAlign w:val="center"/>
          </w:tcPr>
          <w:p w14:paraId="3C614957">
            <w:pPr>
              <w:snapToGrid w:val="0"/>
              <w:ind w:left="0" w:leftChars="0" w:right="0" w:righ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按照《财政部关于水土保持补偿费等四项非税收入划转税务部门征收的通知》(财税〔2020〕58号)要求，“自2021年1月1日起，将水土保持补偿费、地方水库移民扶持基金、排污权出让收入、防空地下室易地建设费划转至税务部门征收。”</w:t>
            </w:r>
          </w:p>
        </w:tc>
      </w:tr>
      <w:tr w14:paraId="07BFA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00D70C14">
            <w:pPr>
              <w:snapToGrid w:val="0"/>
              <w:ind w:left="0" w:leftChars="0" w:right="0" w:righ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2</w:t>
            </w:r>
          </w:p>
        </w:tc>
        <w:tc>
          <w:tcPr>
            <w:tcW w:w="1275" w:type="dxa"/>
            <w:vAlign w:val="center"/>
          </w:tcPr>
          <w:p w14:paraId="7953EC87">
            <w:pPr>
              <w:snapToGrid w:val="0"/>
              <w:ind w:left="0" w:leftChars="0" w:right="0" w:righ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嵩明县水务局</w:t>
            </w:r>
          </w:p>
        </w:tc>
        <w:tc>
          <w:tcPr>
            <w:tcW w:w="1050" w:type="dxa"/>
            <w:vAlign w:val="center"/>
          </w:tcPr>
          <w:p w14:paraId="516A78DD">
            <w:pPr>
              <w:snapToGrid w:val="0"/>
              <w:ind w:left="0" w:leftChars="0" w:right="0" w:righ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嵩明</w:t>
            </w:r>
            <w:r>
              <w:rPr>
                <w:rFonts w:hint="eastAsia" w:ascii="仿宋_GB2312" w:hAnsi="仿宋_GB2312" w:cs="仿宋_GB2312"/>
                <w:sz w:val="24"/>
                <w:szCs w:val="24"/>
                <w:vertAlign w:val="baseline"/>
                <w:lang w:val="en-US" w:eastAsia="zh-CN"/>
              </w:rPr>
              <w:t>润泽水务运营有限公司</w:t>
            </w:r>
          </w:p>
        </w:tc>
        <w:tc>
          <w:tcPr>
            <w:tcW w:w="1200" w:type="dxa"/>
            <w:vAlign w:val="center"/>
          </w:tcPr>
          <w:p w14:paraId="00DD987D">
            <w:pPr>
              <w:snapToGrid w:val="0"/>
              <w:ind w:left="0" w:leftChars="0" w:right="0" w:righ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国有企业</w:t>
            </w:r>
          </w:p>
        </w:tc>
        <w:tc>
          <w:tcPr>
            <w:tcW w:w="1185" w:type="dxa"/>
            <w:vAlign w:val="center"/>
          </w:tcPr>
          <w:p w14:paraId="31171EE7">
            <w:pPr>
              <w:snapToGrid w:val="0"/>
              <w:ind w:left="0" w:leftChars="0" w:right="0" w:righ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自来水水费</w:t>
            </w:r>
          </w:p>
        </w:tc>
        <w:tc>
          <w:tcPr>
            <w:tcW w:w="1155" w:type="dxa"/>
            <w:vAlign w:val="center"/>
          </w:tcPr>
          <w:p w14:paraId="364FDB2E">
            <w:pPr>
              <w:snapToGrid w:val="0"/>
              <w:ind w:left="0" w:leftChars="0" w:right="0" w:righ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政府定价的经营服务性收费</w:t>
            </w:r>
          </w:p>
        </w:tc>
        <w:tc>
          <w:tcPr>
            <w:tcW w:w="1035" w:type="dxa"/>
            <w:vAlign w:val="center"/>
          </w:tcPr>
          <w:p w14:paraId="37EA241C">
            <w:pPr>
              <w:snapToGrid w:val="0"/>
              <w:ind w:left="0" w:leftChars="0" w:right="0" w:righ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自来水供应水费</w:t>
            </w:r>
          </w:p>
        </w:tc>
        <w:tc>
          <w:tcPr>
            <w:tcW w:w="2115" w:type="dxa"/>
            <w:vAlign w:val="center"/>
          </w:tcPr>
          <w:p w14:paraId="09B534A1">
            <w:pPr>
              <w:snapToGrid w:val="0"/>
              <w:ind w:left="0" w:leftChars="0" w:right="0" w:rightChars="0" w:firstLine="0" w:firstLineChars="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居民生活用水：2.0</w:t>
            </w:r>
            <w:r>
              <w:rPr>
                <w:rFonts w:hint="eastAsia" w:ascii="仿宋_GB2312" w:hAnsi="仿宋_GB2312" w:cs="仿宋_GB2312"/>
                <w:sz w:val="24"/>
                <w:szCs w:val="24"/>
                <w:vertAlign w:val="baseline"/>
                <w:lang w:val="en-US" w:eastAsia="zh-CN"/>
              </w:rPr>
              <w:t>0</w:t>
            </w:r>
            <w:r>
              <w:rPr>
                <w:rFonts w:hint="eastAsia" w:ascii="仿宋_GB2312" w:hAnsi="仿宋_GB2312" w:eastAsia="仿宋_GB2312" w:cs="仿宋_GB2312"/>
                <w:sz w:val="24"/>
                <w:szCs w:val="24"/>
                <w:vertAlign w:val="baseline"/>
                <w:lang w:val="en-US" w:eastAsia="zh-CN"/>
              </w:rPr>
              <w:t>元/立方米；非居民生活用水：2.6</w:t>
            </w:r>
            <w:r>
              <w:rPr>
                <w:rFonts w:hint="eastAsia" w:ascii="仿宋_GB2312" w:hAnsi="仿宋_GB2312" w:cs="仿宋_GB2312"/>
                <w:sz w:val="24"/>
                <w:szCs w:val="24"/>
                <w:vertAlign w:val="baseline"/>
                <w:lang w:val="en-US" w:eastAsia="zh-CN"/>
              </w:rPr>
              <w:t>0</w:t>
            </w:r>
            <w:r>
              <w:rPr>
                <w:rFonts w:hint="eastAsia" w:ascii="仿宋_GB2312" w:hAnsi="仿宋_GB2312" w:eastAsia="仿宋_GB2312" w:cs="仿宋_GB2312"/>
                <w:sz w:val="24"/>
                <w:szCs w:val="24"/>
                <w:vertAlign w:val="baseline"/>
                <w:lang w:val="en-US" w:eastAsia="zh-CN"/>
              </w:rPr>
              <w:t>元/立方米；特种行业用水：6.0</w:t>
            </w:r>
            <w:r>
              <w:rPr>
                <w:rFonts w:hint="eastAsia" w:ascii="仿宋_GB2312" w:hAnsi="仿宋_GB2312" w:cs="仿宋_GB2312"/>
                <w:sz w:val="24"/>
                <w:szCs w:val="24"/>
                <w:vertAlign w:val="baseline"/>
                <w:lang w:val="en-US" w:eastAsia="zh-CN"/>
              </w:rPr>
              <w:t>0</w:t>
            </w:r>
            <w:r>
              <w:rPr>
                <w:rFonts w:hint="eastAsia" w:ascii="仿宋_GB2312" w:hAnsi="仿宋_GB2312" w:eastAsia="仿宋_GB2312" w:cs="仿宋_GB2312"/>
                <w:sz w:val="24"/>
                <w:szCs w:val="24"/>
                <w:vertAlign w:val="baseline"/>
                <w:lang w:val="en-US" w:eastAsia="zh-CN"/>
              </w:rPr>
              <w:t>元/立方米</w:t>
            </w:r>
          </w:p>
        </w:tc>
        <w:tc>
          <w:tcPr>
            <w:tcW w:w="1065" w:type="dxa"/>
            <w:vAlign w:val="center"/>
          </w:tcPr>
          <w:p w14:paraId="56C72362">
            <w:pPr>
              <w:snapToGrid w:val="0"/>
              <w:ind w:left="0" w:leftChars="0" w:right="0" w:righ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政府制定（嵩明县发展和改革局）</w:t>
            </w:r>
          </w:p>
        </w:tc>
        <w:tc>
          <w:tcPr>
            <w:tcW w:w="975" w:type="dxa"/>
            <w:vAlign w:val="center"/>
          </w:tcPr>
          <w:p w14:paraId="61D6A7BA">
            <w:pPr>
              <w:snapToGrid w:val="0"/>
              <w:ind w:left="0" w:leftChars="0" w:right="0" w:rightChars="0" w:firstLine="0" w:firstLineChars="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《关于嵩明县第二自来水厂供水价格收费主体名称变更的说明》、《关于调整第二自来水厂供水价格的通知》</w:t>
            </w:r>
            <w:r>
              <w:rPr>
                <w:rFonts w:hint="eastAsia" w:ascii="仿宋_GB2312" w:hAnsi="仿宋_GB2312" w:eastAsia="仿宋_GB2312" w:cs="仿宋_GB2312"/>
                <w:sz w:val="24"/>
                <w:szCs w:val="24"/>
                <w:vertAlign w:val="baseline"/>
                <w:lang w:val="en-US" w:eastAsia="zh-CN"/>
              </w:rPr>
              <w:t>嵩发改通【2013】44号</w:t>
            </w:r>
          </w:p>
        </w:tc>
        <w:tc>
          <w:tcPr>
            <w:tcW w:w="1179" w:type="dxa"/>
            <w:vAlign w:val="center"/>
          </w:tcPr>
          <w:p w14:paraId="38E74ADD">
            <w:pPr>
              <w:snapToGrid w:val="0"/>
              <w:ind w:left="0" w:leftChars="0" w:right="0" w:rightChars="0" w:firstLine="0" w:firstLineChars="0"/>
              <w:jc w:val="center"/>
              <w:rPr>
                <w:rFonts w:hint="eastAsia" w:ascii="仿宋_GB2312" w:hAnsi="仿宋_GB2312" w:eastAsia="仿宋_GB2312" w:cs="仿宋_GB2312"/>
                <w:sz w:val="24"/>
                <w:szCs w:val="24"/>
                <w:vertAlign w:val="baseline"/>
                <w:lang w:val="en-US" w:eastAsia="zh-CN"/>
              </w:rPr>
            </w:pPr>
          </w:p>
        </w:tc>
      </w:tr>
      <w:tr w14:paraId="09AF8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14:paraId="29D3C15B">
            <w:pPr>
              <w:snapToGrid w:val="0"/>
              <w:ind w:left="0" w:leftChars="0" w:right="0" w:righ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3</w:t>
            </w:r>
          </w:p>
        </w:tc>
        <w:tc>
          <w:tcPr>
            <w:tcW w:w="1275" w:type="dxa"/>
            <w:vAlign w:val="center"/>
          </w:tcPr>
          <w:p w14:paraId="6063E653">
            <w:pPr>
              <w:snapToGrid w:val="0"/>
              <w:ind w:left="0" w:leftChars="0" w:right="0" w:righ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嵩明县水务局</w:t>
            </w:r>
          </w:p>
        </w:tc>
        <w:tc>
          <w:tcPr>
            <w:tcW w:w="1050" w:type="dxa"/>
            <w:vAlign w:val="center"/>
          </w:tcPr>
          <w:p w14:paraId="0A1A89B9">
            <w:pPr>
              <w:snapToGrid w:val="0"/>
              <w:ind w:left="0" w:leftChars="0" w:right="0" w:righ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嵩明县小街人畜饮水管理站</w:t>
            </w:r>
            <w:r>
              <w:rPr>
                <w:rFonts w:hint="eastAsia" w:ascii="仿宋_GB2312" w:hAnsi="仿宋_GB2312" w:cs="仿宋_GB2312"/>
                <w:sz w:val="24"/>
                <w:szCs w:val="24"/>
                <w:vertAlign w:val="baseline"/>
                <w:lang w:val="en-US" w:eastAsia="zh-CN"/>
              </w:rPr>
              <w:t>、</w:t>
            </w:r>
            <w:r>
              <w:rPr>
                <w:rFonts w:hint="eastAsia" w:ascii="仿宋_GB2312" w:hAnsi="仿宋_GB2312" w:eastAsia="仿宋_GB2312" w:cs="仿宋_GB2312"/>
                <w:sz w:val="24"/>
                <w:szCs w:val="24"/>
                <w:vertAlign w:val="baseline"/>
                <w:lang w:val="en-US" w:eastAsia="zh-CN"/>
              </w:rPr>
              <w:t>嵩明县小横山人畜饮水管理站</w:t>
            </w:r>
          </w:p>
        </w:tc>
        <w:tc>
          <w:tcPr>
            <w:tcW w:w="1200" w:type="dxa"/>
            <w:vAlign w:val="center"/>
          </w:tcPr>
          <w:p w14:paraId="048AA691">
            <w:pPr>
              <w:snapToGrid w:val="0"/>
              <w:ind w:left="0" w:leftChars="0" w:right="0" w:righ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事业单位</w:t>
            </w:r>
          </w:p>
        </w:tc>
        <w:tc>
          <w:tcPr>
            <w:tcW w:w="1185" w:type="dxa"/>
            <w:vAlign w:val="center"/>
          </w:tcPr>
          <w:p w14:paraId="01309F12">
            <w:pPr>
              <w:snapToGrid w:val="0"/>
              <w:ind w:left="0" w:leftChars="0" w:right="0" w:righ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自来水水费</w:t>
            </w:r>
          </w:p>
        </w:tc>
        <w:tc>
          <w:tcPr>
            <w:tcW w:w="1155" w:type="dxa"/>
            <w:vAlign w:val="center"/>
          </w:tcPr>
          <w:p w14:paraId="50817AD3">
            <w:pPr>
              <w:snapToGrid w:val="0"/>
              <w:ind w:left="0" w:leftChars="0" w:right="0" w:righ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政府定价的经营服务性收费</w:t>
            </w:r>
          </w:p>
        </w:tc>
        <w:tc>
          <w:tcPr>
            <w:tcW w:w="1035" w:type="dxa"/>
            <w:vAlign w:val="center"/>
          </w:tcPr>
          <w:p w14:paraId="55F4BE18">
            <w:pPr>
              <w:snapToGrid w:val="0"/>
              <w:ind w:left="0" w:leftChars="0" w:right="0" w:righ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自来水供应水费</w:t>
            </w:r>
          </w:p>
        </w:tc>
        <w:tc>
          <w:tcPr>
            <w:tcW w:w="2115" w:type="dxa"/>
            <w:vAlign w:val="center"/>
          </w:tcPr>
          <w:p w14:paraId="3C59098B">
            <w:pPr>
              <w:snapToGrid w:val="0"/>
              <w:ind w:left="0" w:leftChars="0" w:right="0" w:rightChars="0" w:firstLine="0" w:firstLineChars="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居民生活用水：1.50元/立方米；行政事业性用水：1.60元/立方米；经营服务业与工业用水：2.20元/立方米；特种行业用水：5.00元/立方米</w:t>
            </w:r>
          </w:p>
        </w:tc>
        <w:tc>
          <w:tcPr>
            <w:tcW w:w="1065" w:type="dxa"/>
            <w:vAlign w:val="center"/>
          </w:tcPr>
          <w:p w14:paraId="2DC67A02">
            <w:pPr>
              <w:snapToGrid w:val="0"/>
              <w:ind w:left="0" w:leftChars="0" w:right="0" w:righ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政府制定（嵩明县发展改革和商务局）</w:t>
            </w:r>
          </w:p>
        </w:tc>
        <w:tc>
          <w:tcPr>
            <w:tcW w:w="975" w:type="dxa"/>
            <w:vAlign w:val="center"/>
          </w:tcPr>
          <w:p w14:paraId="5D196EAB">
            <w:pPr>
              <w:snapToGrid w:val="0"/>
              <w:ind w:left="0" w:leftChars="0" w:right="0" w:rightChars="0" w:firstLine="0" w:firstLineChars="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《关于调整第二自来水厂供水价格的通知》</w:t>
            </w:r>
            <w:r>
              <w:rPr>
                <w:rFonts w:hint="eastAsia" w:ascii="仿宋_GB2312" w:hAnsi="仿宋_GB2312" w:eastAsia="仿宋_GB2312" w:cs="仿宋_GB2312"/>
                <w:sz w:val="24"/>
                <w:szCs w:val="24"/>
                <w:vertAlign w:val="baseline"/>
                <w:lang w:val="en-US" w:eastAsia="zh-CN"/>
              </w:rPr>
              <w:t>嵩发改通【2010】16号</w:t>
            </w:r>
          </w:p>
        </w:tc>
        <w:tc>
          <w:tcPr>
            <w:tcW w:w="1179" w:type="dxa"/>
            <w:vAlign w:val="center"/>
          </w:tcPr>
          <w:p w14:paraId="14DE5C46">
            <w:pPr>
              <w:snapToGrid w:val="0"/>
              <w:ind w:left="0" w:leftChars="0" w:right="0" w:rightChars="0" w:firstLine="0" w:firstLineChars="0"/>
              <w:jc w:val="center"/>
              <w:rPr>
                <w:rFonts w:hint="eastAsia" w:ascii="仿宋_GB2312" w:hAnsi="仿宋_GB2312" w:eastAsia="仿宋_GB2312" w:cs="仿宋_GB2312"/>
                <w:sz w:val="24"/>
                <w:szCs w:val="24"/>
                <w:vertAlign w:val="baseline"/>
                <w:lang w:val="en-US" w:eastAsia="zh-CN"/>
              </w:rPr>
            </w:pPr>
          </w:p>
        </w:tc>
      </w:tr>
    </w:tbl>
    <w:p w14:paraId="07F31CD3">
      <w:pPr>
        <w:rPr>
          <w:rFonts w:hint="default"/>
          <w:lang w:val="en-US" w:eastAsia="zh-CN"/>
        </w:rPr>
      </w:pPr>
      <w:bookmarkStart w:id="0" w:name="_GoBack"/>
      <w:bookmarkEnd w:id="0"/>
    </w:p>
    <w:sectPr>
      <w:footerReference r:id="rId3" w:type="default"/>
      <w:pgSz w:w="16838" w:h="11906" w:orient="landscape"/>
      <w:pgMar w:top="1587" w:right="2098" w:bottom="1474" w:left="1984" w:header="851" w:footer="1417" w:gutter="0"/>
      <w:pgNumType w:fmt="decimal"/>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A3DE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9541BCE">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9541BCE">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hNjNjM2M0MTdhZjA2ZWZmNTcxNjljYTcxNzlhZGEifQ=="/>
  </w:docVars>
  <w:rsids>
    <w:rsidRoot w:val="4D256F25"/>
    <w:rsid w:val="06266BAB"/>
    <w:rsid w:val="0E5B66B9"/>
    <w:rsid w:val="34A0001F"/>
    <w:rsid w:val="4AC60A55"/>
    <w:rsid w:val="4D256F25"/>
    <w:rsid w:val="5D3F71B2"/>
    <w:rsid w:val="61150EA7"/>
    <w:rsid w:val="71275F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78"/>
      <w:szCs w:val="78"/>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4945;&#24314;&#25104;\Desktop\&#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Template>
  <Pages>4</Pages>
  <Words>1316</Words>
  <Characters>1392</Characters>
  <Lines>0</Lines>
  <Paragraphs>0</Paragraphs>
  <TotalTime>14</TotalTime>
  <ScaleCrop>false</ScaleCrop>
  <LinksUpToDate>false</LinksUpToDate>
  <CharactersWithSpaces>1606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2025-10-14T05:54:00Z</dcterms:created>
  <dc:creator>颖SL</dc:creator>
  <cp:lastModifiedBy>金浩</cp:lastModifiedBy>
  <dcterms:modified xsi:type="dcterms:W3CDTF">2025-12-26T08:31:41Z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93AAD72080684C36B9057C8397C5DEEF_13</vt:lpwstr>
  </property>
  <property fmtid="{D5CDD505-2E9C-101B-9397-08002B2CF9AE}" pid="4" name="KSOTemplateDocerSaveRecord">
    <vt:lpwstr>eyJoZGlkIjoiOWZjNGVlNmYxZjIzNjVmYmU1OTE4OGQ5N2VlMWM1YWQiLCJ1c2VySWQiOiIxNTE5NzU3MzcwIn0=</vt:lpwstr>
  </property>
</Properties>
</file>