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B6962">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p>
    <w:p w14:paraId="7B83D741">
      <w:pPr>
        <w:jc w:val="center"/>
        <w:rPr>
          <w:rFonts w:hint="eastAsia" w:ascii="方正小标宋简体" w:hAnsi="方正小标宋简体" w:eastAsia="方正小标宋简体" w:cs="方正小标宋简体"/>
          <w:sz w:val="44"/>
          <w:szCs w:val="44"/>
          <w:vertAlign w:val="baseline"/>
          <w:lang w:val="en-US" w:eastAsia="zh-CN"/>
        </w:rPr>
      </w:pPr>
      <w:bookmarkStart w:id="0" w:name="OLE_LINK1"/>
      <w:r>
        <w:rPr>
          <w:rFonts w:hint="eastAsia" w:ascii="方正小标宋简体" w:hAnsi="方正小标宋简体" w:eastAsia="方正小标宋简体" w:cs="方正小标宋简体"/>
          <w:sz w:val="44"/>
          <w:szCs w:val="44"/>
          <w:lang w:val="en-US" w:eastAsia="zh-CN"/>
        </w:rPr>
        <w:t>政府部门及下属单位综合性涉企收费目录清单</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973"/>
        <w:gridCol w:w="1473"/>
        <w:gridCol w:w="1050"/>
        <w:gridCol w:w="1300"/>
        <w:gridCol w:w="1250"/>
        <w:gridCol w:w="1046"/>
        <w:gridCol w:w="2310"/>
        <w:gridCol w:w="1794"/>
        <w:gridCol w:w="2362"/>
        <w:gridCol w:w="697"/>
      </w:tblGrid>
      <w:tr w14:paraId="1CAA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blHeader/>
        </w:trPr>
        <w:tc>
          <w:tcPr>
            <w:tcW w:w="188" w:type="pct"/>
            <w:vAlign w:val="center"/>
          </w:tcPr>
          <w:p w14:paraId="21A1ADA7">
            <w:pPr>
              <w:jc w:val="center"/>
              <w:rPr>
                <w:rFonts w:hint="eastAsia" w:ascii="黑体" w:hAnsi="黑体" w:eastAsia="黑体" w:cs="黑体"/>
                <w:sz w:val="36"/>
                <w:szCs w:val="24"/>
                <w:lang w:val="en-US" w:eastAsia="zh-CN"/>
              </w:rPr>
            </w:pPr>
            <w:r>
              <w:rPr>
                <w:rFonts w:hint="eastAsia" w:ascii="黑体" w:hAnsi="黑体" w:eastAsia="黑体" w:cs="黑体"/>
                <w:sz w:val="36"/>
                <w:szCs w:val="24"/>
                <w:lang w:val="en-US" w:eastAsia="zh-CN"/>
              </w:rPr>
              <w:t>序</w:t>
            </w:r>
          </w:p>
          <w:p w14:paraId="64E2F332">
            <w:pPr>
              <w:jc w:val="center"/>
              <w:rPr>
                <w:rFonts w:hint="default"/>
                <w:vertAlign w:val="baseline"/>
                <w:lang w:val="en-US" w:eastAsia="zh-CN"/>
              </w:rPr>
            </w:pPr>
            <w:r>
              <w:rPr>
                <w:rFonts w:hint="eastAsia" w:ascii="黑体" w:hAnsi="黑体" w:eastAsia="黑体" w:cs="黑体"/>
                <w:sz w:val="36"/>
                <w:szCs w:val="24"/>
                <w:lang w:val="en-US" w:eastAsia="zh-CN"/>
              </w:rPr>
              <w:t>号</w:t>
            </w:r>
          </w:p>
        </w:tc>
        <w:tc>
          <w:tcPr>
            <w:tcW w:w="328" w:type="pct"/>
            <w:vAlign w:val="center"/>
          </w:tcPr>
          <w:p w14:paraId="28B3DB9A">
            <w:pPr>
              <w:jc w:val="center"/>
              <w:rPr>
                <w:rFonts w:hint="default"/>
                <w:vertAlign w:val="baseline"/>
                <w:lang w:val="en-US" w:eastAsia="zh-CN"/>
              </w:rPr>
            </w:pPr>
            <w:r>
              <w:rPr>
                <w:rFonts w:hint="eastAsia" w:ascii="黑体" w:hAnsi="黑体" w:eastAsia="黑体" w:cs="黑体"/>
                <w:sz w:val="36"/>
                <w:szCs w:val="24"/>
                <w:lang w:val="en-US" w:eastAsia="zh-CN"/>
              </w:rPr>
              <w:t>部门名称</w:t>
            </w:r>
          </w:p>
        </w:tc>
        <w:tc>
          <w:tcPr>
            <w:tcW w:w="497" w:type="pct"/>
            <w:vAlign w:val="center"/>
          </w:tcPr>
          <w:p w14:paraId="6BD477A3">
            <w:pPr>
              <w:jc w:val="center"/>
              <w:rPr>
                <w:rFonts w:hint="default"/>
                <w:vertAlign w:val="baseline"/>
                <w:lang w:val="en-US" w:eastAsia="zh-CN"/>
              </w:rPr>
            </w:pPr>
            <w:r>
              <w:rPr>
                <w:rFonts w:hint="eastAsia" w:ascii="黑体" w:hAnsi="黑体" w:eastAsia="黑体" w:cs="黑体"/>
                <w:sz w:val="36"/>
                <w:szCs w:val="24"/>
                <w:lang w:val="en-US" w:eastAsia="zh-CN"/>
              </w:rPr>
              <w:t>收费单位名称</w:t>
            </w:r>
          </w:p>
        </w:tc>
        <w:tc>
          <w:tcPr>
            <w:tcW w:w="354" w:type="pct"/>
            <w:vAlign w:val="center"/>
          </w:tcPr>
          <w:p w14:paraId="0EBCFC00">
            <w:pPr>
              <w:jc w:val="center"/>
              <w:rPr>
                <w:rFonts w:hint="default"/>
                <w:vertAlign w:val="baseline"/>
                <w:lang w:val="en-US" w:eastAsia="zh-CN"/>
              </w:rPr>
            </w:pPr>
            <w:r>
              <w:rPr>
                <w:rFonts w:hint="eastAsia" w:ascii="黑体" w:hAnsi="黑体" w:eastAsia="黑体" w:cs="黑体"/>
                <w:sz w:val="36"/>
                <w:szCs w:val="24"/>
                <w:lang w:val="en-US" w:eastAsia="zh-CN"/>
              </w:rPr>
              <w:t>单位性质</w:t>
            </w:r>
          </w:p>
        </w:tc>
        <w:tc>
          <w:tcPr>
            <w:tcW w:w="438" w:type="pct"/>
            <w:vAlign w:val="center"/>
          </w:tcPr>
          <w:p w14:paraId="4B271512">
            <w:pPr>
              <w:jc w:val="center"/>
              <w:rPr>
                <w:rFonts w:hint="default"/>
                <w:vertAlign w:val="baseline"/>
                <w:lang w:val="en-US" w:eastAsia="zh-CN"/>
              </w:rPr>
            </w:pPr>
            <w:r>
              <w:rPr>
                <w:rFonts w:hint="eastAsia" w:ascii="黑体" w:hAnsi="黑体" w:eastAsia="黑体" w:cs="黑体"/>
                <w:sz w:val="36"/>
                <w:szCs w:val="24"/>
                <w:lang w:val="en-US" w:eastAsia="zh-CN"/>
              </w:rPr>
              <w:t>收费项目</w:t>
            </w:r>
          </w:p>
        </w:tc>
        <w:tc>
          <w:tcPr>
            <w:tcW w:w="421" w:type="pct"/>
            <w:vAlign w:val="center"/>
          </w:tcPr>
          <w:p w14:paraId="5842477A">
            <w:pPr>
              <w:jc w:val="center"/>
              <w:rPr>
                <w:rFonts w:hint="default"/>
                <w:vertAlign w:val="baseline"/>
                <w:lang w:val="en-US" w:eastAsia="zh-CN"/>
              </w:rPr>
            </w:pPr>
            <w:r>
              <w:rPr>
                <w:rFonts w:hint="eastAsia" w:ascii="黑体" w:hAnsi="黑体" w:eastAsia="黑体" w:cs="黑体"/>
                <w:sz w:val="36"/>
                <w:szCs w:val="24"/>
                <w:lang w:val="en-US" w:eastAsia="zh-CN"/>
              </w:rPr>
              <w:t>收费性质</w:t>
            </w:r>
          </w:p>
        </w:tc>
        <w:tc>
          <w:tcPr>
            <w:tcW w:w="353" w:type="pct"/>
            <w:vAlign w:val="center"/>
          </w:tcPr>
          <w:p w14:paraId="1062C674">
            <w:pPr>
              <w:jc w:val="center"/>
              <w:rPr>
                <w:rFonts w:hint="default"/>
                <w:vertAlign w:val="baseline"/>
                <w:lang w:val="en-US" w:eastAsia="zh-CN"/>
              </w:rPr>
            </w:pPr>
            <w:r>
              <w:rPr>
                <w:rFonts w:hint="eastAsia" w:ascii="黑体" w:hAnsi="黑体" w:eastAsia="黑体" w:cs="黑体"/>
                <w:sz w:val="36"/>
                <w:szCs w:val="24"/>
                <w:lang w:val="en-US" w:eastAsia="zh-CN"/>
              </w:rPr>
              <w:t>服务内容或涉及事项</w:t>
            </w:r>
          </w:p>
        </w:tc>
        <w:tc>
          <w:tcPr>
            <w:tcW w:w="779" w:type="pct"/>
            <w:vAlign w:val="center"/>
          </w:tcPr>
          <w:p w14:paraId="0A1E8972">
            <w:pPr>
              <w:jc w:val="center"/>
              <w:rPr>
                <w:rFonts w:hint="default"/>
                <w:vertAlign w:val="baseline"/>
                <w:lang w:val="en-US" w:eastAsia="zh-CN"/>
              </w:rPr>
            </w:pPr>
            <w:r>
              <w:rPr>
                <w:rFonts w:hint="eastAsia" w:ascii="黑体" w:hAnsi="黑体" w:eastAsia="黑体" w:cs="黑体"/>
                <w:sz w:val="36"/>
                <w:szCs w:val="24"/>
                <w:lang w:val="en-US" w:eastAsia="zh-CN"/>
              </w:rPr>
              <w:t>收费标准</w:t>
            </w:r>
          </w:p>
        </w:tc>
        <w:tc>
          <w:tcPr>
            <w:tcW w:w="605" w:type="pct"/>
            <w:vAlign w:val="center"/>
          </w:tcPr>
          <w:p w14:paraId="55ABEF28">
            <w:pPr>
              <w:jc w:val="center"/>
              <w:rPr>
                <w:rFonts w:hint="default"/>
                <w:vertAlign w:val="baseline"/>
                <w:lang w:val="en-US" w:eastAsia="zh-CN"/>
              </w:rPr>
            </w:pPr>
            <w:r>
              <w:rPr>
                <w:rFonts w:hint="eastAsia" w:ascii="黑体" w:hAnsi="黑体" w:eastAsia="黑体" w:cs="黑体"/>
                <w:sz w:val="36"/>
                <w:szCs w:val="24"/>
                <w:lang w:val="en-US" w:eastAsia="zh-CN"/>
              </w:rPr>
              <w:t>标准制定方式及部门</w:t>
            </w:r>
          </w:p>
        </w:tc>
        <w:tc>
          <w:tcPr>
            <w:tcW w:w="797" w:type="pct"/>
            <w:vAlign w:val="center"/>
          </w:tcPr>
          <w:p w14:paraId="4351D464">
            <w:pPr>
              <w:jc w:val="center"/>
              <w:rPr>
                <w:rFonts w:hint="default"/>
                <w:vertAlign w:val="baseline"/>
                <w:lang w:val="en-US" w:eastAsia="zh-CN"/>
              </w:rPr>
            </w:pPr>
            <w:r>
              <w:rPr>
                <w:rFonts w:hint="eastAsia" w:ascii="黑体" w:hAnsi="黑体" w:eastAsia="黑体" w:cs="黑体"/>
                <w:sz w:val="36"/>
                <w:szCs w:val="24"/>
                <w:lang w:val="en-US" w:eastAsia="zh-CN"/>
              </w:rPr>
              <w:t>政策依据</w:t>
            </w:r>
          </w:p>
        </w:tc>
        <w:tc>
          <w:tcPr>
            <w:tcW w:w="235" w:type="pct"/>
            <w:vAlign w:val="center"/>
          </w:tcPr>
          <w:p w14:paraId="36B9A8F9">
            <w:pPr>
              <w:jc w:val="center"/>
              <w:rPr>
                <w:rFonts w:hint="default" w:ascii="黑体" w:hAnsi="黑体" w:eastAsia="黑体" w:cs="黑体"/>
                <w:sz w:val="36"/>
                <w:szCs w:val="24"/>
                <w:lang w:val="en-US" w:eastAsia="zh-CN"/>
              </w:rPr>
            </w:pPr>
            <w:r>
              <w:rPr>
                <w:rFonts w:hint="eastAsia" w:ascii="黑体" w:hAnsi="黑体" w:eastAsia="黑体" w:cs="黑体"/>
                <w:sz w:val="36"/>
                <w:szCs w:val="24"/>
                <w:lang w:val="en-US" w:eastAsia="zh-CN"/>
              </w:rPr>
              <w:t>备注</w:t>
            </w:r>
          </w:p>
        </w:tc>
      </w:tr>
      <w:tr w14:paraId="7A0F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7746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19</w:t>
            </w:r>
          </w:p>
        </w:tc>
        <w:tc>
          <w:tcPr>
            <w:tcW w:w="0" w:type="auto"/>
            <w:shd w:val="clear" w:color="auto" w:fill="auto"/>
            <w:vAlign w:val="center"/>
          </w:tcPr>
          <w:p w14:paraId="2FC635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嵩明县综合行政执法局</w:t>
            </w:r>
          </w:p>
        </w:tc>
        <w:tc>
          <w:tcPr>
            <w:tcW w:w="0" w:type="auto"/>
            <w:shd w:val="clear" w:color="auto" w:fill="auto"/>
            <w:vAlign w:val="center"/>
          </w:tcPr>
          <w:p w14:paraId="068D6A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本级</w:t>
            </w:r>
          </w:p>
        </w:tc>
        <w:tc>
          <w:tcPr>
            <w:tcW w:w="0" w:type="auto"/>
            <w:shd w:val="clear" w:color="auto" w:fill="auto"/>
            <w:vAlign w:val="center"/>
          </w:tcPr>
          <w:p w14:paraId="260C6E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政府部门</w:t>
            </w:r>
          </w:p>
        </w:tc>
        <w:tc>
          <w:tcPr>
            <w:tcW w:w="0" w:type="auto"/>
            <w:shd w:val="clear" w:color="auto" w:fill="auto"/>
            <w:vAlign w:val="center"/>
          </w:tcPr>
          <w:p w14:paraId="0CC97A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城市道路占用挖掘修复费</w:t>
            </w:r>
          </w:p>
        </w:tc>
        <w:tc>
          <w:tcPr>
            <w:tcW w:w="0" w:type="auto"/>
            <w:shd w:val="clear" w:color="auto" w:fill="auto"/>
            <w:vAlign w:val="center"/>
          </w:tcPr>
          <w:p w14:paraId="2EC548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行政事业性收费</w:t>
            </w:r>
          </w:p>
        </w:tc>
        <w:tc>
          <w:tcPr>
            <w:tcW w:w="353" w:type="pct"/>
            <w:shd w:val="clear" w:color="auto" w:fill="auto"/>
            <w:vAlign w:val="center"/>
          </w:tcPr>
          <w:p w14:paraId="2BF669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因建设施工、商业经营等占用城市道路的审批及管理</w:t>
            </w:r>
          </w:p>
        </w:tc>
        <w:tc>
          <w:tcPr>
            <w:tcW w:w="779" w:type="pct"/>
            <w:shd w:val="clear" w:color="auto" w:fill="auto"/>
            <w:vAlign w:val="center"/>
          </w:tcPr>
          <w:p w14:paraId="73FCE25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一、建筑施工临时占道:1.主干道0.50元，人行道0.40元，空地路肩0.30元；2.次干道车行道0.40元，人行道0.30元，空地路肩0.20元；3.一级道路各级风景名胜区道路车行道0.50元，人行道0.40元，空地路肩0.30元，其他道路车行道0.30元，人行道0.20元，空地路肩0.10元。</w:t>
            </w:r>
          </w:p>
          <w:p w14:paraId="49A495C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二、经营性占道：1.主干道空地路肩0.60元，2.次干道车行道0.80元，人行道0.60元，空地路肩0.40元；一级道路各级风景名胜区道路车行道1.00元，人行道0.80元，空地路肩0.60元；其他道路车行道0.60元，人行道0.40，元空地路肩0.20元。</w:t>
            </w:r>
          </w:p>
          <w:p w14:paraId="7619CC5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三、经营性临街雨棚占道：1.主干道：按展开面积每平方米每年40元；2.次干道按展开面积每平方米每年30元。3.一级道路各级风景名胜区景区道路按展开面积每平方米每年20元，其他道路展开面积每平方米每年10元。</w:t>
            </w:r>
          </w:p>
          <w:p w14:paraId="022904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四、车辆临时停放占道：机动车车行道0.70元，空地路肩0.30元；非机动车人行道0.40元，空地路肩0.20元。</w:t>
            </w:r>
          </w:p>
          <w:p w14:paraId="5817B5B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五、直接设置在城市道路的广告牌、霓虹灯设施，按立面面积每平方米每年300元。</w:t>
            </w:r>
          </w:p>
          <w:p w14:paraId="27AFC81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六、新开车辆通道口每平方米每日0.50元，按三年一次性收费。（注：以上除已注明计算单位以外的其余几类收费均以元/每天每平方米为计算单位）</w:t>
            </w:r>
          </w:p>
          <w:p w14:paraId="26EC6A7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七、车行道： 1.沥青路面主干道每平方米165元，次干道每平方米140元，支路、街坊路每平方米105元；2.砼路面主干道每平方米118元，次干道每平方米110元，支路街坊路每平方米98元。3.其他路面每平方米58元，4.平、侧石每米30元。</w:t>
            </w:r>
          </w:p>
          <w:p w14:paraId="5514FA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八、人行道：1.砼铺装每平方米68元；2.料石铺装每平方米57元；3.预制块①彩色每平方米78元②素色每平方米70元；4.铺装残缺每平方米48元。</w:t>
            </w:r>
          </w:p>
          <w:p w14:paraId="0DD0AE8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九、路肩空地：无铺装1.主干道12元每平方米2.次干道每平方米8元每平方米3.支路街坊路每平方米5元。</w:t>
            </w:r>
          </w:p>
          <w:p w14:paraId="3EE273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云南省物价厅云南省财政厅关于降低部分行政事业性收费标准及有关问题的通知：自2018年12月31日城市道路占用费、城市道路挖掘修复等9项行政事业性收费项目的收费标准降低30%。</w:t>
            </w:r>
          </w:p>
        </w:tc>
        <w:tc>
          <w:tcPr>
            <w:tcW w:w="605" w:type="pct"/>
            <w:shd w:val="clear" w:color="auto" w:fill="auto"/>
            <w:vAlign w:val="center"/>
          </w:tcPr>
          <w:p w14:paraId="478AAF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政府制定</w:t>
            </w:r>
            <w:bookmarkStart w:id="1" w:name="_GoBack"/>
            <w:bookmarkEnd w:id="1"/>
            <w:r>
              <w:rPr>
                <w:rFonts w:hint="default" w:ascii="Times New Roman" w:hAnsi="Times New Roman" w:cs="Times New Roman"/>
                <w:sz w:val="18"/>
                <w:szCs w:val="18"/>
                <w:vertAlign w:val="baseline"/>
                <w:lang w:val="en-US" w:eastAsia="zh-CN"/>
              </w:rPr>
              <w:t>、省财政厅</w:t>
            </w:r>
            <w:r>
              <w:rPr>
                <w:rFonts w:hint="eastAsia" w:cs="Times New Roman"/>
                <w:sz w:val="18"/>
                <w:szCs w:val="18"/>
                <w:vertAlign w:val="baseline"/>
                <w:lang w:val="en-US" w:eastAsia="zh-CN"/>
              </w:rPr>
              <w:t>、省物价局</w:t>
            </w:r>
          </w:p>
        </w:tc>
        <w:tc>
          <w:tcPr>
            <w:tcW w:w="797" w:type="pct"/>
            <w:shd w:val="clear" w:color="auto" w:fill="auto"/>
            <w:vAlign w:val="center"/>
          </w:tcPr>
          <w:p w14:paraId="659480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省财政厅关于云南省城市道路占用收费标准的通知》云价房发（1996）248号、《省财政厅关于云南省城市道路挖掘修复收费标准的通知》云价房发（1999）232号、云南省物价局云南省财政厅文件云价收费（2017）8号</w:t>
            </w:r>
          </w:p>
        </w:tc>
        <w:tc>
          <w:tcPr>
            <w:tcW w:w="235" w:type="pct"/>
            <w:vAlign w:val="center"/>
          </w:tcPr>
          <w:p w14:paraId="611D57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18"/>
                <w:szCs w:val="18"/>
                <w:vertAlign w:val="baseline"/>
                <w:lang w:val="en-US" w:eastAsia="zh-CN"/>
              </w:rPr>
            </w:pPr>
          </w:p>
        </w:tc>
      </w:tr>
      <w:bookmarkEnd w:id="0"/>
    </w:tbl>
    <w:p w14:paraId="6542996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sz w:val="15"/>
          <w:szCs w:val="15"/>
          <w:vertAlign w:val="baseline"/>
          <w:lang w:val="en-US" w:eastAsia="zh-CN"/>
        </w:rPr>
      </w:pPr>
    </w:p>
    <w:sectPr>
      <w:footerReference r:id="rId3" w:type="default"/>
      <w:pgSz w:w="16838" w:h="11906" w:orient="landscape"/>
      <w:pgMar w:top="1440" w:right="1080" w:bottom="1440" w:left="1080" w:header="851" w:footer="1417"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3D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541BCE">
                          <w:pPr>
                            <w:pStyle w:val="2"/>
                            <w:keepNext w:val="0"/>
                            <w:keepLines w:val="0"/>
                            <w:pageBreakBefore w:val="0"/>
                            <w:widowControl w:val="0"/>
                            <w:kinsoku/>
                            <w:wordWrap/>
                            <w:overflowPunct/>
                            <w:topLinePunct w:val="0"/>
                            <w:autoSpaceDE/>
                            <w:autoSpaceDN/>
                            <w:bidi w:val="0"/>
                            <w:adjustRightInd/>
                            <w:snapToGrid w:val="0"/>
                            <w:ind w:left="160" w:leftChars="100" w:right="16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541BCE">
                    <w:pPr>
                      <w:pStyle w:val="2"/>
                      <w:keepNext w:val="0"/>
                      <w:keepLines w:val="0"/>
                      <w:pageBreakBefore w:val="0"/>
                      <w:widowControl w:val="0"/>
                      <w:kinsoku/>
                      <w:wordWrap/>
                      <w:overflowPunct/>
                      <w:topLinePunct w:val="0"/>
                      <w:autoSpaceDE/>
                      <w:autoSpaceDN/>
                      <w:bidi w:val="0"/>
                      <w:adjustRightInd/>
                      <w:snapToGrid w:val="0"/>
                      <w:ind w:left="160" w:leftChars="100" w:right="16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MWIzOGU1ODQ3N2E4ZmRiNmMxM2UxZTkxNWM3OTAifQ=="/>
  </w:docVars>
  <w:rsids>
    <w:rsidRoot w:val="4D256F25"/>
    <w:rsid w:val="00BA0E49"/>
    <w:rsid w:val="027E7935"/>
    <w:rsid w:val="03EC63FF"/>
    <w:rsid w:val="0CF705D6"/>
    <w:rsid w:val="2A4A0268"/>
    <w:rsid w:val="356E5B3C"/>
    <w:rsid w:val="35E164DD"/>
    <w:rsid w:val="45EC42C8"/>
    <w:rsid w:val="4D256F25"/>
    <w:rsid w:val="5A8C3F19"/>
    <w:rsid w:val="5B0D2503"/>
    <w:rsid w:val="5D1276BE"/>
    <w:rsid w:val="5D9C26B0"/>
    <w:rsid w:val="61150EA7"/>
    <w:rsid w:val="61DF6673"/>
    <w:rsid w:val="66C44A5F"/>
    <w:rsid w:val="672826CC"/>
    <w:rsid w:val="6E863A3C"/>
    <w:rsid w:val="6EED4325"/>
    <w:rsid w:val="709B5B4C"/>
    <w:rsid w:val="722C278B"/>
    <w:rsid w:val="746271C2"/>
    <w:rsid w:val="74B56068"/>
    <w:rsid w:val="75D70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56"/>
      <w:position w:val="6"/>
      <w:sz w:val="16"/>
      <w:szCs w:val="16"/>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945;&#24314;&#25104;\Desktop\&#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Template>
  <Pages>4</Pages>
  <Words>980</Words>
  <Characters>1127</Characters>
  <Lines>0</Lines>
  <Paragraphs>0</Paragraphs>
  <TotalTime>16</TotalTime>
  <ScaleCrop>false</ScaleCrop>
  <LinksUpToDate>false</LinksUpToDate>
  <CharactersWithSpaces>1128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2025-10-14T05:54:00Z</dcterms:created>
  <dc:creator>颖SL</dc:creator>
  <cp:lastModifiedBy>杨茜</cp:lastModifiedBy>
  <dcterms:modified xsi:type="dcterms:W3CDTF">2025-12-30T03:35:33Z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146225ED0ADB47ACA0F963240D68A603_13</vt:lpwstr>
  </property>
  <property fmtid="{D5CDD505-2E9C-101B-9397-08002B2CF9AE}" pid="4" name="KSOTemplateDocerSaveRecord">
    <vt:lpwstr>eyJoZGlkIjoiZDVlNDRmNGQwMDJlZTE0NTlhMDQ1YzFjOTVkNjA1MDEiLCJ1c2VySWQiOiIxNTU2NjAwMjg1In0=</vt:lpwstr>
  </property>
</Properties>
</file>