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center"/>
        <w:textAlignment w:val="center"/>
        <w:rPr>
          <w:rFonts w:ascii="Times New Roman" w:hAnsi="Times New Roman" w:eastAsia="方正小标宋_GBK"/>
          <w:color w:val="000000"/>
          <w:kern w:val="0"/>
          <w:sz w:val="40"/>
          <w:szCs w:val="40"/>
        </w:rPr>
      </w:pPr>
      <w:bookmarkStart w:id="0" w:name="_GoBack"/>
      <w:r>
        <w:rPr>
          <w:rFonts w:hint="eastAsia" w:ascii="Times New Roman" w:hAnsi="Times New Roman" w:eastAsia="方正小标宋_GBK"/>
          <w:color w:val="000000"/>
          <w:kern w:val="0"/>
          <w:sz w:val="40"/>
          <w:szCs w:val="40"/>
        </w:rPr>
        <w:t>嵩明县</w:t>
      </w:r>
      <w:r>
        <w:rPr>
          <w:rFonts w:ascii="Times New Roman" w:hAnsi="Times New Roman" w:eastAsia="方正小标宋_GBK"/>
          <w:color w:val="000000"/>
          <w:kern w:val="0"/>
          <w:sz w:val="40"/>
          <w:szCs w:val="40"/>
        </w:rPr>
        <w:t>公安机关行政许可事项清单（202</w:t>
      </w:r>
      <w:r>
        <w:rPr>
          <w:rFonts w:hint="eastAsia" w:ascii="Times New Roman" w:hAnsi="Times New Roman" w:eastAsia="方正小标宋_GBK"/>
          <w:color w:val="000000"/>
          <w:kern w:val="0"/>
          <w:sz w:val="40"/>
          <w:szCs w:val="40"/>
        </w:rPr>
        <w:t>5</w:t>
      </w:r>
      <w:r>
        <w:rPr>
          <w:rFonts w:ascii="Times New Roman" w:hAnsi="Times New Roman" w:eastAsia="方正小标宋_GBK"/>
          <w:color w:val="000000"/>
          <w:kern w:val="0"/>
          <w:sz w:val="40"/>
          <w:szCs w:val="40"/>
        </w:rPr>
        <w:t>年版）</w:t>
      </w:r>
    </w:p>
    <w:bookmarkEnd w:id="0"/>
    <w:p>
      <w:pPr>
        <w:pStyle w:val="5"/>
        <w:spacing w:line="300" w:lineRule="exact"/>
        <w:rPr>
          <w:rFonts w:ascii="Times New Roman" w:hAnsi="Times New Roman" w:eastAsia="方正小标宋_GBK"/>
          <w:color w:val="000000"/>
          <w:kern w:val="0"/>
          <w:sz w:val="40"/>
          <w:szCs w:val="40"/>
        </w:rPr>
      </w:pPr>
    </w:p>
    <w:p>
      <w:pPr>
        <w:rPr>
          <w:rFonts w:ascii="Times New Roman" w:hAnsi="Times New Roman"/>
          <w:color w:val="000000"/>
        </w:rPr>
      </w:pPr>
      <w:r>
        <w:rPr>
          <w:rFonts w:ascii="Times New Roman" w:hAnsi="Times New Roman" w:eastAsia="黑体"/>
          <w:color w:val="000000"/>
          <w:kern w:val="0"/>
          <w:sz w:val="28"/>
          <w:szCs w:val="28"/>
        </w:rPr>
        <w:t>一、承接法律、行政法规、国务院决定设定的在云南省实施的行政许可事项（共</w:t>
      </w:r>
      <w:r>
        <w:rPr>
          <w:rFonts w:hint="eastAsia" w:ascii="Times New Roman" w:hAnsi="Times New Roman" w:eastAsia="黑体"/>
          <w:color w:val="000000"/>
          <w:kern w:val="0"/>
          <w:sz w:val="28"/>
          <w:szCs w:val="28"/>
        </w:rPr>
        <w:t>30</w:t>
      </w:r>
      <w:r>
        <w:rPr>
          <w:rFonts w:ascii="Times New Roman" w:hAnsi="Times New Roman" w:eastAsia="黑体"/>
          <w:color w:val="000000"/>
          <w:kern w:val="0"/>
          <w:sz w:val="28"/>
          <w:szCs w:val="28"/>
        </w:rPr>
        <w:t>项）</w:t>
      </w:r>
    </w:p>
    <w:tbl>
      <w:tblPr>
        <w:tblStyle w:val="4"/>
        <w:tblW w:w="14527" w:type="dxa"/>
        <w:tblInd w:w="0" w:type="dxa"/>
        <w:tblLayout w:type="fixed"/>
        <w:tblCellMar>
          <w:top w:w="28" w:type="dxa"/>
          <w:left w:w="28" w:type="dxa"/>
          <w:bottom w:w="28" w:type="dxa"/>
          <w:right w:w="28" w:type="dxa"/>
        </w:tblCellMar>
      </w:tblPr>
      <w:tblGrid>
        <w:gridCol w:w="594"/>
        <w:gridCol w:w="1575"/>
        <w:gridCol w:w="2835"/>
        <w:gridCol w:w="3645"/>
        <w:gridCol w:w="5878"/>
      </w:tblGrid>
      <w:tr>
        <w:tblPrEx>
          <w:tblCellMar>
            <w:top w:w="28" w:type="dxa"/>
            <w:left w:w="28" w:type="dxa"/>
            <w:bottom w:w="28" w:type="dxa"/>
            <w:right w:w="28" w:type="dxa"/>
          </w:tblCellMar>
        </w:tblPrEx>
        <w:trPr>
          <w:cantSplit/>
          <w:trHeight w:val="487" w:hRule="atLeast"/>
          <w:tblHeader/>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序号</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主管单位</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事项名称</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实施机关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设定和实施依据</w:t>
            </w:r>
          </w:p>
        </w:tc>
      </w:tr>
      <w:tr>
        <w:tblPrEx>
          <w:tblCellMar>
            <w:top w:w="28" w:type="dxa"/>
            <w:left w:w="28" w:type="dxa"/>
            <w:bottom w:w="28" w:type="dxa"/>
            <w:right w:w="28" w:type="dxa"/>
          </w:tblCellMar>
        </w:tblPrEx>
        <w:trPr>
          <w:cantSplit/>
          <w:trHeight w:val="840"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民用枪支及枪支主要零部件、弹药配置许可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《中华人民共和国枪支管理法》</w:t>
            </w:r>
          </w:p>
        </w:tc>
      </w:tr>
      <w:tr>
        <w:tblPrEx>
          <w:tblCellMar>
            <w:top w:w="28" w:type="dxa"/>
            <w:left w:w="28" w:type="dxa"/>
            <w:bottom w:w="28" w:type="dxa"/>
            <w:right w:w="28" w:type="dxa"/>
          </w:tblCellMar>
        </w:tblPrEx>
        <w:trPr>
          <w:cantSplit/>
          <w:trHeight w:val="810"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举行集会游行示威许可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《中华人民共和国集会游行示威法》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《中华人民共和国集会游行示威法实施条例》</w:t>
            </w:r>
          </w:p>
        </w:tc>
      </w:tr>
      <w:tr>
        <w:tblPrEx>
          <w:tblCellMar>
            <w:top w:w="28" w:type="dxa"/>
            <w:left w:w="28" w:type="dxa"/>
            <w:bottom w:w="28" w:type="dxa"/>
            <w:right w:w="28" w:type="dxa"/>
          </w:tblCellMar>
        </w:tblPrEx>
        <w:trPr>
          <w:cantSplit/>
          <w:trHeight w:val="697"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3</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大型群众性活动安全许可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《中华人民共和国消防法》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《大型群众性活动安全管理条例》</w:t>
            </w:r>
          </w:p>
        </w:tc>
      </w:tr>
      <w:tr>
        <w:tblPrEx>
          <w:tblCellMar>
            <w:top w:w="28" w:type="dxa"/>
            <w:left w:w="28" w:type="dxa"/>
            <w:bottom w:w="28" w:type="dxa"/>
            <w:right w:w="28" w:type="dxa"/>
          </w:tblCellMar>
        </w:tblPrEx>
        <w:trPr>
          <w:cantSplit/>
          <w:trHeight w:val="1777"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4</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旅馆业特种行业许可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《旅馆业治安管理办法》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《国务院对确需保留的行政审批项目设定行政许可的决定》</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《公安部关于深化娱乐服务场所和特种行业治安管理改革进一步依法加强事中事后监管的工作意见》（公治〔2017〕529号）</w:t>
            </w:r>
          </w:p>
        </w:tc>
      </w:tr>
      <w:tr>
        <w:tblPrEx>
          <w:tblCellMar>
            <w:top w:w="28" w:type="dxa"/>
            <w:left w:w="28" w:type="dxa"/>
            <w:bottom w:w="28" w:type="dxa"/>
            <w:right w:w="28" w:type="dxa"/>
          </w:tblCellMar>
        </w:tblPrEx>
        <w:trPr>
          <w:cantSplit/>
          <w:trHeight w:val="1567"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5</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举办焰火晚会及其他大型焰</w:t>
            </w:r>
            <w:r>
              <w:rPr>
                <w:rFonts w:ascii="Times New Roman" w:hAnsi="Times New Roman" w:eastAsia="方正仿宋_GBK"/>
                <w:color w:val="000000"/>
                <w:spacing w:val="-23"/>
                <w:kern w:val="0"/>
                <w:sz w:val="24"/>
                <w:szCs w:val="24"/>
              </w:rPr>
              <w:t>火燃放活动许可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《烟花爆竹安全管理条例》</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《公安部办公厅关于贯彻执行〈大型焰火燃放作业人员资格条件及管理〉和〈大型焰火燃放作业单位资质条件及管理〉有关事项的通知》（公治〔2010〕592号）</w:t>
            </w:r>
          </w:p>
        </w:tc>
      </w:tr>
      <w:tr>
        <w:tblPrEx>
          <w:tblCellMar>
            <w:top w:w="28" w:type="dxa"/>
            <w:left w:w="28" w:type="dxa"/>
            <w:bottom w:w="28" w:type="dxa"/>
            <w:right w:w="28" w:type="dxa"/>
          </w:tblCellMar>
        </w:tblPrEx>
        <w:trPr>
          <w:cantSplit/>
          <w:trHeight w:val="1462"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6</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烟花爆竹道路运输许可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县级公安机关（运达地或者启运地）</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《烟花爆竹安全管理条例》</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《关于优化烟花爆竹道路运输许可审批进一步深化烟花爆竹“放管服”改革工作的通知》（公治安明发〔2019〕218号）</w:t>
            </w:r>
          </w:p>
        </w:tc>
      </w:tr>
      <w:tr>
        <w:tblPrEx>
          <w:tblCellMar>
            <w:top w:w="28" w:type="dxa"/>
            <w:left w:w="28" w:type="dxa"/>
            <w:bottom w:w="28" w:type="dxa"/>
            <w:right w:w="28" w:type="dxa"/>
          </w:tblCellMar>
        </w:tblPrEx>
        <w:trPr>
          <w:cantSplit/>
          <w:trHeight w:val="682"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7</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民用爆炸物品购买许可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《民用爆炸物品安全管理条例》</w:t>
            </w:r>
          </w:p>
        </w:tc>
      </w:tr>
      <w:tr>
        <w:tblPrEx>
          <w:tblCellMar>
            <w:top w:w="28" w:type="dxa"/>
            <w:left w:w="28" w:type="dxa"/>
            <w:bottom w:w="28" w:type="dxa"/>
            <w:right w:w="28" w:type="dxa"/>
          </w:tblCellMar>
        </w:tblPrEx>
        <w:trPr>
          <w:cantSplit/>
          <w:trHeight w:val="667"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8</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民用爆炸物品运输许可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县级公安机关（运达地）</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《民用爆炸物品安全管理条例》</w:t>
            </w:r>
          </w:p>
        </w:tc>
      </w:tr>
      <w:tr>
        <w:tblPrEx>
          <w:tblCellMar>
            <w:top w:w="28" w:type="dxa"/>
            <w:left w:w="28" w:type="dxa"/>
            <w:bottom w:w="28" w:type="dxa"/>
            <w:right w:w="28" w:type="dxa"/>
          </w:tblCellMar>
        </w:tblPrEx>
        <w:trPr>
          <w:cantSplit/>
          <w:trHeight w:val="652"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9</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剧毒化学品购买许可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《危险化学品安全管理条例》</w:t>
            </w:r>
          </w:p>
        </w:tc>
      </w:tr>
      <w:tr>
        <w:tblPrEx>
          <w:tblCellMar>
            <w:top w:w="28" w:type="dxa"/>
            <w:left w:w="28" w:type="dxa"/>
            <w:bottom w:w="28" w:type="dxa"/>
            <w:right w:w="28" w:type="dxa"/>
          </w:tblCellMar>
        </w:tblPrEx>
        <w:trPr>
          <w:cantSplit/>
          <w:trHeight w:val="914"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10</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jc w:val="lef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剧毒化学品道</w:t>
            </w:r>
            <w:r>
              <w:rPr>
                <w:rFonts w:ascii="Times New Roman" w:hAnsi="Times New Roman" w:eastAsia="方正仿宋_GBK"/>
                <w:color w:val="000000"/>
                <w:spacing w:val="-23"/>
                <w:kern w:val="0"/>
                <w:sz w:val="24"/>
                <w:szCs w:val="24"/>
              </w:rPr>
              <w:t>路运输通行许可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《危险化学品安全管理条例》</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《剧毒化学品购买和公路运输许可证件管理办法》</w:t>
            </w:r>
          </w:p>
        </w:tc>
      </w:tr>
      <w:tr>
        <w:tblPrEx>
          <w:tblCellMar>
            <w:top w:w="28" w:type="dxa"/>
            <w:left w:w="28" w:type="dxa"/>
            <w:bottom w:w="28" w:type="dxa"/>
            <w:right w:w="28" w:type="dxa"/>
          </w:tblCellMar>
        </w:tblPrEx>
        <w:trPr>
          <w:cantSplit/>
          <w:trHeight w:val="1191"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11</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放射性物品道路运输许可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《中华人民共和国核安全法》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《放射性物品运输安全管理条例》</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《云南省人民政府关于调整482项涉及省级行政权力事项的决定》（云政发〔2020〕16号）</w:t>
            </w:r>
          </w:p>
        </w:tc>
      </w:tr>
      <w:tr>
        <w:tblPrEx>
          <w:tblCellMar>
            <w:top w:w="28" w:type="dxa"/>
            <w:left w:w="28" w:type="dxa"/>
            <w:bottom w:w="28" w:type="dxa"/>
            <w:right w:w="28" w:type="dxa"/>
          </w:tblCellMar>
        </w:tblPrEx>
        <w:trPr>
          <w:cantSplit/>
          <w:trHeight w:val="1050"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12</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运输危险化学品的车辆进入危险化学品运输车辆限制通行区域审批</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kern w:val="0"/>
                <w:sz w:val="20"/>
                <w:szCs w:val="20"/>
              </w:rPr>
            </w:pPr>
            <w:r>
              <w:rPr>
                <w:rFonts w:ascii="Times New Roman" w:hAnsi="Times New Roman" w:eastAsia="方正仿宋_GBK"/>
                <w:color w:val="000000"/>
                <w:kern w:val="0"/>
                <w:sz w:val="24"/>
                <w:szCs w:val="24"/>
              </w:rPr>
              <w:t>《危险化学品安全管理条例》</w:t>
            </w:r>
          </w:p>
        </w:tc>
      </w:tr>
      <w:tr>
        <w:tblPrEx>
          <w:tblCellMar>
            <w:top w:w="28" w:type="dxa"/>
            <w:left w:w="28" w:type="dxa"/>
            <w:bottom w:w="28" w:type="dxa"/>
            <w:right w:w="28" w:type="dxa"/>
          </w:tblCellMar>
        </w:tblPrEx>
        <w:trPr>
          <w:cantSplit/>
          <w:trHeight w:val="914"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13</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易制毒化学品购买许可（除第一类中的药品类易制毒化学品外）</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《中华人民共和国禁毒法》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《易制毒化学品管理条例》</w:t>
            </w:r>
          </w:p>
        </w:tc>
      </w:tr>
      <w:tr>
        <w:tblPrEx>
          <w:tblCellMar>
            <w:top w:w="28" w:type="dxa"/>
            <w:left w:w="28" w:type="dxa"/>
            <w:bottom w:w="28" w:type="dxa"/>
            <w:right w:w="28" w:type="dxa"/>
          </w:tblCellMar>
        </w:tblPrEx>
        <w:trPr>
          <w:cantSplit/>
          <w:trHeight w:val="826"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14</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易制毒化学品运输许可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《中华人民共和国禁毒法》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《易制毒化学品管理条例》</w:t>
            </w:r>
          </w:p>
        </w:tc>
      </w:tr>
      <w:tr>
        <w:tblPrEx>
          <w:tblCellMar>
            <w:top w:w="28" w:type="dxa"/>
            <w:left w:w="28" w:type="dxa"/>
            <w:bottom w:w="28" w:type="dxa"/>
            <w:right w:w="28" w:type="dxa"/>
          </w:tblCellMar>
        </w:tblPrEx>
        <w:trPr>
          <w:cantSplit/>
          <w:trHeight w:val="1701"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15</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金融机构营业场所和金库安全防范设施建设方案审批</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《国务院对确需保留的行政审批项目设定行政许可的决定》</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《金融机构营业场所和金库安全防范设施建设许可实施办法》</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《云南省人民政府关于简政放权取消和调整部分省级行政审批项目的决定》（云政发〔2013〕44号）</w:t>
            </w:r>
          </w:p>
        </w:tc>
      </w:tr>
      <w:tr>
        <w:tblPrEx>
          <w:tblCellMar>
            <w:top w:w="28" w:type="dxa"/>
            <w:left w:w="28" w:type="dxa"/>
            <w:bottom w:w="28" w:type="dxa"/>
            <w:right w:w="28" w:type="dxa"/>
          </w:tblCellMar>
        </w:tblPrEx>
        <w:trPr>
          <w:cantSplit/>
          <w:trHeight w:val="1743"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16</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金融机构营业场所和金库安全防范设施建设工程验收</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《国务院对确需保留的行政审批项目设定行政许可的决定》</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《金融机构营业场所和金库安全防范设施建设许可实施办法》</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《云南省人民政府关于简政放权取消和调整部分省级行政审批项目的决定》（云政发〔2013〕44号）</w:t>
            </w:r>
          </w:p>
        </w:tc>
      </w:tr>
      <w:tr>
        <w:tblPrEx>
          <w:tblCellMar>
            <w:top w:w="28" w:type="dxa"/>
            <w:left w:w="28" w:type="dxa"/>
            <w:bottom w:w="28" w:type="dxa"/>
            <w:right w:w="28" w:type="dxa"/>
          </w:tblCellMar>
        </w:tblPrEx>
        <w:trPr>
          <w:cantSplit/>
          <w:trHeight w:val="1004"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17</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机动车登记</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《中华人民共和国道路交通安全法实施条例》</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《机动车登记规定》</w:t>
            </w:r>
          </w:p>
        </w:tc>
      </w:tr>
      <w:tr>
        <w:tblPrEx>
          <w:tblCellMar>
            <w:top w:w="28" w:type="dxa"/>
            <w:left w:w="28" w:type="dxa"/>
            <w:bottom w:w="28" w:type="dxa"/>
            <w:right w:w="28" w:type="dxa"/>
          </w:tblCellMar>
        </w:tblPrEx>
        <w:trPr>
          <w:cantSplit/>
          <w:trHeight w:val="974"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18</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机动车临时通行牌证核发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《中华人民共和国道路交通安全法实施条例》</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《机动车登记规定》</w:t>
            </w:r>
          </w:p>
        </w:tc>
      </w:tr>
      <w:tr>
        <w:tblPrEx>
          <w:tblCellMar>
            <w:top w:w="28" w:type="dxa"/>
            <w:left w:w="28" w:type="dxa"/>
            <w:bottom w:w="28" w:type="dxa"/>
            <w:right w:w="28" w:type="dxa"/>
          </w:tblCellMar>
        </w:tblPrEx>
        <w:trPr>
          <w:cantSplit/>
          <w:trHeight w:val="1104"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19</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机动车检验合格标志核发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《中华人民共和国道路交通安全法实施条例》</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《机动车登记规定》</w:t>
            </w:r>
          </w:p>
        </w:tc>
      </w:tr>
      <w:tr>
        <w:tblPrEx>
          <w:tblCellMar>
            <w:top w:w="28" w:type="dxa"/>
            <w:left w:w="28" w:type="dxa"/>
            <w:bottom w:w="28" w:type="dxa"/>
            <w:right w:w="28" w:type="dxa"/>
          </w:tblCellMar>
        </w:tblPrEx>
        <w:trPr>
          <w:cantSplit/>
          <w:trHeight w:val="1109"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20</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机动车驾驶证核发、审验</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《中华人民共和国道路交通安全法实施条例》</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《机动车驾驶证申领和使用规定》</w:t>
            </w:r>
          </w:p>
        </w:tc>
      </w:tr>
      <w:tr>
        <w:tblPrEx>
          <w:tblCellMar>
            <w:top w:w="28" w:type="dxa"/>
            <w:left w:w="28" w:type="dxa"/>
            <w:bottom w:w="28" w:type="dxa"/>
            <w:right w:w="28" w:type="dxa"/>
          </w:tblCellMar>
        </w:tblPrEx>
        <w:trPr>
          <w:cantSplit/>
          <w:trHeight w:val="714"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21</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校车驾驶资格许可</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《校车安全管理条例》</w:t>
            </w:r>
          </w:p>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《机动车驾驶证申领和使用规定》</w:t>
            </w:r>
          </w:p>
        </w:tc>
      </w:tr>
      <w:tr>
        <w:tblPrEx>
          <w:tblCellMar>
            <w:top w:w="28" w:type="dxa"/>
            <w:left w:w="28" w:type="dxa"/>
            <w:bottom w:w="28" w:type="dxa"/>
            <w:right w:w="28" w:type="dxa"/>
          </w:tblCellMar>
        </w:tblPrEx>
        <w:trPr>
          <w:cantSplit/>
          <w:trHeight w:val="1004"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22</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非机动车登记</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《云南省电动自行车管理规定》（云南省人民政府令第182号）</w:t>
            </w:r>
          </w:p>
        </w:tc>
      </w:tr>
      <w:tr>
        <w:tblPrEx>
          <w:tblCellMar>
            <w:top w:w="28" w:type="dxa"/>
            <w:left w:w="28" w:type="dxa"/>
            <w:bottom w:w="28" w:type="dxa"/>
            <w:right w:w="28" w:type="dxa"/>
          </w:tblCellMar>
        </w:tblPrEx>
        <w:trPr>
          <w:cantSplit/>
          <w:trHeight w:val="930" w:hRule="atLeas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23</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涉路施工交通安全审查</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《中华人民共和国道路交通安全法》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《中华人民共和国公路法》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《城市道路管理条例》</w:t>
            </w:r>
          </w:p>
        </w:tc>
      </w:tr>
      <w:tr>
        <w:tblPrEx>
          <w:tblCellMar>
            <w:top w:w="28" w:type="dxa"/>
            <w:left w:w="28" w:type="dxa"/>
            <w:bottom w:w="28" w:type="dxa"/>
            <w:right w:w="28" w:type="dxa"/>
          </w:tblCellMar>
        </w:tblPrEx>
        <w:trPr>
          <w:cantSplit/>
          <w:trHeight w:val="480"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24</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户口迁移审批</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《中华人民共和国户口登记条例》</w:t>
            </w:r>
          </w:p>
        </w:tc>
      </w:tr>
      <w:tr>
        <w:tblPrEx>
          <w:tblCellMar>
            <w:top w:w="28" w:type="dxa"/>
            <w:left w:w="28" w:type="dxa"/>
            <w:bottom w:w="28" w:type="dxa"/>
            <w:right w:w="28" w:type="dxa"/>
          </w:tblCellMar>
        </w:tblPrEx>
        <w:trPr>
          <w:cantSplit/>
          <w:trHeight w:val="779"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25</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jc w:val="lef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犬类准养证核发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《中华人民共和国动物防疫法》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《中华人民共和国传染病防治法实施办法》</w:t>
            </w:r>
          </w:p>
        </w:tc>
      </w:tr>
      <w:tr>
        <w:tblPrEx>
          <w:tblCellMar>
            <w:top w:w="28" w:type="dxa"/>
            <w:left w:w="28" w:type="dxa"/>
            <w:bottom w:w="28" w:type="dxa"/>
            <w:right w:w="28" w:type="dxa"/>
          </w:tblCellMar>
        </w:tblPrEx>
        <w:trPr>
          <w:cantSplit/>
          <w:trHeight w:val="623"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26</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普通护照签发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县级公安机关出入境管理机构（受国家移民局委托实施）</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《中华人民共和国护照法》</w:t>
            </w:r>
          </w:p>
        </w:tc>
      </w:tr>
      <w:tr>
        <w:tblPrEx>
          <w:tblCellMar>
            <w:top w:w="28" w:type="dxa"/>
            <w:left w:w="28" w:type="dxa"/>
            <w:bottom w:w="28" w:type="dxa"/>
            <w:right w:w="28" w:type="dxa"/>
          </w:tblCellMar>
        </w:tblPrEx>
        <w:trPr>
          <w:cantSplit/>
          <w:trHeight w:val="907"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27</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出入境通行证签发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县级公安机关出入境管理机构（受国家移民局委托实施）</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《中华人民共和国护照法》</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《中国公民因私事往来香港地区或者澳门地区的暂行管理办法》</w:t>
            </w:r>
          </w:p>
        </w:tc>
      </w:tr>
      <w:tr>
        <w:tblPrEx>
          <w:tblCellMar>
            <w:top w:w="28" w:type="dxa"/>
            <w:left w:w="28" w:type="dxa"/>
            <w:bottom w:w="28" w:type="dxa"/>
            <w:right w:w="28" w:type="dxa"/>
          </w:tblCellMar>
        </w:tblPrEx>
        <w:trPr>
          <w:cantSplit/>
          <w:trHeight w:val="937"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28</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边境管理区通行证核发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县级公安机关（含指定的派出所）</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《国务院对确需保留的行政审批项目设定行政许可的决定》</w:t>
            </w:r>
          </w:p>
        </w:tc>
      </w:tr>
      <w:tr>
        <w:tblPrEx>
          <w:tblCellMar>
            <w:top w:w="28" w:type="dxa"/>
            <w:left w:w="28" w:type="dxa"/>
            <w:bottom w:w="28" w:type="dxa"/>
            <w:right w:w="28" w:type="dxa"/>
          </w:tblCellMar>
        </w:tblPrEx>
        <w:trPr>
          <w:cantSplit/>
          <w:trHeight w:val="849"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29</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内地居民前往港澳通行证、往来港澳通行证及签注签发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县级公安机关出入境管理机构（受中华人民</w:t>
            </w:r>
            <w:r>
              <w:rPr>
                <w:rFonts w:ascii="Times New Roman" w:hAnsi="Times New Roman" w:eastAsia="方正仿宋_GBK"/>
                <w:color w:val="000000"/>
                <w:spacing w:val="-20"/>
                <w:kern w:val="0"/>
                <w:sz w:val="24"/>
                <w:szCs w:val="24"/>
              </w:rPr>
              <w:t>共和国出入境管理局委托实施）</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《中国公民因私事往来香港地区或者澳门地区的暂行管理办法》</w:t>
            </w:r>
          </w:p>
        </w:tc>
      </w:tr>
      <w:tr>
        <w:tblPrEx>
          <w:tblCellMar>
            <w:top w:w="28" w:type="dxa"/>
            <w:left w:w="28" w:type="dxa"/>
            <w:bottom w:w="28" w:type="dxa"/>
            <w:right w:w="28" w:type="dxa"/>
          </w:tblCellMar>
        </w:tblPrEx>
        <w:trPr>
          <w:cantSplit/>
          <w:trHeight w:val="985" w:hRule="exact"/>
        </w:trPr>
        <w:tc>
          <w:tcPr>
            <w:tcW w:w="5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Times New Roman" w:hAnsi="Times New Roman" w:eastAsia="方正仿宋_GBK"/>
                <w:color w:val="000000"/>
                <w:kern w:val="0"/>
                <w:sz w:val="24"/>
                <w:szCs w:val="24"/>
              </w:rPr>
            </w:pPr>
            <w:r>
              <w:rPr>
                <w:rFonts w:hint="eastAsia" w:ascii="Times New Roman" w:hAnsi="Times New Roman"/>
                <w:color w:val="000000"/>
                <w:kern w:val="0"/>
                <w:sz w:val="24"/>
                <w:szCs w:val="24"/>
              </w:rPr>
              <w:t>30</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28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大陆居民往来台湾通行证及签注签发</w:t>
            </w:r>
          </w:p>
        </w:tc>
        <w:tc>
          <w:tcPr>
            <w:tcW w:w="3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6"/>
                <w:kern w:val="0"/>
                <w:sz w:val="24"/>
                <w:szCs w:val="24"/>
              </w:rPr>
              <w:t>县级公安机关出入境管理机构（受中华人民</w:t>
            </w:r>
            <w:r>
              <w:rPr>
                <w:rFonts w:ascii="Times New Roman" w:hAnsi="Times New Roman" w:eastAsia="方正仿宋_GBK"/>
                <w:color w:val="000000"/>
                <w:spacing w:val="-20"/>
                <w:kern w:val="0"/>
                <w:sz w:val="24"/>
                <w:szCs w:val="24"/>
              </w:rPr>
              <w:t>共和国出入境管理局委托实施）</w:t>
            </w:r>
          </w:p>
        </w:tc>
        <w:tc>
          <w:tcPr>
            <w:tcW w:w="5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6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《中国公民往来台湾地区管理办法》</w:t>
            </w:r>
          </w:p>
        </w:tc>
      </w:tr>
    </w:tbl>
    <w:p>
      <w:pPr>
        <w:widowControl/>
        <w:textAlignment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二、云南省地方性法规、省人民政府规章设定的行政许可事项（共1项）</w:t>
      </w:r>
    </w:p>
    <w:tbl>
      <w:tblPr>
        <w:tblStyle w:val="4"/>
        <w:tblpPr w:leftFromText="180" w:rightFromText="180" w:vertAnchor="text" w:horzAnchor="page" w:tblpX="1177" w:tblpY="200"/>
        <w:tblOverlap w:val="never"/>
        <w:tblW w:w="14485" w:type="dxa"/>
        <w:tblInd w:w="0" w:type="dxa"/>
        <w:tblLayout w:type="fixed"/>
        <w:tblCellMar>
          <w:top w:w="28" w:type="dxa"/>
          <w:left w:w="28" w:type="dxa"/>
          <w:bottom w:w="28" w:type="dxa"/>
          <w:right w:w="28" w:type="dxa"/>
        </w:tblCellMar>
      </w:tblPr>
      <w:tblGrid>
        <w:gridCol w:w="865"/>
        <w:gridCol w:w="1995"/>
        <w:gridCol w:w="3045"/>
        <w:gridCol w:w="3750"/>
        <w:gridCol w:w="4830"/>
      </w:tblGrid>
      <w:tr>
        <w:tblPrEx>
          <w:tblCellMar>
            <w:top w:w="28" w:type="dxa"/>
            <w:left w:w="28" w:type="dxa"/>
            <w:bottom w:w="28" w:type="dxa"/>
            <w:right w:w="28" w:type="dxa"/>
          </w:tblCellMar>
        </w:tblPrEx>
        <w:trPr>
          <w:cantSplit/>
          <w:trHeight w:val="459" w:hRule="atLeast"/>
          <w:tblHeader/>
        </w:trPr>
        <w:tc>
          <w:tcPr>
            <w:tcW w:w="8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序号</w:t>
            </w:r>
          </w:p>
        </w:tc>
        <w:tc>
          <w:tcPr>
            <w:tcW w:w="1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厅直主管单位</w:t>
            </w:r>
          </w:p>
        </w:tc>
        <w:tc>
          <w:tcPr>
            <w:tcW w:w="30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事项名称</w:t>
            </w:r>
          </w:p>
        </w:tc>
        <w:tc>
          <w:tcPr>
            <w:tcW w:w="3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实施机关</w:t>
            </w:r>
          </w:p>
        </w:tc>
        <w:tc>
          <w:tcPr>
            <w:tcW w:w="4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设定和实施依据</w:t>
            </w:r>
          </w:p>
        </w:tc>
      </w:tr>
      <w:tr>
        <w:tblPrEx>
          <w:tblCellMar>
            <w:top w:w="28" w:type="dxa"/>
            <w:left w:w="28" w:type="dxa"/>
            <w:bottom w:w="28" w:type="dxa"/>
            <w:right w:w="28" w:type="dxa"/>
          </w:tblCellMar>
        </w:tblPrEx>
        <w:trPr>
          <w:cantSplit/>
          <w:trHeight w:val="1110" w:hRule="atLeast"/>
        </w:trPr>
        <w:tc>
          <w:tcPr>
            <w:tcW w:w="8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1</w:t>
            </w:r>
          </w:p>
        </w:tc>
        <w:tc>
          <w:tcPr>
            <w:tcW w:w="1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嵩明县公安局</w:t>
            </w:r>
          </w:p>
        </w:tc>
        <w:tc>
          <w:tcPr>
            <w:tcW w:w="30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spacing w:val="-11"/>
                <w:kern w:val="0"/>
                <w:sz w:val="24"/>
                <w:szCs w:val="24"/>
              </w:rPr>
              <w:t>工业大麻种植和加工许可</w:t>
            </w:r>
          </w:p>
        </w:tc>
        <w:tc>
          <w:tcPr>
            <w:tcW w:w="3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县级公安机关</w:t>
            </w:r>
          </w:p>
        </w:tc>
        <w:tc>
          <w:tcPr>
            <w:tcW w:w="4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textAlignment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《云南省禁毒条例》</w:t>
            </w:r>
            <w:r>
              <w:rPr>
                <w:rFonts w:ascii="Times New Roman" w:hAnsi="Times New Roman" w:eastAsia="方正仿宋_GBK"/>
                <w:color w:val="000000"/>
                <w:kern w:val="0"/>
                <w:sz w:val="24"/>
                <w:szCs w:val="24"/>
              </w:rPr>
              <w:br w:type="textWrapping"/>
            </w:r>
            <w:r>
              <w:rPr>
                <w:rFonts w:ascii="Times New Roman" w:hAnsi="Times New Roman" w:eastAsia="方正仿宋_GBK"/>
                <w:color w:val="000000"/>
                <w:kern w:val="0"/>
                <w:sz w:val="24"/>
                <w:szCs w:val="24"/>
              </w:rPr>
              <w:t>《云南省工业大麻种植加工许可规定》（云南省人民政府令第156号）</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0D35"/>
    <w:rsid w:val="00297E45"/>
    <w:rsid w:val="0045484C"/>
    <w:rsid w:val="004770B0"/>
    <w:rsid w:val="005369C8"/>
    <w:rsid w:val="00552623"/>
    <w:rsid w:val="006452D0"/>
    <w:rsid w:val="006C1CE9"/>
    <w:rsid w:val="007A3F4E"/>
    <w:rsid w:val="00810537"/>
    <w:rsid w:val="00980D35"/>
    <w:rsid w:val="009F7B8B"/>
    <w:rsid w:val="00CA32A7"/>
    <w:rsid w:val="00E4361D"/>
    <w:rsid w:val="00FF5DDC"/>
    <w:rsid w:val="6659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Normal Tableba77b3a1"/>
    <w:unhideWhenUsed/>
    <w:qFormat/>
    <w:uiPriority w:val="99"/>
    <w:rPr>
      <w:rFonts w:ascii="Calibri" w:hAnsi="Calibri" w:eastAsia="宋体" w:cs="Times New Roman"/>
      <w:kern w:val="0"/>
      <w:sz w:val="20"/>
      <w:szCs w:val="20"/>
    </w:rPr>
    <w:tblPr>
      <w:tblCellMar>
        <w:top w:w="0" w:type="dxa"/>
        <w:left w:w="108" w:type="dxa"/>
        <w:bottom w:w="0" w:type="dxa"/>
        <w:right w:w="108" w:type="dxa"/>
      </w:tblCellMar>
    </w:tblPr>
  </w:style>
  <w:style w:type="paragraph" w:customStyle="1" w:styleId="5">
    <w:name w:val="toc 342b08d1a"/>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379</Words>
  <Characters>2166</Characters>
  <Lines>18</Lines>
  <Paragraphs>5</Paragraphs>
  <TotalTime>26</TotalTime>
  <ScaleCrop>false</ScaleCrop>
  <LinksUpToDate>false</LinksUpToDate>
  <CharactersWithSpaces>2540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2025-12-09T08:51:00Z</dcterms:created>
  <dc:creator>嵩明县公安局治安管理大队</dc:creator>
  <cp:lastModifiedBy>Administrator</cp:lastModifiedBy>
  <cp:lastPrinted>2025-12-14T08:30:48Z</cp:lastPrinted>
  <dcterms:modified xsi:type="dcterms:W3CDTF">2025-12-14T08:56:44Z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2CE136774C244C3F8C1376C063CE0AD1</vt:lpwstr>
  </property>
</Properties>
</file>