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36"/>
          <w:szCs w:val="36"/>
        </w:rPr>
      </w:pPr>
      <w:bookmarkStart w:id="0" w:name="_Hlk57883707"/>
    </w:p>
    <w:p>
      <w:pPr>
        <w:rPr>
          <w:color w:val="auto"/>
          <w:sz w:val="36"/>
          <w:szCs w:val="36"/>
        </w:rPr>
      </w:pPr>
    </w:p>
    <w:bookmarkEnd w:id="0"/>
    <w:p>
      <w:pPr>
        <w:adjustRightInd w:val="0"/>
        <w:snapToGrid w:val="0"/>
        <w:spacing w:before="192" w:beforeLines="80"/>
        <w:jc w:val="center"/>
        <w:rPr>
          <w:rFonts w:hint="eastAsia" w:ascii="楷体" w:hAnsi="楷体" w:eastAsia="楷体" w:cs="楷体"/>
          <w:bCs/>
          <w:color w:val="auto"/>
          <w:sz w:val="48"/>
          <w:szCs w:val="48"/>
          <w:lang w:val="en-US" w:eastAsia="zh-CN"/>
        </w:rPr>
      </w:pPr>
    </w:p>
    <w:p>
      <w:pPr>
        <w:adjustRightInd w:val="0"/>
        <w:snapToGrid w:val="0"/>
        <w:spacing w:before="192" w:beforeLines="80"/>
        <w:jc w:val="center"/>
        <w:rPr>
          <w:rFonts w:hint="eastAsia" w:ascii="方正小标宋_GBK" w:hAnsi="方正小标宋_GBK" w:eastAsia="方正小标宋_GBK" w:cs="方正小标宋_GBK"/>
          <w:bCs/>
          <w:color w:val="auto"/>
          <w:sz w:val="72"/>
          <w:szCs w:val="72"/>
        </w:rPr>
      </w:pPr>
      <w:bookmarkStart w:id="1" w:name="_Toc83158196"/>
      <w:bookmarkStart w:id="2" w:name="_Toc83158361"/>
      <w:r>
        <w:rPr>
          <w:rFonts w:hint="eastAsia" w:ascii="方正小标宋_GBK" w:hAnsi="方正小标宋_GBK" w:eastAsia="方正小标宋_GBK" w:cs="方正小标宋_GBK"/>
          <w:bCs/>
          <w:color w:val="auto"/>
          <w:sz w:val="72"/>
          <w:szCs w:val="72"/>
        </w:rPr>
        <w:t>建设项目环境影响报告表</w:t>
      </w:r>
      <w:bookmarkEnd w:id="1"/>
      <w:bookmarkEnd w:id="2"/>
    </w:p>
    <w:p>
      <w:pPr>
        <w:adjustRightInd w:val="0"/>
        <w:snapToGrid w:val="0"/>
        <w:spacing w:before="192" w:beforeLines="80"/>
        <w:jc w:val="center"/>
        <w:rPr>
          <w:rFonts w:hint="eastAsia" w:ascii="楷体" w:hAnsi="楷体" w:eastAsia="楷体" w:cs="楷体"/>
          <w:bCs/>
          <w:color w:val="auto"/>
          <w:sz w:val="48"/>
          <w:szCs w:val="48"/>
        </w:rPr>
      </w:pPr>
      <w:r>
        <w:rPr>
          <w:rFonts w:hint="eastAsia" w:ascii="楷体" w:hAnsi="楷体" w:eastAsia="楷体" w:cs="楷体"/>
          <w:bCs/>
          <w:color w:val="auto"/>
          <w:sz w:val="48"/>
          <w:szCs w:val="48"/>
        </w:rPr>
        <w:t>（生态影响类）</w:t>
      </w:r>
    </w:p>
    <w:p>
      <w:pPr>
        <w:ind w:firstLine="1040"/>
        <w:rPr>
          <w:color w:val="auto"/>
          <w:kern w:val="44"/>
          <w:sz w:val="44"/>
          <w:szCs w:val="44"/>
        </w:rPr>
      </w:pPr>
      <w:bookmarkStart w:id="3" w:name="_Hlk57883728"/>
    </w:p>
    <w:p>
      <w:pPr>
        <w:jc w:val="center"/>
        <w:rPr>
          <w:color w:val="auto"/>
          <w:sz w:val="52"/>
          <w:szCs w:val="52"/>
        </w:rPr>
      </w:pPr>
    </w:p>
    <w:p>
      <w:pPr>
        <w:ind w:firstLine="1040"/>
        <w:rPr>
          <w:rFonts w:hint="eastAsia" w:ascii="楷体" w:hAnsi="楷体" w:eastAsia="楷体" w:cs="楷体"/>
          <w:color w:val="auto"/>
          <w:sz w:val="44"/>
          <w:szCs w:val="44"/>
        </w:rPr>
      </w:pPr>
    </w:p>
    <w:p>
      <w:pPr>
        <w:ind w:firstLine="1040"/>
        <w:rPr>
          <w:rFonts w:hint="eastAsia" w:ascii="楷体" w:hAnsi="楷体" w:eastAsia="楷体" w:cs="楷体"/>
          <w:color w:val="auto"/>
          <w:sz w:val="44"/>
          <w:szCs w:val="44"/>
        </w:rPr>
      </w:pPr>
    </w:p>
    <w:p>
      <w:pPr>
        <w:ind w:firstLine="1040"/>
        <w:rPr>
          <w:color w:val="auto"/>
          <w:sz w:val="44"/>
          <w:szCs w:val="44"/>
        </w:rPr>
      </w:pPr>
    </w:p>
    <w:p>
      <w:pPr>
        <w:ind w:firstLine="1040"/>
        <w:rPr>
          <w:color w:val="auto"/>
          <w:sz w:val="44"/>
          <w:szCs w:val="44"/>
        </w:rPr>
      </w:pPr>
    </w:p>
    <w:bookmarkEnd w:id="3"/>
    <w:p>
      <w:pPr>
        <w:adjustRightInd w:val="0"/>
        <w:snapToGrid w:val="0"/>
        <w:spacing w:line="288" w:lineRule="auto"/>
        <w:ind w:left="1800" w:hanging="1800" w:hangingChars="500"/>
        <w:rPr>
          <w:rFonts w:hint="default" w:ascii="仿宋" w:hAnsi="仿宋" w:eastAsia="仿宋" w:cs="仿宋"/>
          <w:color w:val="auto"/>
          <w:sz w:val="36"/>
          <w:szCs w:val="36"/>
          <w:u w:val="single"/>
          <w:lang w:val="en-US" w:eastAsia="zh-CN"/>
        </w:rPr>
      </w:pPr>
      <w:r>
        <w:rPr>
          <w:rFonts w:hint="eastAsia" w:ascii="仿宋" w:hAnsi="仿宋" w:eastAsia="仿宋" w:cs="仿宋"/>
          <w:color w:val="auto"/>
          <w:sz w:val="36"/>
          <w:szCs w:val="36"/>
        </w:rPr>
        <w:t>项目名称：</w:t>
      </w:r>
      <w:r>
        <w:rPr>
          <w:rFonts w:hint="eastAsia" w:ascii="仿宋" w:hAnsi="仿宋" w:eastAsia="仿宋" w:cs="仿宋"/>
          <w:color w:val="auto"/>
          <w:sz w:val="36"/>
          <w:szCs w:val="36"/>
          <w:u w:val="single"/>
          <w:lang w:eastAsia="zh-CN"/>
        </w:rPr>
        <w:t>望风屏景区建设项目</w:t>
      </w:r>
    </w:p>
    <w:p>
      <w:pPr>
        <w:adjustRightInd w:val="0"/>
        <w:snapToGrid w:val="0"/>
        <w:spacing w:line="288" w:lineRule="auto"/>
        <w:jc w:val="left"/>
        <w:rPr>
          <w:rFonts w:hint="eastAsia" w:ascii="仿宋" w:hAnsi="仿宋" w:eastAsia="仿宋" w:cs="仿宋"/>
          <w:color w:val="auto"/>
          <w:sz w:val="36"/>
          <w:szCs w:val="36"/>
          <w:u w:val="single"/>
          <w:lang w:eastAsia="zh-CN"/>
        </w:rPr>
      </w:pPr>
      <w:r>
        <w:rPr>
          <w:rFonts w:hint="eastAsia" w:ascii="仿宋" w:hAnsi="仿宋" w:eastAsia="仿宋" w:cs="仿宋"/>
          <w:color w:val="auto"/>
          <w:sz w:val="36"/>
          <w:szCs w:val="36"/>
        </w:rPr>
        <w:t>建设单位（盖章）：</w:t>
      </w:r>
      <w:r>
        <w:rPr>
          <w:rFonts w:hint="eastAsia" w:ascii="仿宋" w:hAnsi="仿宋" w:eastAsia="仿宋" w:cs="仿宋"/>
          <w:color w:val="auto"/>
          <w:sz w:val="36"/>
          <w:szCs w:val="36"/>
          <w:u w:val="single"/>
          <w:lang w:eastAsia="zh-CN"/>
        </w:rPr>
        <w:t>嵩明云尚种植专业合作社</w:t>
      </w:r>
    </w:p>
    <w:p>
      <w:pPr>
        <w:adjustRightInd w:val="0"/>
        <w:snapToGrid w:val="0"/>
        <w:spacing w:line="288" w:lineRule="auto"/>
        <w:rPr>
          <w:rFonts w:hint="eastAsia" w:ascii="仿宋" w:hAnsi="仿宋" w:eastAsia="仿宋" w:cs="仿宋"/>
          <w:color w:val="auto"/>
          <w:sz w:val="36"/>
          <w:szCs w:val="36"/>
          <w:u w:val="single"/>
          <w:lang w:eastAsia="zh-CN"/>
        </w:rPr>
      </w:pPr>
      <w:r>
        <w:rPr>
          <w:rFonts w:hint="eastAsia" w:ascii="仿宋" w:hAnsi="仿宋" w:eastAsia="仿宋" w:cs="仿宋"/>
          <w:color w:val="auto"/>
          <w:sz w:val="36"/>
          <w:szCs w:val="36"/>
        </w:rPr>
        <w:t>编制日期：</w:t>
      </w:r>
      <w:r>
        <w:rPr>
          <w:rFonts w:hint="eastAsia" w:ascii="仿宋" w:hAnsi="仿宋" w:eastAsia="仿宋" w:cs="仿宋"/>
          <w:color w:val="auto"/>
          <w:sz w:val="36"/>
          <w:szCs w:val="36"/>
          <w:u w:val="single"/>
        </w:rPr>
        <w:t>202</w:t>
      </w:r>
      <w:r>
        <w:rPr>
          <w:rFonts w:hint="eastAsia" w:ascii="仿宋" w:hAnsi="仿宋" w:eastAsia="仿宋" w:cs="仿宋"/>
          <w:color w:val="auto"/>
          <w:sz w:val="36"/>
          <w:szCs w:val="36"/>
          <w:u w:val="single"/>
          <w:lang w:val="en-US" w:eastAsia="zh-CN"/>
        </w:rPr>
        <w:t>5</w:t>
      </w:r>
      <w:r>
        <w:rPr>
          <w:rFonts w:hint="eastAsia" w:ascii="仿宋" w:hAnsi="仿宋" w:eastAsia="仿宋" w:cs="仿宋"/>
          <w:color w:val="auto"/>
          <w:sz w:val="36"/>
          <w:szCs w:val="36"/>
          <w:u w:val="single"/>
        </w:rPr>
        <w:t>年</w:t>
      </w:r>
      <w:r>
        <w:rPr>
          <w:rFonts w:hint="eastAsia" w:ascii="仿宋" w:hAnsi="仿宋" w:eastAsia="仿宋" w:cs="仿宋"/>
          <w:color w:val="auto"/>
          <w:sz w:val="36"/>
          <w:szCs w:val="36"/>
          <w:u w:val="single"/>
          <w:lang w:val="en-US" w:eastAsia="zh-CN"/>
        </w:rPr>
        <w:t>12</w:t>
      </w:r>
      <w:r>
        <w:rPr>
          <w:rFonts w:hint="eastAsia" w:ascii="仿宋" w:hAnsi="仿宋" w:eastAsia="仿宋" w:cs="仿宋"/>
          <w:color w:val="auto"/>
          <w:sz w:val="36"/>
          <w:szCs w:val="36"/>
          <w:u w:val="single"/>
        </w:rPr>
        <w:t>月</w:t>
      </w:r>
    </w:p>
    <w:p>
      <w:pPr>
        <w:adjustRightInd w:val="0"/>
        <w:snapToGrid w:val="0"/>
        <w:spacing w:line="288" w:lineRule="auto"/>
        <w:ind w:firstLine="1040"/>
        <w:rPr>
          <w:color w:val="auto"/>
          <w:sz w:val="36"/>
          <w:szCs w:val="36"/>
          <w:u w:val="single"/>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jc w:val="center"/>
        <w:rPr>
          <w:rFonts w:hint="eastAsia" w:ascii="楷体" w:hAnsi="楷体" w:eastAsia="楷体" w:cs="楷体"/>
          <w:color w:val="auto"/>
          <w:sz w:val="36"/>
          <w:szCs w:val="36"/>
        </w:rPr>
      </w:pPr>
      <w:r>
        <w:rPr>
          <w:rFonts w:hint="eastAsia" w:ascii="楷体" w:hAnsi="楷体" w:eastAsia="楷体" w:cs="楷体"/>
          <w:color w:val="auto"/>
          <w:sz w:val="36"/>
          <w:szCs w:val="36"/>
        </w:rPr>
        <w:t>中华人民共和国生态环境部制</w:t>
      </w:r>
    </w:p>
    <w:p>
      <w:pPr>
        <w:rPr>
          <w:color w:val="auto"/>
        </w:rPr>
      </w:pPr>
    </w:p>
    <w:p>
      <w:pPr>
        <w:pageBreakBefore/>
        <w:adjustRightInd w:val="0"/>
        <w:snapToGrid w:val="0"/>
        <w:spacing w:line="360" w:lineRule="auto"/>
        <w:jc w:val="center"/>
        <w:rPr>
          <w:color w:val="auto"/>
          <w:sz w:val="36"/>
          <w:szCs w:val="36"/>
        </w:rPr>
      </w:pPr>
      <w:r>
        <w:rPr>
          <w:color w:val="auto"/>
          <w:sz w:val="36"/>
          <w:szCs w:val="36"/>
        </w:rPr>
        <w:t>目录</w:t>
      </w:r>
    </w:p>
    <w:p>
      <w:pPr>
        <w:pStyle w:val="60"/>
        <w:tabs>
          <w:tab w:val="right" w:leader="dot" w:pos="8834"/>
        </w:tabs>
        <w:spacing w:line="480" w:lineRule="auto"/>
        <w:rPr>
          <w:rFonts w:ascii="Times New Roman" w:hAnsi="Times New Roman"/>
          <w:color w:val="auto"/>
          <w:szCs w:val="22"/>
        </w:rPr>
      </w:pPr>
      <w:r>
        <w:rPr>
          <w:rFonts w:ascii="Times New Roman" w:hAnsi="Times New Roman"/>
          <w:color w:val="auto"/>
        </w:rPr>
        <w:fldChar w:fldCharType="begin"/>
      </w:r>
      <w:r>
        <w:rPr>
          <w:rFonts w:ascii="Times New Roman" w:hAnsi="Times New Roman"/>
          <w:color w:val="auto"/>
        </w:rPr>
        <w:instrText xml:space="preserve"> TOC \o "1-3" \h \z \u </w:instrText>
      </w:r>
      <w:r>
        <w:rPr>
          <w:rFonts w:ascii="Times New Roman" w:hAnsi="Times New Roman"/>
          <w:color w:val="auto"/>
        </w:rPr>
        <w:fldChar w:fldCharType="separate"/>
      </w:r>
    </w:p>
    <w:p>
      <w:pPr>
        <w:pStyle w:val="60"/>
        <w:tabs>
          <w:tab w:val="right" w:leader="dot" w:pos="8834"/>
        </w:tabs>
        <w:spacing w:line="480" w:lineRule="auto"/>
        <w:rPr>
          <w:rStyle w:val="100"/>
          <w:rFonts w:ascii="Times New Roman" w:hAnsi="Times New Roman"/>
          <w:snapToGrid w:val="0"/>
          <w:color w:val="auto"/>
          <w:sz w:val="24"/>
        </w:rPr>
      </w:pP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HYPERLINK \l "_Toc83158362"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一、建设项目基本情况</w:t>
      </w:r>
      <w:r>
        <w:rPr>
          <w:rStyle w:val="100"/>
          <w:rFonts w:ascii="Times New Roman" w:hAnsi="Times New Roman"/>
          <w:snapToGrid w:val="0"/>
          <w:color w:val="auto"/>
          <w:sz w:val="24"/>
        </w:rPr>
        <w:tab/>
      </w: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PAGEREF _Toc83158362 \h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1</w:t>
      </w:r>
      <w:r>
        <w:rPr>
          <w:rStyle w:val="100"/>
          <w:rFonts w:ascii="Times New Roman" w:hAnsi="Times New Roman"/>
          <w:snapToGrid w:val="0"/>
          <w:color w:val="auto"/>
          <w:sz w:val="24"/>
        </w:rPr>
        <w:fldChar w:fldCharType="end"/>
      </w:r>
      <w:r>
        <w:rPr>
          <w:rStyle w:val="100"/>
          <w:rFonts w:ascii="Times New Roman" w:hAnsi="Times New Roman"/>
          <w:snapToGrid w:val="0"/>
          <w:color w:val="auto"/>
          <w:sz w:val="24"/>
        </w:rPr>
        <w:fldChar w:fldCharType="end"/>
      </w:r>
    </w:p>
    <w:p>
      <w:pPr>
        <w:pStyle w:val="60"/>
        <w:tabs>
          <w:tab w:val="right" w:leader="dot" w:pos="8834"/>
        </w:tabs>
        <w:spacing w:line="480" w:lineRule="auto"/>
        <w:rPr>
          <w:rStyle w:val="100"/>
          <w:rFonts w:ascii="Times New Roman" w:hAnsi="Times New Roman"/>
          <w:snapToGrid w:val="0"/>
          <w:color w:val="auto"/>
          <w:sz w:val="24"/>
        </w:rPr>
      </w:pP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HYPERLINK \l "_Toc83158363"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二、建设内容</w:t>
      </w:r>
      <w:r>
        <w:rPr>
          <w:rStyle w:val="100"/>
          <w:rFonts w:ascii="Times New Roman" w:hAnsi="Times New Roman"/>
          <w:snapToGrid w:val="0"/>
          <w:color w:val="auto"/>
          <w:sz w:val="24"/>
        </w:rPr>
        <w:tab/>
      </w: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PAGEREF _Toc83158363 \h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13</w:t>
      </w:r>
      <w:r>
        <w:rPr>
          <w:rStyle w:val="100"/>
          <w:rFonts w:ascii="Times New Roman" w:hAnsi="Times New Roman"/>
          <w:snapToGrid w:val="0"/>
          <w:color w:val="auto"/>
          <w:sz w:val="24"/>
        </w:rPr>
        <w:fldChar w:fldCharType="end"/>
      </w:r>
      <w:r>
        <w:rPr>
          <w:rStyle w:val="100"/>
          <w:rFonts w:ascii="Times New Roman" w:hAnsi="Times New Roman"/>
          <w:snapToGrid w:val="0"/>
          <w:color w:val="auto"/>
          <w:sz w:val="24"/>
        </w:rPr>
        <w:fldChar w:fldCharType="end"/>
      </w:r>
    </w:p>
    <w:p>
      <w:pPr>
        <w:pStyle w:val="60"/>
        <w:tabs>
          <w:tab w:val="right" w:leader="dot" w:pos="8834"/>
        </w:tabs>
        <w:spacing w:line="480" w:lineRule="auto"/>
        <w:rPr>
          <w:rStyle w:val="100"/>
          <w:rFonts w:ascii="Times New Roman" w:hAnsi="Times New Roman"/>
          <w:snapToGrid w:val="0"/>
          <w:color w:val="auto"/>
          <w:sz w:val="24"/>
        </w:rPr>
      </w:pP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HYPERLINK \l "_Toc83158375"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三、生态环境现状、保护目标及评价标准</w:t>
      </w:r>
      <w:r>
        <w:rPr>
          <w:rStyle w:val="100"/>
          <w:rFonts w:ascii="Times New Roman" w:hAnsi="Times New Roman"/>
          <w:snapToGrid w:val="0"/>
          <w:color w:val="auto"/>
          <w:sz w:val="24"/>
        </w:rPr>
        <w:tab/>
      </w: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PAGEREF _Toc83158375 \h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20</w:t>
      </w:r>
      <w:r>
        <w:rPr>
          <w:rStyle w:val="100"/>
          <w:rFonts w:ascii="Times New Roman" w:hAnsi="Times New Roman"/>
          <w:snapToGrid w:val="0"/>
          <w:color w:val="auto"/>
          <w:sz w:val="24"/>
        </w:rPr>
        <w:fldChar w:fldCharType="end"/>
      </w:r>
      <w:r>
        <w:rPr>
          <w:rStyle w:val="100"/>
          <w:rFonts w:ascii="Times New Roman" w:hAnsi="Times New Roman"/>
          <w:snapToGrid w:val="0"/>
          <w:color w:val="auto"/>
          <w:sz w:val="24"/>
        </w:rPr>
        <w:fldChar w:fldCharType="end"/>
      </w:r>
    </w:p>
    <w:p>
      <w:pPr>
        <w:pStyle w:val="60"/>
        <w:tabs>
          <w:tab w:val="right" w:leader="dot" w:pos="8834"/>
        </w:tabs>
        <w:spacing w:line="480" w:lineRule="auto"/>
        <w:rPr>
          <w:rStyle w:val="100"/>
          <w:rFonts w:ascii="Times New Roman" w:hAnsi="Times New Roman"/>
          <w:snapToGrid w:val="0"/>
          <w:color w:val="auto"/>
          <w:sz w:val="24"/>
        </w:rPr>
      </w:pP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HYPERLINK \l "_Toc83158457"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四、生态环境影响分析</w:t>
      </w:r>
      <w:r>
        <w:rPr>
          <w:rStyle w:val="100"/>
          <w:rFonts w:ascii="Times New Roman" w:hAnsi="Times New Roman"/>
          <w:snapToGrid w:val="0"/>
          <w:color w:val="auto"/>
          <w:sz w:val="24"/>
        </w:rPr>
        <w:tab/>
      </w: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PAGEREF _Toc83158457 \h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34</w:t>
      </w:r>
      <w:r>
        <w:rPr>
          <w:rStyle w:val="100"/>
          <w:rFonts w:ascii="Times New Roman" w:hAnsi="Times New Roman"/>
          <w:snapToGrid w:val="0"/>
          <w:color w:val="auto"/>
          <w:sz w:val="24"/>
        </w:rPr>
        <w:fldChar w:fldCharType="end"/>
      </w:r>
      <w:r>
        <w:rPr>
          <w:rStyle w:val="100"/>
          <w:rFonts w:ascii="Times New Roman" w:hAnsi="Times New Roman"/>
          <w:snapToGrid w:val="0"/>
          <w:color w:val="auto"/>
          <w:sz w:val="24"/>
        </w:rPr>
        <w:fldChar w:fldCharType="end"/>
      </w:r>
    </w:p>
    <w:p>
      <w:pPr>
        <w:pStyle w:val="60"/>
        <w:tabs>
          <w:tab w:val="right" w:leader="dot" w:pos="8834"/>
        </w:tabs>
        <w:spacing w:line="480" w:lineRule="auto"/>
        <w:rPr>
          <w:rStyle w:val="100"/>
          <w:rFonts w:ascii="Times New Roman" w:hAnsi="Times New Roman"/>
          <w:snapToGrid w:val="0"/>
          <w:color w:val="auto"/>
          <w:sz w:val="24"/>
        </w:rPr>
      </w:pP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HYPERLINK \l "_Toc83158466"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五、主要生态环境保护措施</w:t>
      </w:r>
      <w:r>
        <w:rPr>
          <w:rStyle w:val="100"/>
          <w:rFonts w:ascii="Times New Roman" w:hAnsi="Times New Roman"/>
          <w:snapToGrid w:val="0"/>
          <w:color w:val="auto"/>
          <w:sz w:val="24"/>
        </w:rPr>
        <w:tab/>
      </w: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PAGEREF _Toc83158466 \h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49</w:t>
      </w:r>
      <w:r>
        <w:rPr>
          <w:rStyle w:val="100"/>
          <w:rFonts w:ascii="Times New Roman" w:hAnsi="Times New Roman"/>
          <w:snapToGrid w:val="0"/>
          <w:color w:val="auto"/>
          <w:sz w:val="24"/>
        </w:rPr>
        <w:fldChar w:fldCharType="end"/>
      </w:r>
      <w:r>
        <w:rPr>
          <w:rStyle w:val="100"/>
          <w:rFonts w:ascii="Times New Roman" w:hAnsi="Times New Roman"/>
          <w:snapToGrid w:val="0"/>
          <w:color w:val="auto"/>
          <w:sz w:val="24"/>
        </w:rPr>
        <w:fldChar w:fldCharType="end"/>
      </w:r>
    </w:p>
    <w:p>
      <w:pPr>
        <w:pStyle w:val="60"/>
        <w:tabs>
          <w:tab w:val="right" w:leader="dot" w:pos="8834"/>
        </w:tabs>
        <w:spacing w:line="480" w:lineRule="auto"/>
        <w:rPr>
          <w:rStyle w:val="100"/>
          <w:rFonts w:ascii="Times New Roman" w:hAnsi="Times New Roman"/>
          <w:snapToGrid w:val="0"/>
          <w:color w:val="auto"/>
          <w:sz w:val="24"/>
        </w:rPr>
      </w:pP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HYPERLINK \l "_Toc83158510"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六、生态环境保护措施监督检查清单</w:t>
      </w:r>
      <w:r>
        <w:rPr>
          <w:rStyle w:val="100"/>
          <w:rFonts w:ascii="Times New Roman" w:hAnsi="Times New Roman"/>
          <w:snapToGrid w:val="0"/>
          <w:color w:val="auto"/>
          <w:sz w:val="24"/>
        </w:rPr>
        <w:tab/>
      </w: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PAGEREF _Toc83158510 \h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58</w:t>
      </w:r>
      <w:r>
        <w:rPr>
          <w:rStyle w:val="100"/>
          <w:rFonts w:ascii="Times New Roman" w:hAnsi="Times New Roman"/>
          <w:snapToGrid w:val="0"/>
          <w:color w:val="auto"/>
          <w:sz w:val="24"/>
        </w:rPr>
        <w:fldChar w:fldCharType="end"/>
      </w:r>
      <w:r>
        <w:rPr>
          <w:rStyle w:val="100"/>
          <w:rFonts w:ascii="Times New Roman" w:hAnsi="Times New Roman"/>
          <w:snapToGrid w:val="0"/>
          <w:color w:val="auto"/>
          <w:sz w:val="24"/>
        </w:rPr>
        <w:fldChar w:fldCharType="end"/>
      </w:r>
    </w:p>
    <w:p>
      <w:pPr>
        <w:pStyle w:val="60"/>
        <w:tabs>
          <w:tab w:val="right" w:leader="dot" w:pos="8834"/>
        </w:tabs>
        <w:spacing w:line="480" w:lineRule="auto"/>
        <w:rPr>
          <w:rStyle w:val="100"/>
          <w:rFonts w:ascii="Times New Roman" w:hAnsi="Times New Roman"/>
          <w:snapToGrid w:val="0"/>
          <w:color w:val="auto"/>
          <w:sz w:val="24"/>
        </w:rPr>
      </w:pP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HYPERLINK \l "_Toc83158519"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七、结论</w:t>
      </w:r>
      <w:r>
        <w:rPr>
          <w:rStyle w:val="100"/>
          <w:rFonts w:ascii="Times New Roman" w:hAnsi="Times New Roman"/>
          <w:snapToGrid w:val="0"/>
          <w:color w:val="auto"/>
          <w:sz w:val="24"/>
        </w:rPr>
        <w:tab/>
      </w:r>
      <w:r>
        <w:rPr>
          <w:rStyle w:val="100"/>
          <w:rFonts w:ascii="Times New Roman" w:hAnsi="Times New Roman"/>
          <w:snapToGrid w:val="0"/>
          <w:color w:val="auto"/>
          <w:sz w:val="24"/>
        </w:rPr>
        <w:fldChar w:fldCharType="begin"/>
      </w:r>
      <w:r>
        <w:rPr>
          <w:rStyle w:val="100"/>
          <w:rFonts w:ascii="Times New Roman" w:hAnsi="Times New Roman"/>
          <w:snapToGrid w:val="0"/>
          <w:color w:val="auto"/>
          <w:sz w:val="24"/>
        </w:rPr>
        <w:instrText xml:space="preserve"> PAGEREF _Toc83158519 \h </w:instrText>
      </w:r>
      <w:r>
        <w:rPr>
          <w:rStyle w:val="100"/>
          <w:rFonts w:ascii="Times New Roman" w:hAnsi="Times New Roman"/>
          <w:snapToGrid w:val="0"/>
          <w:color w:val="auto"/>
          <w:sz w:val="24"/>
        </w:rPr>
        <w:fldChar w:fldCharType="separate"/>
      </w:r>
      <w:r>
        <w:rPr>
          <w:rStyle w:val="100"/>
          <w:rFonts w:ascii="Times New Roman" w:hAnsi="Times New Roman"/>
          <w:snapToGrid w:val="0"/>
          <w:color w:val="auto"/>
          <w:sz w:val="24"/>
        </w:rPr>
        <w:t>66</w:t>
      </w:r>
      <w:r>
        <w:rPr>
          <w:rStyle w:val="100"/>
          <w:rFonts w:ascii="Times New Roman" w:hAnsi="Times New Roman"/>
          <w:snapToGrid w:val="0"/>
          <w:color w:val="auto"/>
          <w:sz w:val="24"/>
        </w:rPr>
        <w:fldChar w:fldCharType="end"/>
      </w:r>
      <w:r>
        <w:rPr>
          <w:rStyle w:val="100"/>
          <w:rFonts w:ascii="Times New Roman" w:hAnsi="Times New Roman"/>
          <w:snapToGrid w:val="0"/>
          <w:color w:val="auto"/>
          <w:sz w:val="24"/>
        </w:rPr>
        <w:fldChar w:fldCharType="end"/>
      </w:r>
    </w:p>
    <w:p>
      <w:pPr>
        <w:spacing w:line="360" w:lineRule="auto"/>
        <w:rPr>
          <w:b/>
          <w:bCs/>
          <w:color w:val="auto"/>
          <w:lang w:val="zh-CN"/>
        </w:rPr>
      </w:pPr>
      <w:r>
        <w:rPr>
          <w:b/>
          <w:bCs/>
          <w:color w:val="auto"/>
          <w:lang w:val="zh-CN"/>
        </w:rPr>
        <w:fldChar w:fldCharType="end"/>
      </w: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spacing w:line="360" w:lineRule="auto"/>
        <w:rPr>
          <w:b/>
          <w:bCs/>
          <w:color w:val="auto"/>
          <w:lang w:val="zh-CN"/>
        </w:rPr>
      </w:pPr>
    </w:p>
    <w:p>
      <w:pPr>
        <w:pageBreakBefore/>
        <w:rPr>
          <w:b/>
          <w:bCs/>
          <w:color w:val="auto"/>
          <w:sz w:val="24"/>
        </w:rPr>
      </w:pPr>
      <w:r>
        <w:rPr>
          <w:b/>
          <w:bCs/>
          <w:color w:val="auto"/>
          <w:sz w:val="24"/>
        </w:rPr>
        <w:t>附件：</w:t>
      </w:r>
    </w:p>
    <w:p>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附件1 委托书；</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附件2 立项批复；</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附件3 建设单位营业执照；</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附件4 环境影响评价合同；</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附件5 编制工作进度表；</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附件6 内部审核记录表。</w:t>
      </w:r>
    </w:p>
    <w:p>
      <w:pPr>
        <w:adjustRightInd w:val="0"/>
        <w:snapToGrid w:val="0"/>
        <w:spacing w:line="360" w:lineRule="auto"/>
        <w:ind w:firstLine="480" w:firstLineChars="200"/>
        <w:rPr>
          <w:rFonts w:hint="eastAsia"/>
          <w:color w:val="auto"/>
          <w:sz w:val="24"/>
          <w:lang w:val="en-US" w:eastAsia="zh-CN"/>
        </w:rPr>
      </w:pPr>
    </w:p>
    <w:p>
      <w:pPr>
        <w:rPr>
          <w:rFonts w:hint="eastAsia"/>
          <w:color w:val="auto"/>
          <w:lang w:eastAsia="zh-CN"/>
        </w:rPr>
      </w:pPr>
    </w:p>
    <w:p>
      <w:pPr>
        <w:adjustRightInd w:val="0"/>
        <w:snapToGrid w:val="0"/>
        <w:spacing w:line="288" w:lineRule="auto"/>
        <w:rPr>
          <w:b/>
          <w:bCs/>
          <w:color w:val="auto"/>
          <w:sz w:val="24"/>
        </w:rPr>
      </w:pPr>
      <w:r>
        <w:rPr>
          <w:b/>
          <w:bCs/>
          <w:color w:val="auto"/>
          <w:sz w:val="24"/>
        </w:rPr>
        <w:t>附图：</w:t>
      </w:r>
    </w:p>
    <w:p>
      <w:pPr>
        <w:adjustRightInd w:val="0"/>
        <w:snapToGrid w:val="0"/>
        <w:spacing w:line="360" w:lineRule="auto"/>
        <w:ind w:firstLine="480" w:firstLineChars="200"/>
        <w:rPr>
          <w:color w:val="auto"/>
          <w:sz w:val="24"/>
        </w:rPr>
      </w:pPr>
      <w:r>
        <w:rPr>
          <w:color w:val="auto"/>
          <w:sz w:val="24"/>
        </w:rPr>
        <w:t xml:space="preserve">附图1 </w:t>
      </w:r>
      <w:r>
        <w:rPr>
          <w:rFonts w:hint="eastAsia"/>
          <w:color w:val="auto"/>
          <w:sz w:val="24"/>
          <w:lang w:val="en-US" w:eastAsia="zh-CN"/>
        </w:rPr>
        <w:t>项目</w:t>
      </w:r>
      <w:r>
        <w:rPr>
          <w:color w:val="auto"/>
          <w:sz w:val="24"/>
        </w:rPr>
        <w:t>地理位置图；</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 xml:space="preserve"> 项目区水系图</w:t>
      </w:r>
      <w:r>
        <w:rPr>
          <w:rFonts w:hint="eastAsia" w:ascii="Times New Roman" w:hAnsi="Times New Roman" w:eastAsia="宋体" w:cs="Times New Roman"/>
          <w:color w:val="auto"/>
          <w:sz w:val="24"/>
          <w:lang w:val="en-US" w:eastAsia="zh-CN"/>
        </w:rPr>
        <w:t>；</w:t>
      </w:r>
    </w:p>
    <w:p>
      <w:pPr>
        <w:adjustRightInd w:val="0"/>
        <w:snapToGrid w:val="0"/>
        <w:spacing w:line="360" w:lineRule="auto"/>
        <w:ind w:firstLine="480" w:firstLineChars="200"/>
        <w:rPr>
          <w:color w:val="auto"/>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r>
        <w:rPr>
          <w:rFonts w:hint="eastAsia" w:ascii="Times New Roman" w:hAnsi="Times New Roman" w:eastAsia="宋体" w:cs="Times New Roman"/>
          <w:color w:val="auto"/>
          <w:sz w:val="24"/>
          <w:lang w:val="en-US" w:eastAsia="zh-CN"/>
        </w:rPr>
        <w:t>附图3 项目平面布置图；。</w:t>
      </w:r>
    </w:p>
    <w:p>
      <w:pPr>
        <w:pStyle w:val="82"/>
        <w:jc w:val="center"/>
        <w:outlineLvl w:val="0"/>
        <w:rPr>
          <w:rFonts w:hint="eastAsia" w:ascii="黑体" w:hAnsi="黑体" w:eastAsia="黑体" w:cs="黑体"/>
          <w:snapToGrid w:val="0"/>
          <w:color w:val="auto"/>
          <w:sz w:val="30"/>
          <w:szCs w:val="30"/>
        </w:rPr>
      </w:pPr>
      <w:bookmarkStart w:id="4" w:name="_Toc83158197"/>
      <w:bookmarkStart w:id="5" w:name="_Toc83158362"/>
      <w:r>
        <w:rPr>
          <w:rFonts w:hint="eastAsia" w:ascii="黑体" w:hAnsi="黑体" w:eastAsia="黑体" w:cs="黑体"/>
          <w:snapToGrid w:val="0"/>
          <w:color w:val="auto"/>
          <w:sz w:val="30"/>
          <w:szCs w:val="30"/>
        </w:rPr>
        <w:t>一、建设项目基本情况</w:t>
      </w:r>
      <w:bookmarkEnd w:id="4"/>
      <w:bookmarkEnd w:id="5"/>
    </w:p>
    <w:tbl>
      <w:tblPr>
        <w:tblStyle w:val="89"/>
        <w:tblW w:w="94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5"/>
        <w:gridCol w:w="1599"/>
        <w:gridCol w:w="1989"/>
        <w:gridCol w:w="2160"/>
        <w:gridCol w:w="10"/>
        <w:gridCol w:w="31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7290" w:type="dxa"/>
            <w:gridSpan w:val="4"/>
            <w:noWrap w:val="0"/>
            <w:vAlign w:val="center"/>
          </w:tcPr>
          <w:p>
            <w:pPr>
              <w:adjustRightInd w:val="0"/>
              <w:snapToGrid w:val="0"/>
              <w:jc w:val="center"/>
              <w:rPr>
                <w:rFonts w:hint="eastAsia" w:eastAsia="宋体"/>
                <w:color w:val="auto"/>
                <w:sz w:val="24"/>
                <w:lang w:eastAsia="zh-CN"/>
              </w:rPr>
            </w:pPr>
            <w:r>
              <w:rPr>
                <w:rFonts w:hint="eastAsia"/>
                <w:color w:val="auto"/>
                <w:sz w:val="24"/>
                <w:lang w:eastAsia="zh-CN"/>
              </w:rPr>
              <w:t>望风屏景区建设项目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7290" w:type="dxa"/>
            <w:gridSpan w:val="4"/>
            <w:noWrap w:val="0"/>
            <w:vAlign w:val="center"/>
          </w:tcPr>
          <w:p>
            <w:pPr>
              <w:adjustRightInd w:val="0"/>
              <w:snapToGrid w:val="0"/>
              <w:jc w:val="center"/>
              <w:rPr>
                <w:rFonts w:hint="default" w:eastAsia="宋体"/>
                <w:color w:val="auto"/>
                <w:sz w:val="24"/>
                <w:lang w:val="en-US" w:eastAsia="zh-CN"/>
              </w:rPr>
            </w:pPr>
            <w:r>
              <w:rPr>
                <w:rFonts w:hint="eastAsia" w:eastAsia="宋体"/>
                <w:color w:val="auto"/>
                <w:sz w:val="24"/>
                <w:lang w:val="en-US" w:eastAsia="zh-CN"/>
              </w:rPr>
              <w:t>2511-530127-04-01-639877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989" w:type="dxa"/>
            <w:noWrap w:val="0"/>
            <w:vAlign w:val="center"/>
          </w:tcPr>
          <w:p>
            <w:pPr>
              <w:adjustRightInd w:val="0"/>
              <w:snapToGrid w:val="0"/>
              <w:jc w:val="center"/>
              <w:rPr>
                <w:color w:val="auto"/>
                <w:sz w:val="24"/>
              </w:rPr>
            </w:pPr>
            <w:r>
              <w:rPr>
                <w:rFonts w:hint="eastAsia"/>
                <w:color w:val="auto"/>
                <w:sz w:val="24"/>
              </w:rPr>
              <w:t>杨增武</w:t>
            </w:r>
          </w:p>
        </w:tc>
        <w:tc>
          <w:tcPr>
            <w:tcW w:w="2170" w:type="dxa"/>
            <w:gridSpan w:val="2"/>
            <w:noWrap w:val="0"/>
            <w:vAlign w:val="center"/>
          </w:tcPr>
          <w:p>
            <w:pPr>
              <w:adjustRightInd w:val="0"/>
              <w:snapToGrid w:val="0"/>
              <w:jc w:val="center"/>
              <w:rPr>
                <w:color w:val="auto"/>
                <w:sz w:val="24"/>
              </w:rPr>
            </w:pPr>
            <w:r>
              <w:rPr>
                <w:color w:val="auto"/>
                <w:sz w:val="24"/>
              </w:rPr>
              <w:t>联系方式</w:t>
            </w:r>
          </w:p>
        </w:tc>
        <w:tc>
          <w:tcPr>
            <w:tcW w:w="3131"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xxxxxxxxxxx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7290" w:type="dxa"/>
            <w:gridSpan w:val="4"/>
            <w:noWrap w:val="0"/>
            <w:vAlign w:val="center"/>
          </w:tcPr>
          <w:p>
            <w:pPr>
              <w:adjustRightInd w:val="0"/>
              <w:snapToGrid w:val="0"/>
              <w:jc w:val="center"/>
              <w:rPr>
                <w:rFonts w:hint="eastAsia" w:eastAsia="宋体"/>
                <w:color w:val="auto"/>
                <w:sz w:val="24"/>
                <w:lang w:eastAsia="zh-CN"/>
              </w:rPr>
            </w:pPr>
            <w:r>
              <w:rPr>
                <w:rFonts w:hint="eastAsia"/>
                <w:color w:val="auto"/>
                <w:sz w:val="24"/>
                <w:lang w:eastAsia="zh-CN"/>
              </w:rPr>
              <w:t>云南省昆明市嵩明县嵩阳街道山脚社区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7290" w:type="dxa"/>
            <w:gridSpan w:val="4"/>
            <w:noWrap w:val="0"/>
            <w:vAlign w:val="center"/>
          </w:tcPr>
          <w:p>
            <w:pPr>
              <w:adjustRightInd w:val="0"/>
              <w:snapToGrid w:val="0"/>
              <w:jc w:val="center"/>
              <w:rPr>
                <w:color w:val="auto"/>
                <w:sz w:val="24"/>
                <w:highlight w:val="yellow"/>
              </w:rPr>
            </w:pPr>
            <w:r>
              <w:rPr>
                <w:rFonts w:hint="eastAsia"/>
                <w:color w:val="auto"/>
                <w:sz w:val="24"/>
              </w:rPr>
              <w:t>中心地理坐标为东经103°0′30.596″，北纬25°21′10.998″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行业类别</w:t>
            </w:r>
          </w:p>
        </w:tc>
        <w:tc>
          <w:tcPr>
            <w:tcW w:w="1989" w:type="dxa"/>
            <w:noWrap w:val="0"/>
            <w:vAlign w:val="center"/>
          </w:tcPr>
          <w:p>
            <w:pPr>
              <w:adjustRightInd w:val="0"/>
              <w:snapToGrid w:val="0"/>
              <w:jc w:val="center"/>
              <w:rPr>
                <w:rFonts w:hint="default"/>
                <w:color w:val="auto"/>
                <w:lang w:val="en-US"/>
              </w:rPr>
            </w:pPr>
            <w:r>
              <w:rPr>
                <w:rFonts w:hint="eastAsia" w:ascii="Times New Roman" w:hAnsi="Times New Roman" w:eastAsia="宋体" w:cs="Times New Roman"/>
                <w:color w:val="auto"/>
                <w:sz w:val="24"/>
                <w:lang w:val="en-US" w:eastAsia="zh-CN"/>
              </w:rPr>
              <w:t>五十</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社会事业与服务业</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114、公园中其他公园</w:t>
            </w:r>
          </w:p>
        </w:tc>
        <w:tc>
          <w:tcPr>
            <w:tcW w:w="2160" w:type="dxa"/>
            <w:noWrap w:val="0"/>
            <w:vAlign w:val="center"/>
          </w:tcPr>
          <w:p>
            <w:pPr>
              <w:adjustRightInd w:val="0"/>
              <w:snapToGrid w:val="0"/>
              <w:jc w:val="center"/>
              <w:rPr>
                <w:color w:val="auto"/>
                <w:sz w:val="24"/>
              </w:rPr>
            </w:pPr>
            <w:r>
              <w:rPr>
                <w:color w:val="auto"/>
                <w:sz w:val="24"/>
              </w:rPr>
              <w:t>用地（用海）面积（m</w:t>
            </w:r>
            <w:r>
              <w:rPr>
                <w:color w:val="auto"/>
                <w:sz w:val="24"/>
                <w:vertAlign w:val="superscript"/>
              </w:rPr>
              <w:t>2</w:t>
            </w:r>
            <w:r>
              <w:rPr>
                <w:color w:val="auto"/>
                <w:sz w:val="24"/>
              </w:rPr>
              <w:t>）/长度（km）</w:t>
            </w:r>
          </w:p>
        </w:tc>
        <w:tc>
          <w:tcPr>
            <w:tcW w:w="3141" w:type="dxa"/>
            <w:gridSpan w:val="2"/>
            <w:noWrap w:val="0"/>
            <w:vAlign w:val="center"/>
          </w:tcPr>
          <w:p>
            <w:pPr>
              <w:adjustRightInd w:val="0"/>
              <w:snapToGrid w:val="0"/>
              <w:jc w:val="center"/>
              <w:rPr>
                <w:rFonts w:hint="default" w:eastAsia="宋体"/>
                <w:color w:val="auto"/>
                <w:sz w:val="24"/>
                <w:lang w:val="en-US" w:eastAsia="zh-CN"/>
              </w:rPr>
            </w:pPr>
            <w:r>
              <w:rPr>
                <w:rFonts w:hint="default" w:eastAsia="宋体"/>
                <w:color w:val="auto"/>
                <w:sz w:val="24"/>
                <w:lang w:val="en-US" w:eastAsia="zh-CN"/>
              </w:rPr>
              <w:t>14666.67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989" w:type="dxa"/>
            <w:noWrap w:val="0"/>
            <w:vAlign w:val="center"/>
          </w:tcPr>
          <w:p>
            <w:pPr>
              <w:adjustRightInd w:val="0"/>
              <w:snapToGrid w:val="0"/>
              <w:jc w:val="left"/>
              <w:rPr>
                <w:color w:val="auto"/>
                <w:sz w:val="24"/>
              </w:rPr>
            </w:pPr>
            <w:r>
              <w:rPr>
                <w:color w:val="auto"/>
                <w:sz w:val="24"/>
              </w:rPr>
              <w:sym w:font="Wingdings 2" w:char="0052"/>
            </w:r>
            <w:r>
              <w:rPr>
                <w:color w:val="auto"/>
                <w:sz w:val="24"/>
              </w:rPr>
              <w:t>新建（迁建）</w:t>
            </w:r>
          </w:p>
          <w:p>
            <w:pPr>
              <w:adjustRightInd w:val="0"/>
              <w:snapToGrid w:val="0"/>
              <w:jc w:val="left"/>
              <w:rPr>
                <w:color w:val="auto"/>
                <w:sz w:val="24"/>
              </w:rPr>
            </w:pPr>
            <w:r>
              <w:rPr>
                <w:color w:val="auto"/>
                <w:sz w:val="24"/>
              </w:rPr>
              <w:sym w:font="Wingdings 2" w:char="0052"/>
            </w:r>
            <w:r>
              <w:rPr>
                <w:color w:val="auto"/>
                <w:sz w:val="24"/>
              </w:rPr>
              <w:t>改建</w:t>
            </w:r>
          </w:p>
          <w:p>
            <w:pPr>
              <w:adjustRightInd w:val="0"/>
              <w:snapToGrid w:val="0"/>
              <w:jc w:val="left"/>
              <w:rPr>
                <w:color w:val="auto"/>
                <w:sz w:val="24"/>
              </w:rPr>
            </w:pPr>
            <w:r>
              <w:rPr>
                <w:color w:val="auto"/>
                <w:sz w:val="24"/>
              </w:rPr>
              <w:sym w:font="Wingdings 2" w:char="00A3"/>
            </w:r>
            <w:r>
              <w:rPr>
                <w:color w:val="auto"/>
                <w:sz w:val="24"/>
              </w:rPr>
              <w:t>扩建</w:t>
            </w:r>
          </w:p>
          <w:p>
            <w:pPr>
              <w:adjustRightInd w:val="0"/>
              <w:snapToGrid w:val="0"/>
              <w:jc w:val="left"/>
              <w:rPr>
                <w:color w:val="auto"/>
                <w:sz w:val="24"/>
              </w:rPr>
            </w:pPr>
            <w:r>
              <w:rPr>
                <w:color w:val="auto"/>
                <w:sz w:val="24"/>
              </w:rPr>
              <w:sym w:font="Wingdings 2" w:char="00A3"/>
            </w:r>
            <w:r>
              <w:rPr>
                <w:color w:val="auto"/>
                <w:sz w:val="24"/>
              </w:rPr>
              <w:t>技术改造</w:t>
            </w:r>
          </w:p>
        </w:tc>
        <w:tc>
          <w:tcPr>
            <w:tcW w:w="2160" w:type="dxa"/>
            <w:noWrap w:val="0"/>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3141" w:type="dxa"/>
            <w:gridSpan w:val="2"/>
            <w:noWrap w:val="0"/>
            <w:vAlign w:val="center"/>
          </w:tcPr>
          <w:p>
            <w:pPr>
              <w:adjustRightInd w:val="0"/>
              <w:snapToGrid w:val="0"/>
              <w:jc w:val="left"/>
              <w:rPr>
                <w:color w:val="auto"/>
                <w:sz w:val="24"/>
              </w:rPr>
            </w:pPr>
            <w:r>
              <w:rPr>
                <w:color w:val="auto"/>
                <w:sz w:val="24"/>
              </w:rPr>
              <w:sym w:font="Wingdings 2" w:char="0052"/>
            </w:r>
            <w:r>
              <w:rPr>
                <w:color w:val="auto"/>
                <w:sz w:val="24"/>
              </w:rPr>
              <w:t>首次申报项目</w:t>
            </w:r>
          </w:p>
          <w:p>
            <w:pPr>
              <w:adjustRightInd w:val="0"/>
              <w:snapToGrid w:val="0"/>
              <w:jc w:val="left"/>
              <w:rPr>
                <w:color w:val="auto"/>
                <w:sz w:val="24"/>
              </w:rPr>
            </w:pPr>
            <w:r>
              <w:rPr>
                <w:color w:val="auto"/>
                <w:sz w:val="24"/>
              </w:rPr>
              <w:sym w:font="Wingdings 2" w:char="00A3"/>
            </w:r>
            <w:r>
              <w:rPr>
                <w:color w:val="auto"/>
                <w:sz w:val="24"/>
              </w:rPr>
              <w:t>不予批准后再次申报项目</w:t>
            </w:r>
          </w:p>
          <w:p>
            <w:pPr>
              <w:adjustRightInd w:val="0"/>
              <w:snapToGrid w:val="0"/>
              <w:jc w:val="left"/>
              <w:rPr>
                <w:color w:val="auto"/>
                <w:sz w:val="24"/>
              </w:rPr>
            </w:pPr>
            <w:r>
              <w:rPr>
                <w:color w:val="auto"/>
                <w:sz w:val="24"/>
              </w:rPr>
              <w:sym w:font="Wingdings 2" w:char="00A3"/>
            </w:r>
            <w:r>
              <w:rPr>
                <w:color w:val="auto"/>
                <w:sz w:val="24"/>
              </w:rPr>
              <w:t>超五年重新审核项目</w:t>
            </w:r>
          </w:p>
          <w:p>
            <w:pPr>
              <w:adjustRightInd w:val="0"/>
              <w:snapToGrid w:val="0"/>
              <w:rPr>
                <w:color w:val="auto"/>
                <w:sz w:val="24"/>
              </w:rPr>
            </w:pPr>
            <w:r>
              <w:rPr>
                <w:color w:val="auto"/>
                <w:sz w:val="24"/>
              </w:rPr>
              <w:sym w:font="Wingdings 2" w:char="00A3"/>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1989"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嵩明县发展和改革局</w:t>
            </w:r>
          </w:p>
        </w:tc>
        <w:tc>
          <w:tcPr>
            <w:tcW w:w="2160" w:type="dxa"/>
            <w:noWrap w:val="0"/>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3141" w:type="dxa"/>
            <w:gridSpan w:val="2"/>
            <w:noWrap w:val="0"/>
            <w:vAlign w:val="center"/>
          </w:tcPr>
          <w:p>
            <w:pPr>
              <w:adjustRightInd w:val="0"/>
              <w:snapToGrid w:val="0"/>
              <w:jc w:val="center"/>
              <w:rPr>
                <w:rFonts w:hint="eastAsia" w:eastAsia="宋体"/>
                <w:color w:val="auto"/>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989" w:type="dxa"/>
            <w:noWrap w:val="0"/>
            <w:vAlign w:val="center"/>
          </w:tcPr>
          <w:p>
            <w:pPr>
              <w:adjustRightInd w:val="0"/>
              <w:snapToGrid w:val="0"/>
              <w:jc w:val="center"/>
              <w:rPr>
                <w:rFonts w:hint="default"/>
                <w:color w:val="auto"/>
                <w:sz w:val="24"/>
                <w:lang w:val="en-US"/>
              </w:rPr>
            </w:pPr>
            <w:r>
              <w:rPr>
                <w:rFonts w:hint="eastAsia"/>
                <w:color w:val="auto"/>
                <w:sz w:val="24"/>
                <w:lang w:val="en-US" w:eastAsia="zh-CN"/>
              </w:rPr>
              <w:t>830</w:t>
            </w:r>
          </w:p>
        </w:tc>
        <w:tc>
          <w:tcPr>
            <w:tcW w:w="2160" w:type="dxa"/>
            <w:noWrap w:val="0"/>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3141" w:type="dxa"/>
            <w:gridSpan w:val="2"/>
            <w:noWrap w:val="0"/>
            <w:vAlign w:val="center"/>
          </w:tcPr>
          <w:p>
            <w:pPr>
              <w:adjustRightInd w:val="0"/>
              <w:snapToGrid w:val="0"/>
              <w:jc w:val="center"/>
              <w:rPr>
                <w:rFonts w:hint="default"/>
                <w:color w:val="auto"/>
                <w:sz w:val="24"/>
                <w:lang w:val="en-US"/>
              </w:rPr>
            </w:pPr>
            <w:r>
              <w:rPr>
                <w:rFonts w:hint="default"/>
                <w:color w:val="auto"/>
                <w:sz w:val="24"/>
                <w:lang w:val="en-US"/>
              </w:rPr>
              <w:t>36.5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989"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4.39</w:t>
            </w:r>
          </w:p>
        </w:tc>
        <w:tc>
          <w:tcPr>
            <w:tcW w:w="2160" w:type="dxa"/>
            <w:noWrap w:val="0"/>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3141" w:type="dxa"/>
            <w:gridSpan w:val="2"/>
            <w:noWrap w:val="0"/>
            <w:vAlign w:val="center"/>
          </w:tcPr>
          <w:p>
            <w:pPr>
              <w:adjustRightInd w:val="0"/>
              <w:snapToGrid w:val="0"/>
              <w:jc w:val="center"/>
              <w:rPr>
                <w:color w:val="auto"/>
                <w:sz w:val="24"/>
              </w:rPr>
            </w:pPr>
            <w:r>
              <w:rPr>
                <w:rFonts w:hint="eastAsia"/>
                <w:color w:val="auto"/>
                <w:sz w:val="24"/>
                <w:lang w:val="en-US" w:eastAsia="zh-CN"/>
              </w:rPr>
              <w:t>6</w:t>
            </w:r>
            <w:r>
              <w:rPr>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2164"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7290" w:type="dxa"/>
            <w:gridSpan w:val="4"/>
            <w:noWrap w:val="0"/>
            <w:vAlign w:val="center"/>
          </w:tcPr>
          <w:p>
            <w:pPr>
              <w:adjustRightInd w:val="0"/>
              <w:snapToGrid w:val="0"/>
              <w:ind w:firstLine="105"/>
              <w:jc w:val="left"/>
              <w:rPr>
                <w:color w:val="auto"/>
                <w:sz w:val="24"/>
              </w:rPr>
            </w:pPr>
            <w:r>
              <w:rPr>
                <w:color w:val="auto"/>
                <w:sz w:val="24"/>
              </w:rPr>
              <w:sym w:font="Wingdings 2" w:char="00A3"/>
            </w:r>
            <w:r>
              <w:rPr>
                <w:color w:val="auto"/>
                <w:sz w:val="24"/>
              </w:rPr>
              <w:t>否</w:t>
            </w:r>
          </w:p>
          <w:p>
            <w:pPr>
              <w:adjustRightInd w:val="0"/>
              <w:snapToGrid w:val="0"/>
              <w:ind w:firstLine="92"/>
              <w:jc w:val="left"/>
              <w:rPr>
                <w:color w:val="auto"/>
                <w:sz w:val="24"/>
              </w:rPr>
            </w:pPr>
            <w:r>
              <w:rPr>
                <w:color w:val="auto"/>
                <w:sz w:val="24"/>
              </w:rPr>
              <w:sym w:font="Wingdings 2" w:char="0052"/>
            </w:r>
            <w:r>
              <w:rPr>
                <w:color w:val="auto"/>
                <w:sz w:val="24"/>
              </w:rPr>
              <w:t>是：</w:t>
            </w:r>
            <w:r>
              <w:rPr>
                <w:color w:val="auto"/>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2164" w:type="dxa"/>
            <w:gridSpan w:val="2"/>
            <w:noWrap w:val="0"/>
            <w:tcMar>
              <w:top w:w="16" w:type="dxa"/>
              <w:left w:w="16" w:type="dxa"/>
              <w:right w:w="16" w:type="dxa"/>
            </w:tcMar>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7290" w:type="dxa"/>
            <w:gridSpan w:val="4"/>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olor w:val="auto"/>
                <w:kern w:val="0"/>
                <w:sz w:val="24"/>
                <w:lang w:val="en-US" w:eastAsia="zh-CN"/>
              </w:rPr>
            </w:pPr>
            <w:r>
              <w:rPr>
                <w:rFonts w:hint="eastAsia"/>
                <w:color w:val="auto"/>
                <w:kern w:val="0"/>
                <w:sz w:val="24"/>
                <w:lang w:val="en-US" w:eastAsia="zh-CN"/>
              </w:rPr>
              <w:t>对照</w:t>
            </w:r>
            <w:r>
              <w:rPr>
                <w:rFonts w:hint="eastAsia"/>
                <w:color w:val="auto"/>
                <w:kern w:val="0"/>
                <w:sz w:val="24"/>
              </w:rPr>
              <w:t>建设项目环境影响报告表编制技术指南（生态影响类）（试行）</w:t>
            </w:r>
            <w:r>
              <w:rPr>
                <w:rFonts w:hint="eastAsia"/>
                <w:color w:val="auto"/>
                <w:kern w:val="0"/>
                <w:sz w:val="24"/>
                <w:lang w:val="en-US" w:eastAsia="zh-CN"/>
              </w:rPr>
              <w:t>中对于专项评价设置的原则，具体情况见下表。</w:t>
            </w:r>
          </w:p>
          <w:p>
            <w:pPr>
              <w:pStyle w:val="35"/>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表1</w:t>
            </w:r>
            <w:r>
              <w:rPr>
                <w:rFonts w:hint="eastAsia" w:ascii="Times New Roman" w:hAnsi="Times New Roman" w:eastAsia="宋体"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lang w:val="en-US" w:eastAsia="zh-CN"/>
              </w:rPr>
              <w:t xml:space="preserve"> 专项评价设置原则对照表</w:t>
            </w:r>
          </w:p>
          <w:tbl>
            <w:tblPr>
              <w:tblStyle w:val="90"/>
              <w:tblpPr w:leftFromText="180" w:rightFromText="180" w:vertAnchor="text" w:horzAnchor="page" w:tblpXSpec="center" w:tblpY="267"/>
              <w:tblOverlap w:val="never"/>
              <w:tblW w:w="7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3357"/>
              <w:gridCol w:w="1959"/>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64"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b/>
                      <w:bCs/>
                      <w:color w:val="auto"/>
                      <w:kern w:val="0"/>
                      <w:sz w:val="21"/>
                      <w:szCs w:val="21"/>
                      <w:vertAlign w:val="baseline"/>
                      <w:lang w:val="en-US" w:eastAsia="zh-CN" w:bidi="ar-SA"/>
                    </w:rPr>
                  </w:pPr>
                  <w:r>
                    <w:rPr>
                      <w:rFonts w:hint="default"/>
                      <w:b/>
                      <w:bCs/>
                      <w:color w:val="auto"/>
                      <w:sz w:val="21"/>
                      <w:szCs w:val="21"/>
                      <w:vertAlign w:val="baseline"/>
                      <w:lang w:val="en-US" w:eastAsia="zh-CN"/>
                    </w:rPr>
                    <w:t>专项评价的类别</w:t>
                  </w:r>
                </w:p>
              </w:tc>
              <w:tc>
                <w:tcPr>
                  <w:tcW w:w="3357"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b/>
                      <w:bCs/>
                      <w:color w:val="auto"/>
                      <w:kern w:val="0"/>
                      <w:sz w:val="21"/>
                      <w:szCs w:val="21"/>
                      <w:vertAlign w:val="baseline"/>
                      <w:lang w:val="en-US" w:eastAsia="zh-CN" w:bidi="ar-SA"/>
                    </w:rPr>
                  </w:pPr>
                  <w:r>
                    <w:rPr>
                      <w:rFonts w:hint="default"/>
                      <w:b/>
                      <w:bCs/>
                      <w:color w:val="auto"/>
                      <w:sz w:val="21"/>
                      <w:szCs w:val="21"/>
                      <w:vertAlign w:val="baseline"/>
                      <w:lang w:val="en-US" w:eastAsia="zh-CN"/>
                    </w:rPr>
                    <w:t>设置原则</w:t>
                  </w:r>
                </w:p>
              </w:tc>
              <w:tc>
                <w:tcPr>
                  <w:tcW w:w="1959"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b/>
                      <w:bCs/>
                      <w:color w:val="auto"/>
                      <w:kern w:val="0"/>
                      <w:sz w:val="21"/>
                      <w:szCs w:val="21"/>
                      <w:vertAlign w:val="baseline"/>
                      <w:lang w:val="en-US" w:eastAsia="zh-CN" w:bidi="ar-SA"/>
                    </w:rPr>
                  </w:pPr>
                  <w:r>
                    <w:rPr>
                      <w:rFonts w:hint="eastAsia"/>
                      <w:b/>
                      <w:bCs/>
                      <w:color w:val="auto"/>
                      <w:sz w:val="21"/>
                      <w:szCs w:val="21"/>
                      <w:vertAlign w:val="baseline"/>
                      <w:lang w:val="en-US" w:eastAsia="zh-CN"/>
                    </w:rPr>
                    <w:t>项目情况</w:t>
                  </w:r>
                </w:p>
              </w:tc>
              <w:tc>
                <w:tcPr>
                  <w:tcW w:w="698"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b/>
                      <w:bCs/>
                      <w:color w:val="auto"/>
                      <w:kern w:val="0"/>
                      <w:sz w:val="21"/>
                      <w:szCs w:val="21"/>
                      <w:vertAlign w:val="baseline"/>
                      <w:lang w:val="en-US" w:eastAsia="zh-CN" w:bidi="ar-SA"/>
                    </w:rPr>
                  </w:pPr>
                  <w:r>
                    <w:rPr>
                      <w:rFonts w:hint="eastAsia"/>
                      <w:b/>
                      <w:bCs/>
                      <w:color w:val="auto"/>
                      <w:sz w:val="21"/>
                      <w:szCs w:val="21"/>
                      <w:vertAlign w:val="baseline"/>
                      <w:lang w:val="en-US" w:eastAsia="zh-CN"/>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11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default"/>
                      <w:color w:val="auto"/>
                      <w:vertAlign w:val="baseline"/>
                      <w:lang w:val="en-US" w:eastAsia="zh-CN"/>
                    </w:rPr>
                    <w:t>地表水</w:t>
                  </w:r>
                </w:p>
              </w:tc>
              <w:tc>
                <w:tcPr>
                  <w:tcW w:w="33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水力发电：引水式发电、涉及调峰发电的项目；</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人工湖、人工湿地：全部；</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水库：全部；</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引水工程：全部（配套的管线工程等除外）；</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防洪除涝工程：包含水库的项目；</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河湖整治：涉及清淤且底泥存在重金属污染的项目</w:t>
                  </w:r>
                </w:p>
              </w:tc>
              <w:tc>
                <w:tcPr>
                  <w:tcW w:w="19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eastAsia"/>
                      <w:color w:val="auto"/>
                      <w:vertAlign w:val="baseline"/>
                      <w:lang w:val="en-US" w:eastAsia="zh-CN"/>
                    </w:rPr>
                    <w:t>本项目不属于此类项目</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eastAsia"/>
                      <w:color w:val="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1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default"/>
                      <w:color w:val="auto"/>
                      <w:vertAlign w:val="baseline"/>
                      <w:lang w:val="en-US" w:eastAsia="zh-CN"/>
                    </w:rPr>
                    <w:t>地下水</w:t>
                  </w:r>
                </w:p>
              </w:tc>
              <w:tc>
                <w:tcPr>
                  <w:tcW w:w="33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陆地石油和天然气开采：全部；</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地下水（含矿泉水）开采：全部；</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水利、水电、交通等：含穿越可溶岩地层隧道的项目</w:t>
                  </w:r>
                </w:p>
              </w:tc>
              <w:tc>
                <w:tcPr>
                  <w:tcW w:w="19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eastAsia"/>
                      <w:color w:val="auto"/>
                      <w:vertAlign w:val="baseline"/>
                      <w:lang w:val="en-US" w:eastAsia="zh-CN"/>
                    </w:rPr>
                    <w:t>本项目不属于此类项目</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eastAsia"/>
                      <w:color w:val="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1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default"/>
                      <w:color w:val="auto"/>
                      <w:vertAlign w:val="baseline"/>
                      <w:lang w:val="en-US" w:eastAsia="zh-CN"/>
                    </w:rPr>
                    <w:t>生态</w:t>
                  </w:r>
                </w:p>
              </w:tc>
              <w:tc>
                <w:tcPr>
                  <w:tcW w:w="33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涉及环境敏感区（不包括饮用水水源保护区，以居住、医疗卫生、文化教育、科研、行政办公为主要功能的区域，以及文物保护单位）的项目</w:t>
                  </w:r>
                </w:p>
              </w:tc>
              <w:tc>
                <w:tcPr>
                  <w:tcW w:w="19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eastAsia"/>
                      <w:color w:val="auto"/>
                      <w:vertAlign w:val="baseline"/>
                      <w:lang w:val="en-US" w:eastAsia="zh-CN"/>
                    </w:rPr>
                    <w:t>本项目不涉及上述敏感区</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eastAsia"/>
                      <w:color w:val="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1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default"/>
                      <w:color w:val="auto"/>
                      <w:vertAlign w:val="baseline"/>
                      <w:lang w:val="en-US" w:eastAsia="zh-CN"/>
                    </w:rPr>
                    <w:t>大气</w:t>
                  </w:r>
                </w:p>
              </w:tc>
              <w:tc>
                <w:tcPr>
                  <w:tcW w:w="33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油气、液体化工码头：全部；</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干散货（含煤炭、矿石）、件杂、多用途、通用码头：涉及粉尘、挥发性有机物排放的项目</w:t>
                  </w:r>
                </w:p>
              </w:tc>
              <w:tc>
                <w:tcPr>
                  <w:tcW w:w="19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eastAsia"/>
                      <w:color w:val="auto"/>
                      <w:vertAlign w:val="baseline"/>
                      <w:lang w:val="en-US" w:eastAsia="zh-CN"/>
                    </w:rPr>
                    <w:t>本项目不属于此类项目</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eastAsia"/>
                      <w:color w:val="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11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default"/>
                      <w:color w:val="auto"/>
                      <w:vertAlign w:val="baseline"/>
                      <w:lang w:val="en-US" w:eastAsia="zh-CN"/>
                    </w:rPr>
                    <w:t>噪声</w:t>
                  </w:r>
                </w:p>
              </w:tc>
              <w:tc>
                <w:tcPr>
                  <w:tcW w:w="33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公路、铁路、机场等交通运输业涉及环境敏感区（以居住、医疗卫生、文化教育、科研、行政办公为主要功能的区域）的项目；</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城市道路（不含维护，不含支路、人行天桥、人行地道）：全部</w:t>
                  </w:r>
                </w:p>
              </w:tc>
              <w:tc>
                <w:tcPr>
                  <w:tcW w:w="19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eastAsia"/>
                      <w:color w:val="auto"/>
                      <w:vertAlign w:val="baseline"/>
                      <w:lang w:val="en-US" w:eastAsia="zh-CN"/>
                    </w:rPr>
                    <w:t>本项目不属于此类项目</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eastAsia"/>
                      <w:color w:val="auto"/>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11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default"/>
                      <w:color w:val="auto"/>
                      <w:vertAlign w:val="baseline"/>
                      <w:lang w:val="en-US" w:eastAsia="zh-CN"/>
                    </w:rPr>
                    <w:t>环境风险</w:t>
                  </w:r>
                </w:p>
              </w:tc>
              <w:tc>
                <w:tcPr>
                  <w:tcW w:w="33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石油和天然气开采：全部；</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油气、液体化工码头：全部；</w:t>
                  </w:r>
                </w:p>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default"/>
                      <w:color w:val="auto"/>
                      <w:vertAlign w:val="baseline"/>
                      <w:lang w:val="en-US" w:eastAsia="zh-CN"/>
                    </w:rPr>
                    <w:t>原油、成品油、天然气管线（不含城镇天然气管线、企业厂区内管线），危险化学品输送管线（不含企业厂区内管线）：全部</w:t>
                  </w:r>
                </w:p>
              </w:tc>
              <w:tc>
                <w:tcPr>
                  <w:tcW w:w="19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color w:val="auto"/>
                      <w:vertAlign w:val="baseline"/>
                      <w:lang w:val="en-US" w:eastAsia="zh-CN"/>
                    </w:rPr>
                  </w:pPr>
                  <w:r>
                    <w:rPr>
                      <w:rFonts w:hint="eastAsia"/>
                      <w:color w:val="auto"/>
                      <w:vertAlign w:val="baseline"/>
                      <w:lang w:val="en-US" w:eastAsia="zh-CN"/>
                    </w:rPr>
                    <w:t>本项目不属于此类项目</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color w:val="auto"/>
                      <w:vertAlign w:val="baseline"/>
                      <w:lang w:val="en-US" w:eastAsia="zh-CN"/>
                    </w:rPr>
                  </w:pPr>
                  <w:r>
                    <w:rPr>
                      <w:rFonts w:hint="eastAsia"/>
                      <w:color w:val="auto"/>
                      <w:vertAlign w:val="baseline"/>
                      <w:lang w:val="en-US" w:eastAsia="zh-CN"/>
                    </w:rPr>
                    <w:t>否</w:t>
                  </w:r>
                </w:p>
              </w:tc>
            </w:tr>
          </w:tbl>
          <w:p>
            <w:pPr>
              <w:pStyle w:val="35"/>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注：“涉及环境敏感区”是指建设项目位于、穿（跨）越（无害化通过的除外）</w:t>
            </w:r>
          </w:p>
          <w:p>
            <w:pPr>
              <w:pStyle w:val="35"/>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环境敏感区，或环境影响范围涵盖环境敏感区。环境敏感区是指《建设项目环</w:t>
            </w:r>
          </w:p>
          <w:p>
            <w:pPr>
              <w:pStyle w:val="35"/>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境影响评价分类管理名录》中针对该类项目所列的敏感区。本项目敏感区指：</w:t>
            </w:r>
          </w:p>
          <w:p>
            <w:pPr>
              <w:pStyle w:val="35"/>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国家公园、自然保护区、风景名胜区、世界文化和自然遗产地、海洋特别保护</w:t>
            </w:r>
          </w:p>
          <w:p>
            <w:pPr>
              <w:pStyle w:val="35"/>
              <w:keepNext w:val="0"/>
              <w:keepLines w:val="0"/>
              <w:pageBreakBefore w:val="0"/>
              <w:widowControl/>
              <w:kinsoku/>
              <w:wordWrap/>
              <w:overflowPunct/>
              <w:topLinePunct w:val="0"/>
              <w:autoSpaceDE/>
              <w:autoSpaceDN/>
              <w:bidi w:val="0"/>
              <w:adjustRightInd w:val="0"/>
              <w:snapToGrid w:val="0"/>
              <w:spacing w:before="0" w:after="0" w:line="240" w:lineRule="auto"/>
              <w:ind w:right="0"/>
              <w:jc w:val="left"/>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区、饮用水水源保护区。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SA"/>
              </w:rPr>
            </w:pPr>
            <w:r>
              <w:rPr>
                <w:rFonts w:hint="eastAsia"/>
                <w:color w:val="auto"/>
                <w:kern w:val="0"/>
                <w:sz w:val="24"/>
              </w:rPr>
              <w:t>通过上表对比分析，项目无需设置</w:t>
            </w:r>
            <w:r>
              <w:rPr>
                <w:rFonts w:hint="eastAsia"/>
                <w:color w:val="auto"/>
                <w:kern w:val="0"/>
                <w:sz w:val="24"/>
                <w:lang w:val="en-US" w:eastAsia="zh-CN"/>
              </w:rPr>
              <w:t>上述的</w:t>
            </w:r>
            <w:r>
              <w:rPr>
                <w:rFonts w:hint="eastAsia"/>
                <w:color w:val="auto"/>
                <w:kern w:val="0"/>
                <w:sz w:val="24"/>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2164" w:type="dxa"/>
            <w:gridSpan w:val="2"/>
            <w:noWrap w:val="0"/>
            <w:tcMar>
              <w:top w:w="16" w:type="dxa"/>
              <w:left w:w="16" w:type="dxa"/>
              <w:right w:w="16" w:type="dxa"/>
            </w:tcMar>
            <w:vAlign w:val="center"/>
          </w:tcPr>
          <w:p>
            <w:pPr>
              <w:autoSpaceDE w:val="0"/>
              <w:autoSpaceDN w:val="0"/>
              <w:adjustRightInd w:val="0"/>
              <w:snapToGrid w:val="0"/>
              <w:jc w:val="center"/>
              <w:rPr>
                <w:color w:val="auto"/>
                <w:kern w:val="0"/>
                <w:sz w:val="24"/>
              </w:rPr>
            </w:pPr>
            <w:r>
              <w:rPr>
                <w:color w:val="auto"/>
                <w:sz w:val="24"/>
              </w:rPr>
              <w:t>规划情况</w:t>
            </w:r>
          </w:p>
        </w:tc>
        <w:tc>
          <w:tcPr>
            <w:tcW w:w="7290" w:type="dxa"/>
            <w:gridSpan w:val="4"/>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sz w:val="24"/>
                <w:lang w:eastAsia="zh-CN"/>
              </w:rPr>
            </w:pPr>
            <w:r>
              <w:rPr>
                <w:rFonts w:hint="eastAsia" w:ascii="Times New Roman" w:hAnsi="Times New Roman" w:eastAsia="宋体" w:cs="Times New Roman"/>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64"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color w:val="auto"/>
                <w:kern w:val="0"/>
                <w:sz w:val="24"/>
              </w:rPr>
            </w:pPr>
            <w:r>
              <w:rPr>
                <w:color w:val="auto"/>
                <w:sz w:val="24"/>
              </w:rPr>
              <w:t>规划环境影响评价情况</w:t>
            </w:r>
          </w:p>
        </w:tc>
        <w:tc>
          <w:tcPr>
            <w:tcW w:w="7290" w:type="dxa"/>
            <w:gridSpan w:val="4"/>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eastAsia="宋体"/>
                <w:color w:val="auto"/>
                <w:kern w:val="0"/>
                <w:sz w:val="24"/>
                <w:lang w:val="en-US" w:eastAsia="zh-CN"/>
              </w:rPr>
            </w:pPr>
            <w:r>
              <w:rPr>
                <w:rFonts w:hint="eastAsia"/>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58" w:hRule="atLeast"/>
          <w:jc w:val="center"/>
        </w:trPr>
        <w:tc>
          <w:tcPr>
            <w:tcW w:w="2164" w:type="dxa"/>
            <w:gridSpan w:val="2"/>
            <w:noWrap w:val="0"/>
            <w:tcMar>
              <w:top w:w="16" w:type="dxa"/>
              <w:left w:w="16" w:type="dxa"/>
              <w:right w:w="16" w:type="dxa"/>
            </w:tcMar>
            <w:vAlign w:val="center"/>
          </w:tcPr>
          <w:p>
            <w:pPr>
              <w:pStyle w:val="17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val="0"/>
                <w:bCs w:val="0"/>
                <w:color w:val="auto"/>
                <w:sz w:val="21"/>
                <w:lang w:val="en-US" w:eastAsia="zh-CN"/>
              </w:rPr>
            </w:pPr>
            <w:r>
              <w:rPr>
                <w:b w:val="0"/>
                <w:bCs w:val="0"/>
                <w:color w:val="auto"/>
                <w:kern w:val="0"/>
                <w:sz w:val="24"/>
              </w:rPr>
              <w:t>规划及</w:t>
            </w:r>
            <w:r>
              <w:rPr>
                <w:b w:val="0"/>
                <w:bCs w:val="0"/>
                <w:color w:val="auto"/>
                <w:sz w:val="24"/>
              </w:rPr>
              <w:t>规划环境影响评价</w:t>
            </w:r>
            <w:r>
              <w:rPr>
                <w:b w:val="0"/>
                <w:bCs w:val="0"/>
                <w:color w:val="auto"/>
                <w:kern w:val="0"/>
                <w:sz w:val="24"/>
              </w:rPr>
              <w:t>符合性分析</w:t>
            </w:r>
          </w:p>
        </w:tc>
        <w:tc>
          <w:tcPr>
            <w:tcW w:w="7290" w:type="dxa"/>
            <w:gridSpan w:val="4"/>
            <w:noWrap w:val="0"/>
            <w:tcMar>
              <w:top w:w="16" w:type="dxa"/>
              <w:left w:w="16" w:type="dxa"/>
              <w:right w:w="16" w:type="dxa"/>
            </w:tcMar>
            <w:vAlign w:val="center"/>
          </w:tcPr>
          <w:p>
            <w:pPr>
              <w:pStyle w:val="17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val="0"/>
                <w:bCs w:val="0"/>
                <w:color w:val="auto"/>
                <w:sz w:val="21"/>
                <w:lang w:val="en-US" w:eastAsia="zh-CN"/>
              </w:rPr>
            </w:pPr>
            <w:r>
              <w:rPr>
                <w:rFonts w:hint="eastAsia"/>
                <w:b w:val="0"/>
                <w:bCs w:val="0"/>
                <w:color w:val="auto"/>
                <w:sz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565" w:type="dxa"/>
            <w:noWrap w:val="0"/>
            <w:tcMar>
              <w:top w:w="16" w:type="dxa"/>
              <w:left w:w="16" w:type="dxa"/>
              <w:right w:w="16" w:type="dxa"/>
            </w:tcMar>
            <w:vAlign w:val="center"/>
          </w:tcPr>
          <w:p>
            <w:pPr>
              <w:autoSpaceDE w:val="0"/>
              <w:autoSpaceDN w:val="0"/>
              <w:adjustRightInd w:val="0"/>
              <w:snapToGrid w:val="0"/>
              <w:jc w:val="center"/>
              <w:rPr>
                <w:color w:val="auto"/>
                <w:kern w:val="0"/>
                <w:sz w:val="24"/>
              </w:rPr>
            </w:pPr>
            <w:bookmarkStart w:id="6" w:name="_Hlk56690880"/>
            <w:r>
              <w:rPr>
                <w:color w:val="auto"/>
                <w:kern w:val="0"/>
                <w:sz w:val="24"/>
              </w:rPr>
              <w:t>其他符合性分析</w:t>
            </w:r>
            <w:bookmarkEnd w:id="6"/>
          </w:p>
        </w:tc>
        <w:tc>
          <w:tcPr>
            <w:tcW w:w="8889" w:type="dxa"/>
            <w:gridSpan w:val="5"/>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jc w:val="left"/>
              <w:textAlignment w:val="auto"/>
              <w:rPr>
                <w:b/>
                <w:color w:val="auto"/>
                <w:kern w:val="0"/>
                <w:sz w:val="28"/>
                <w:szCs w:val="28"/>
              </w:rPr>
            </w:pPr>
            <w:r>
              <w:rPr>
                <w:rFonts w:hint="eastAsia"/>
                <w:b/>
                <w:color w:val="auto"/>
                <w:kern w:val="0"/>
                <w:sz w:val="28"/>
                <w:szCs w:val="28"/>
                <w:lang w:val="en-US" w:eastAsia="zh-CN"/>
              </w:rPr>
              <w:t>1、</w:t>
            </w:r>
            <w:r>
              <w:rPr>
                <w:b/>
                <w:color w:val="auto"/>
                <w:kern w:val="0"/>
                <w:sz w:val="28"/>
                <w:szCs w:val="28"/>
              </w:rPr>
              <w:t>产业政策符合性分析</w:t>
            </w:r>
          </w:p>
          <w:p>
            <w:pPr>
              <w:widowControl/>
              <w:adjustRightInd w:val="0"/>
              <w:snapToGrid w:val="0"/>
              <w:spacing w:line="360" w:lineRule="auto"/>
              <w:ind w:firstLine="480" w:firstLineChars="200"/>
              <w:jc w:val="left"/>
              <w:rPr>
                <w:rFonts w:hint="eastAsia"/>
                <w:color w:val="auto"/>
                <w:kern w:val="0"/>
                <w:sz w:val="24"/>
                <w:lang w:bidi="ar"/>
              </w:rPr>
            </w:pPr>
            <w:r>
              <w:rPr>
                <w:color w:val="auto"/>
                <w:kern w:val="0"/>
                <w:sz w:val="24"/>
                <w:lang w:bidi="ar"/>
              </w:rPr>
              <w:t>项目为</w:t>
            </w:r>
            <w:r>
              <w:rPr>
                <w:rFonts w:hint="eastAsia"/>
                <w:color w:val="auto"/>
                <w:kern w:val="0"/>
                <w:sz w:val="24"/>
                <w:lang w:val="en-US" w:eastAsia="zh-CN" w:bidi="ar"/>
              </w:rPr>
              <w:t>公园</w:t>
            </w:r>
            <w:r>
              <w:rPr>
                <w:color w:val="auto"/>
                <w:kern w:val="0"/>
                <w:sz w:val="24"/>
                <w:lang w:bidi="ar"/>
              </w:rPr>
              <w:t>建设，对照《产业结构调整指导目录》（20</w:t>
            </w:r>
            <w:r>
              <w:rPr>
                <w:rFonts w:hint="eastAsia"/>
                <w:color w:val="auto"/>
                <w:kern w:val="0"/>
                <w:sz w:val="24"/>
                <w:lang w:val="en-US" w:eastAsia="zh-CN" w:bidi="ar"/>
              </w:rPr>
              <w:t>24</w:t>
            </w:r>
            <w:r>
              <w:rPr>
                <w:color w:val="auto"/>
                <w:kern w:val="0"/>
                <w:sz w:val="24"/>
                <w:lang w:bidi="ar"/>
              </w:rPr>
              <w:t>年本）</w:t>
            </w:r>
            <w:r>
              <w:rPr>
                <w:rFonts w:hint="eastAsia"/>
                <w:color w:val="auto"/>
                <w:kern w:val="0"/>
                <w:sz w:val="24"/>
                <w:lang w:bidi="ar"/>
              </w:rPr>
              <w:t>，</w:t>
            </w:r>
            <w:r>
              <w:rPr>
                <w:color w:val="auto"/>
                <w:kern w:val="0"/>
                <w:sz w:val="24"/>
                <w:lang w:bidi="ar"/>
              </w:rPr>
              <w:t>项目属于鼓励类</w:t>
            </w:r>
            <w:r>
              <w:rPr>
                <w:rFonts w:hint="eastAsia"/>
                <w:color w:val="auto"/>
                <w:kern w:val="0"/>
                <w:sz w:val="24"/>
                <w:lang w:bidi="ar"/>
              </w:rPr>
              <w:t>，本项目符合国家产业政策。</w:t>
            </w:r>
          </w:p>
          <w:p>
            <w:pPr>
              <w:widowControl/>
              <w:adjustRightInd w:val="0"/>
              <w:snapToGrid w:val="0"/>
              <w:spacing w:line="360" w:lineRule="auto"/>
              <w:ind w:firstLine="480" w:firstLineChars="200"/>
              <w:jc w:val="left"/>
              <w:rPr>
                <w:color w:val="auto"/>
                <w:kern w:val="0"/>
                <w:sz w:val="24"/>
                <w:lang w:bidi="ar"/>
              </w:rPr>
            </w:pPr>
            <w:r>
              <w:rPr>
                <w:rFonts w:hint="eastAsia"/>
                <w:color w:val="auto"/>
                <w:kern w:val="0"/>
                <w:sz w:val="24"/>
                <w:lang w:bidi="ar"/>
              </w:rPr>
              <w:t>项目为国民经济行业类别中的[N786</w:t>
            </w:r>
            <w:r>
              <w:rPr>
                <w:rFonts w:hint="eastAsia"/>
                <w:color w:val="auto"/>
                <w:kern w:val="0"/>
                <w:sz w:val="24"/>
                <w:lang w:val="en-US" w:eastAsia="zh-CN" w:bidi="ar"/>
              </w:rPr>
              <w:t>2</w:t>
            </w:r>
            <w:r>
              <w:rPr>
                <w:rFonts w:hint="eastAsia"/>
                <w:color w:val="auto"/>
                <w:kern w:val="0"/>
                <w:sz w:val="24"/>
                <w:lang w:bidi="ar"/>
              </w:rPr>
              <w:t>]</w:t>
            </w:r>
            <w:r>
              <w:rPr>
                <w:rFonts w:hint="eastAsia"/>
                <w:color w:val="auto"/>
                <w:kern w:val="0"/>
                <w:sz w:val="24"/>
                <w:lang w:val="en-US" w:eastAsia="zh-CN" w:bidi="ar"/>
              </w:rPr>
              <w:t>森林公园</w:t>
            </w:r>
            <w:r>
              <w:rPr>
                <w:rFonts w:hint="eastAsia"/>
                <w:color w:val="auto"/>
                <w:kern w:val="0"/>
                <w:sz w:val="24"/>
                <w:lang w:bidi="ar"/>
              </w:rPr>
              <w:t>管理，项目不在《产业结构调整指导目录》（20</w:t>
            </w:r>
            <w:r>
              <w:rPr>
                <w:rFonts w:hint="eastAsia"/>
                <w:color w:val="auto"/>
                <w:kern w:val="0"/>
                <w:sz w:val="24"/>
                <w:lang w:val="en-US" w:eastAsia="zh-CN" w:bidi="ar"/>
              </w:rPr>
              <w:t>24</w:t>
            </w:r>
            <w:r>
              <w:rPr>
                <w:rFonts w:hint="eastAsia"/>
                <w:color w:val="auto"/>
                <w:kern w:val="0"/>
                <w:sz w:val="24"/>
                <w:lang w:bidi="ar"/>
              </w:rPr>
              <w:t>年本）限制类和淘汰类中，为允许类项目，故本项目的建设符合产业政策要求。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b/>
                <w:color w:val="auto"/>
                <w:kern w:val="0"/>
                <w:sz w:val="28"/>
                <w:szCs w:val="28"/>
              </w:rPr>
            </w:pPr>
            <w:r>
              <w:rPr>
                <w:rFonts w:hint="eastAsia"/>
                <w:b/>
                <w:color w:val="auto"/>
                <w:kern w:val="0"/>
                <w:sz w:val="28"/>
                <w:szCs w:val="28"/>
                <w:lang w:val="en-US" w:eastAsia="zh-CN"/>
              </w:rPr>
              <w:t>2、</w:t>
            </w:r>
            <w:r>
              <w:rPr>
                <w:rFonts w:hint="eastAsia"/>
                <w:b/>
                <w:color w:val="auto"/>
                <w:kern w:val="0"/>
                <w:sz w:val="28"/>
                <w:szCs w:val="28"/>
              </w:rPr>
              <w:t>项目与《昆明市生态环境分区管控动态更新方案（2023年）》的符合性分析</w:t>
            </w:r>
          </w:p>
          <w:p>
            <w:pPr>
              <w:autoSpaceDE w:val="0"/>
              <w:autoSpaceDN w:val="0"/>
              <w:adjustRightInd w:val="0"/>
              <w:snapToGrid w:val="0"/>
              <w:spacing w:line="360" w:lineRule="auto"/>
              <w:ind w:firstLine="480" w:firstLineChars="200"/>
              <w:rPr>
                <w:rFonts w:hint="eastAsia"/>
                <w:bCs/>
                <w:color w:val="auto"/>
                <w:kern w:val="0"/>
                <w:sz w:val="24"/>
                <w:lang w:val="en-US" w:eastAsia="zh-CN"/>
              </w:rPr>
            </w:pPr>
            <w:r>
              <w:rPr>
                <w:rFonts w:hint="eastAsia"/>
                <w:bCs/>
                <w:color w:val="auto"/>
                <w:kern w:val="0"/>
                <w:sz w:val="24"/>
              </w:rPr>
              <w:t>昆明市生态环境局于2024年11月12日发布了《昆明市生态环境局关于印发《昆明市生态环境分区管控动态更新方案（2023年）》的通知》。根据《昆明市生态环境分区管控动态更新方案（2023年）》，本项目位</w:t>
            </w:r>
            <w:r>
              <w:rPr>
                <w:rFonts w:hint="eastAsia"/>
                <w:bCs/>
                <w:color w:val="auto"/>
                <w:kern w:val="0"/>
                <w:sz w:val="24"/>
                <w:lang w:val="en-US" w:eastAsia="zh-CN"/>
              </w:rPr>
              <w:t>嵩明县一般管控单元、嵩明县一般生态空间优先保护单元、嵩明县大气环境布局敏感重点管控单元、嵩明县乡镇生活污染重点管控单元。本项目与昆明市嵩明县环境管控单元生态环境准入清单的符合性分析详见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b/>
                <w:bCs w:val="0"/>
                <w:color w:val="auto"/>
                <w:kern w:val="0"/>
                <w:sz w:val="24"/>
                <w:lang w:val="en-US" w:eastAsia="zh-CN"/>
              </w:rPr>
            </w:pPr>
            <w:r>
              <w:rPr>
                <w:rFonts w:hint="default"/>
                <w:b/>
                <w:bCs w:val="0"/>
                <w:color w:val="auto"/>
                <w:kern w:val="0"/>
                <w:sz w:val="24"/>
                <w:lang w:val="en-US" w:eastAsia="zh-CN"/>
              </w:rPr>
              <w:t>表1-</w:t>
            </w:r>
            <w:r>
              <w:rPr>
                <w:rFonts w:hint="eastAsia"/>
                <w:b/>
                <w:bCs w:val="0"/>
                <w:color w:val="auto"/>
                <w:kern w:val="0"/>
                <w:sz w:val="24"/>
                <w:lang w:val="en-US" w:eastAsia="zh-CN"/>
              </w:rPr>
              <w:t>2</w:t>
            </w:r>
            <w:r>
              <w:rPr>
                <w:rFonts w:hint="default"/>
                <w:b/>
                <w:bCs w:val="0"/>
                <w:color w:val="auto"/>
                <w:kern w:val="0"/>
                <w:sz w:val="24"/>
                <w:lang w:val="en-US" w:eastAsia="zh-CN"/>
              </w:rPr>
              <w:t xml:space="preserve"> 项目与昆明市生态环境准入清单的符合性分析对照表</w:t>
            </w:r>
          </w:p>
          <w:tbl>
            <w:tblPr>
              <w:tblStyle w:val="89"/>
              <w:tblW w:w="86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445"/>
              <w:gridCol w:w="4728"/>
              <w:gridCol w:w="2152"/>
              <w:gridCol w:w="6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单元名称</w:t>
                  </w:r>
                </w:p>
              </w:tc>
              <w:tc>
                <w:tcPr>
                  <w:tcW w:w="51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生态环境分区管控动态更新方案</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本项目</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符合性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restart"/>
                  <w:tcBorders>
                    <w:top w:val="single" w:color="000000"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嵩明县一般管控单元</w:t>
                  </w:r>
                </w:p>
              </w:tc>
              <w:tc>
                <w:tcPr>
                  <w:tcW w:w="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空间布局约束</w:t>
                  </w:r>
                </w:p>
              </w:tc>
              <w:tc>
                <w:tcPr>
                  <w:tcW w:w="4728" w:type="dxa"/>
                  <w:tcBorders>
                    <w:top w:val="single" w:color="000000" w:sz="4" w:space="0"/>
                    <w:left w:val="single" w:color="000000"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1.禁止在林地、河湖管理范围内新建、改建、扩建房地产开发项目。</w:t>
                  </w:r>
                </w:p>
                <w:p>
                  <w:pPr>
                    <w:bidi w:val="0"/>
                    <w:jc w:val="center"/>
                    <w:rPr>
                      <w:rFonts w:hint="eastAsia"/>
                      <w:color w:val="auto"/>
                    </w:rPr>
                  </w:pPr>
                  <w:r>
                    <w:rPr>
                      <w:rFonts w:hint="eastAsia"/>
                      <w:color w:val="auto"/>
                    </w:rPr>
                    <w:t>2.禁止围湖造田和侵占江河滩地。</w:t>
                  </w:r>
                </w:p>
                <w:p>
                  <w:pPr>
                    <w:bidi w:val="0"/>
                    <w:jc w:val="center"/>
                    <w:rPr>
                      <w:rFonts w:hint="default"/>
                      <w:color w:val="auto"/>
                      <w:kern w:val="2"/>
                      <w:sz w:val="21"/>
                      <w:szCs w:val="24"/>
                      <w:lang w:val="en-US" w:eastAsia="zh-CN" w:bidi="ar-SA"/>
                    </w:rPr>
                  </w:pPr>
                  <w:r>
                    <w:rPr>
                      <w:rFonts w:hint="eastAsia"/>
                      <w:color w:val="auto"/>
                    </w:rPr>
                    <w:t>3.禁止企业向滩涂、沼泽、荒地等未利用地非法排污、倾倒有毒有害物质。</w:t>
                  </w:r>
                </w:p>
              </w:tc>
              <w:tc>
                <w:tcPr>
                  <w:tcW w:w="2152"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项目属于森林公园项目，不属于</w:t>
                  </w:r>
                  <w:r>
                    <w:rPr>
                      <w:rFonts w:hint="eastAsia"/>
                      <w:color w:val="auto"/>
                    </w:rPr>
                    <w:t>房地产开发项目</w:t>
                  </w:r>
                  <w:r>
                    <w:rPr>
                      <w:rFonts w:hint="eastAsia"/>
                      <w:color w:val="auto"/>
                      <w:lang w:eastAsia="zh-CN"/>
                    </w:rPr>
                    <w:t>；</w:t>
                  </w:r>
                  <w:r>
                    <w:rPr>
                      <w:rFonts w:hint="eastAsia"/>
                      <w:color w:val="auto"/>
                      <w:lang w:val="en-US" w:eastAsia="zh-CN"/>
                    </w:rPr>
                    <w:t>项目用地不涉及</w:t>
                  </w:r>
                  <w:r>
                    <w:rPr>
                      <w:rFonts w:hint="eastAsia"/>
                      <w:color w:val="auto"/>
                    </w:rPr>
                    <w:t>围湖造田和侵占江河滩地</w:t>
                  </w:r>
                  <w:r>
                    <w:rPr>
                      <w:rFonts w:hint="eastAsia"/>
                      <w:color w:val="auto"/>
                      <w:lang w:eastAsia="zh-CN"/>
                    </w:rPr>
                    <w:t>；</w:t>
                  </w:r>
                  <w:r>
                    <w:rPr>
                      <w:rFonts w:hint="eastAsia"/>
                      <w:color w:val="auto"/>
                      <w:lang w:val="en-US" w:eastAsia="zh-CN"/>
                    </w:rPr>
                    <w:t>项目运行不产生</w:t>
                  </w:r>
                  <w:r>
                    <w:rPr>
                      <w:rFonts w:hint="eastAsia"/>
                      <w:color w:val="auto"/>
                    </w:rPr>
                    <w:t>有毒有害物质。</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right w:val="single" w:color="000000" w:sz="4" w:space="0"/>
                  </w:tcBorders>
                  <w:noWrap w:val="0"/>
                  <w:vAlign w:val="center"/>
                </w:tcPr>
                <w:p>
                  <w:pPr>
                    <w:jc w:val="center"/>
                    <w:rPr>
                      <w:rFonts w:hint="default" w:ascii="Times New Roman" w:hAnsi="Times New Roman" w:eastAsia="宋体" w:cs="Times New Roman"/>
                      <w:b w:val="0"/>
                      <w:bCs w:val="0"/>
                      <w:i w:val="0"/>
                      <w:iCs w:val="0"/>
                      <w:color w:val="auto"/>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污染物排放管控</w:t>
                  </w:r>
                </w:p>
              </w:tc>
              <w:tc>
                <w:tcPr>
                  <w:tcW w:w="4728" w:type="dxa"/>
                  <w:tcBorders>
                    <w:top w:val="single" w:color="000000" w:sz="4" w:space="0"/>
                    <w:left w:val="single" w:color="000000"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1.严格控制“两高”行业新增产能，新、改、扩建项目要实行产能等量或减量置换。</w:t>
                  </w:r>
                </w:p>
                <w:p>
                  <w:pPr>
                    <w:bidi w:val="0"/>
                    <w:jc w:val="center"/>
                    <w:rPr>
                      <w:rFonts w:hint="eastAsia"/>
                      <w:color w:val="auto"/>
                    </w:rPr>
                  </w:pPr>
                  <w:r>
                    <w:rPr>
                      <w:rFonts w:hint="eastAsia"/>
                      <w:color w:val="auto"/>
                    </w:rPr>
                    <w:t>2.严格用地准入，工业用地及商业用地供地前，自然资源部门需对拟供地块进行土壤环境状况调查，评估环境污染风险后方可供地。</w:t>
                  </w:r>
                </w:p>
                <w:p>
                  <w:pPr>
                    <w:bidi w:val="0"/>
                    <w:jc w:val="center"/>
                    <w:rPr>
                      <w:rFonts w:hint="eastAsia"/>
                      <w:color w:val="auto"/>
                    </w:rPr>
                  </w:pPr>
                  <w:r>
                    <w:rPr>
                      <w:rFonts w:hint="eastAsia"/>
                      <w:color w:val="auto"/>
                    </w:rPr>
                    <w:t>3.禁止使用炸鱼、毒鱼、电鱼等破坏渔业资源方法进行捕捞。</w:t>
                  </w:r>
                </w:p>
                <w:p>
                  <w:pPr>
                    <w:bidi w:val="0"/>
                    <w:jc w:val="center"/>
                    <w:rPr>
                      <w:rFonts w:hint="default"/>
                      <w:color w:val="auto"/>
                      <w:kern w:val="2"/>
                      <w:sz w:val="21"/>
                      <w:szCs w:val="24"/>
                      <w:lang w:val="en-US" w:eastAsia="zh-CN" w:bidi="ar-SA"/>
                    </w:rPr>
                  </w:pPr>
                  <w:r>
                    <w:rPr>
                      <w:rFonts w:hint="eastAsia"/>
                      <w:color w:val="auto"/>
                    </w:rPr>
                    <w:t>4.禁止在禁渔区、禁渔期进行捕捞。禁止使用小于最小网目尺寸的网具进行捕捞，未依法取得捕捞许可证擅自捕捞。</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项目属于森林公园项目，不属于</w:t>
                  </w:r>
                  <w:r>
                    <w:rPr>
                      <w:rFonts w:hint="eastAsia"/>
                      <w:color w:val="auto"/>
                    </w:rPr>
                    <w:t>“两高”行业</w:t>
                  </w:r>
                  <w:r>
                    <w:rPr>
                      <w:rFonts w:hint="eastAsia"/>
                      <w:color w:val="auto"/>
                      <w:lang w:eastAsia="zh-CN"/>
                    </w:rPr>
                    <w:t>；</w:t>
                  </w:r>
                  <w:r>
                    <w:rPr>
                      <w:rFonts w:hint="eastAsia"/>
                      <w:color w:val="auto"/>
                      <w:lang w:val="en-US" w:eastAsia="zh-CN"/>
                    </w:rPr>
                    <w:t>项目区无工业企业，用地不存在土壤污染的风险；项目工艺中不存在捕捞。</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bottom w:val="single" w:color="auto" w:sz="4" w:space="0"/>
                    <w:right w:val="single" w:color="000000" w:sz="4" w:space="0"/>
                  </w:tcBorders>
                  <w:noWrap w:val="0"/>
                  <w:vAlign w:val="center"/>
                </w:tcPr>
                <w:p>
                  <w:pPr>
                    <w:jc w:val="center"/>
                    <w:rPr>
                      <w:rFonts w:hint="default" w:ascii="Times New Roman" w:hAnsi="Times New Roman" w:eastAsia="宋体" w:cs="Times New Roman"/>
                      <w:b w:val="0"/>
                      <w:bCs w:val="0"/>
                      <w:i w:val="0"/>
                      <w:iCs w:val="0"/>
                      <w:color w:val="auto"/>
                      <w:sz w:val="21"/>
                      <w:szCs w:val="21"/>
                      <w:u w:val="none"/>
                    </w:rPr>
                  </w:pPr>
                </w:p>
              </w:tc>
              <w:tc>
                <w:tcPr>
                  <w:tcW w:w="44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环境风险防控</w:t>
                  </w:r>
                </w:p>
              </w:tc>
              <w:tc>
                <w:tcPr>
                  <w:tcW w:w="4728" w:type="dxa"/>
                  <w:tcBorders>
                    <w:top w:val="single" w:color="000000" w:sz="4" w:space="0"/>
                    <w:left w:val="single" w:color="000000" w:sz="4" w:space="0"/>
                    <w:right w:val="single" w:color="000000" w:sz="4" w:space="0"/>
                  </w:tcBorders>
                  <w:noWrap w:val="0"/>
                  <w:vAlign w:val="center"/>
                </w:tcPr>
                <w:p>
                  <w:pPr>
                    <w:bidi w:val="0"/>
                    <w:jc w:val="center"/>
                    <w:rPr>
                      <w:rFonts w:hint="eastAsia"/>
                      <w:color w:val="auto"/>
                    </w:rPr>
                  </w:pPr>
                  <w:r>
                    <w:rPr>
                      <w:rFonts w:hint="eastAsia"/>
                      <w:color w:val="auto"/>
                    </w:rPr>
                    <w:t>1.严格限制《环境保护综合名录》（2021年版）中“高污染、高环境风险”产品与工艺装备。</w:t>
                  </w:r>
                </w:p>
                <w:p>
                  <w:pPr>
                    <w:bidi w:val="0"/>
                    <w:jc w:val="center"/>
                    <w:rPr>
                      <w:rFonts w:hint="eastAsia"/>
                      <w:color w:val="auto"/>
                    </w:rPr>
                  </w:pPr>
                  <w:r>
                    <w:rPr>
                      <w:rFonts w:hint="eastAsia"/>
                      <w:color w:val="auto"/>
                    </w:rPr>
                    <w:t>2.禁止使用剧毒、高残留以及可能二次中毒的农药。</w:t>
                  </w:r>
                </w:p>
                <w:p>
                  <w:pPr>
                    <w:bidi w:val="0"/>
                    <w:jc w:val="center"/>
                    <w:rPr>
                      <w:rFonts w:hint="default"/>
                      <w:color w:val="auto"/>
                      <w:kern w:val="2"/>
                      <w:sz w:val="21"/>
                      <w:szCs w:val="24"/>
                      <w:lang w:val="en-US" w:eastAsia="zh-CN" w:bidi="ar-SA"/>
                    </w:rPr>
                  </w:pPr>
                  <w:r>
                    <w:rPr>
                      <w:rFonts w:hint="eastAsia"/>
                      <w:color w:val="auto"/>
                    </w:rPr>
                    <w:t>3.严格污染场地开发利用和流转审批，在影响健康地块修复达标之前，禁止建设居民区、学校、医疗和养老机构。</w:t>
                  </w:r>
                </w:p>
              </w:tc>
              <w:tc>
                <w:tcPr>
                  <w:tcW w:w="2152" w:type="dxa"/>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项目属于森林公园项目，</w:t>
                  </w:r>
                  <w:r>
                    <w:rPr>
                      <w:rFonts w:hint="eastAsia"/>
                      <w:color w:val="auto"/>
                    </w:rPr>
                    <w:t>产品与工艺</w:t>
                  </w:r>
                  <w:r>
                    <w:rPr>
                      <w:rFonts w:hint="eastAsia"/>
                      <w:color w:val="auto"/>
                      <w:lang w:val="en-US" w:eastAsia="zh-CN"/>
                    </w:rPr>
                    <w:t>不存在</w:t>
                  </w:r>
                  <w:r>
                    <w:rPr>
                      <w:rFonts w:hint="eastAsia"/>
                      <w:color w:val="auto"/>
                    </w:rPr>
                    <w:t>“高污染、高环境风险”</w:t>
                  </w:r>
                  <w:r>
                    <w:rPr>
                      <w:rFonts w:hint="eastAsia"/>
                      <w:color w:val="auto"/>
                      <w:lang w:eastAsia="zh-CN"/>
                    </w:rPr>
                    <w:t>；</w:t>
                  </w:r>
                  <w:r>
                    <w:rPr>
                      <w:rFonts w:hint="eastAsia"/>
                      <w:color w:val="auto"/>
                      <w:lang w:val="en-US" w:eastAsia="zh-CN"/>
                    </w:rPr>
                    <w:t>施工期和运营期都不使用农药；项目区无工业企业，用地不存在土壤污染的风险。</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资源开发效率要求</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eastAsia"/>
                      <w:color w:val="auto"/>
                    </w:rPr>
                    <w:t>——</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eastAsia"/>
                      <w:color w:val="auto"/>
                    </w:rPr>
                    <w:t>——</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嵩明县一般生态空间优先保护单元</w:t>
                  </w: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空间布局约束</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相关法律法规规定，没有明确规定的，加强论证和管理。</w:t>
                  </w:r>
                </w:p>
                <w:p>
                  <w:pPr>
                    <w:bidi w:val="0"/>
                    <w:jc w:val="center"/>
                    <w:rPr>
                      <w:rFonts w:hint="default"/>
                      <w:color w:val="auto"/>
                      <w:kern w:val="2"/>
                      <w:sz w:val="21"/>
                      <w:szCs w:val="24"/>
                      <w:lang w:val="en-US" w:eastAsia="zh-CN" w:bidi="ar-SA"/>
                    </w:rPr>
                  </w:pPr>
                  <w:r>
                    <w:rPr>
                      <w:rFonts w:hint="eastAsia"/>
                      <w:color w:val="auto"/>
                    </w:rPr>
                    <w:t>2.暂未纳入生态保护红线的自然保护地按照相关保护地法律法规进行管理；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b w:val="0"/>
                      <w:bCs w:val="0"/>
                      <w:i w:val="0"/>
                      <w:iCs w:val="0"/>
                      <w:color w:val="auto"/>
                      <w:sz w:val="21"/>
                      <w:szCs w:val="21"/>
                      <w:u w:val="none"/>
                      <w:lang w:val="en-US" w:eastAsia="zh-CN"/>
                    </w:rPr>
                    <w:t>项目属于森林公园项目，项目建设能有效宣传和保护森林公园的生态系统，项目建设不会对生态功能造成损害；项目建设不涉及生态保护红线和公益林。</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污染物排放管控</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1.禁止在二十五度以上陡坡地开垦种植农作物。</w:t>
                  </w:r>
                </w:p>
                <w:p>
                  <w:pPr>
                    <w:bidi w:val="0"/>
                    <w:jc w:val="center"/>
                    <w:rPr>
                      <w:rFonts w:hint="eastAsia"/>
                      <w:color w:val="auto"/>
                    </w:rPr>
                  </w:pPr>
                  <w:r>
                    <w:rPr>
                      <w:rFonts w:hint="eastAsia"/>
                      <w:color w:val="auto"/>
                    </w:rPr>
                    <w:t>2.禁止围湖造田和侵占江河滩地。</w:t>
                  </w:r>
                </w:p>
                <w:p>
                  <w:pPr>
                    <w:bidi w:val="0"/>
                    <w:jc w:val="center"/>
                    <w:rPr>
                      <w:rFonts w:hint="default"/>
                      <w:color w:val="auto"/>
                      <w:kern w:val="2"/>
                      <w:sz w:val="21"/>
                      <w:szCs w:val="24"/>
                      <w:lang w:val="en-US" w:eastAsia="zh-CN" w:bidi="ar-SA"/>
                    </w:rPr>
                  </w:pPr>
                  <w:r>
                    <w:rPr>
                      <w:rFonts w:hint="eastAsia"/>
                      <w:color w:val="auto"/>
                    </w:rPr>
                    <w:t>3.畜禽养殖严格执行禁养区规定。对草原实行以草定蓄、草蓄平衡制度，禁止过度放牧。</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项目属于森林公园项目，不存在开垦，不存在</w:t>
                  </w:r>
                  <w:r>
                    <w:rPr>
                      <w:rFonts w:hint="eastAsia"/>
                      <w:color w:val="auto"/>
                    </w:rPr>
                    <w:t>围湖造田和侵占江河滩地</w:t>
                  </w:r>
                  <w:r>
                    <w:rPr>
                      <w:rFonts w:hint="eastAsia"/>
                      <w:color w:val="auto"/>
                      <w:lang w:eastAsia="zh-CN"/>
                    </w:rPr>
                    <w:t>，</w:t>
                  </w:r>
                  <w:r>
                    <w:rPr>
                      <w:rFonts w:hint="eastAsia"/>
                      <w:color w:val="auto"/>
                      <w:lang w:val="en-US" w:eastAsia="zh-CN"/>
                    </w:rPr>
                    <w:t>不存在</w:t>
                  </w:r>
                  <w:r>
                    <w:rPr>
                      <w:rFonts w:hint="eastAsia"/>
                      <w:color w:val="auto"/>
                    </w:rPr>
                    <w:t>畜禽养殖</w:t>
                  </w:r>
                  <w:r>
                    <w:rPr>
                      <w:rFonts w:hint="eastAsia"/>
                      <w:color w:val="auto"/>
                      <w:lang w:eastAsia="zh-CN"/>
                    </w:rPr>
                    <w:t>。</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环境风险防控</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执行昆明市总体要求。</w:t>
                  </w:r>
                </w:p>
                <w:p>
                  <w:pPr>
                    <w:bidi w:val="0"/>
                    <w:jc w:val="center"/>
                    <w:rPr>
                      <w:rFonts w:hint="default"/>
                      <w:color w:val="auto"/>
                      <w:lang w:val="en-US" w:eastAsia="zh-CN"/>
                    </w:rPr>
                  </w:pPr>
                  <w:r>
                    <w:rPr>
                      <w:rFonts w:hint="default"/>
                      <w:color w:val="auto"/>
                      <w:lang w:val="en-US" w:eastAsia="zh-CN"/>
                    </w:rPr>
                    <w:t>1.加大放射性物质、电磁辐射、危险废物、医疗废物、尾矿库渣场、危险化学品、重金属等风险要素防控力度，全过程监控风险要素产生、使用、储存、运输、处理处置，实现智能化预警与报警，有效降低各类环境风险。</w:t>
                  </w:r>
                </w:p>
                <w:p>
                  <w:pPr>
                    <w:bidi w:val="0"/>
                    <w:jc w:val="center"/>
                    <w:rPr>
                      <w:rFonts w:hint="default"/>
                      <w:color w:val="auto"/>
                      <w:lang w:val="en-US" w:eastAsia="zh-CN"/>
                    </w:rPr>
                  </w:pPr>
                  <w:r>
                    <w:rPr>
                      <w:rFonts w:hint="default"/>
                      <w:color w:val="auto"/>
                      <w:lang w:val="en-US" w:eastAsia="zh-CN"/>
                    </w:rPr>
                    <w:t>2.针对持久性有机污染物、内分泌干扰物等新污染物，制定实施新污染物治理行动方案，开展新污染物筛查与评估，建立清单，开展化学物质生产使用信息调查，实施调查监测和环境风险评估。</w:t>
                  </w:r>
                </w:p>
                <w:p>
                  <w:pPr>
                    <w:bidi w:val="0"/>
                    <w:jc w:val="center"/>
                    <w:rPr>
                      <w:rFonts w:hint="default"/>
                      <w:color w:val="auto"/>
                      <w:lang w:val="en-US" w:eastAsia="zh-CN"/>
                    </w:rPr>
                  </w:pPr>
                  <w:r>
                    <w:rPr>
                      <w:rFonts w:hint="default"/>
                      <w:color w:val="auto"/>
                      <w:lang w:val="en-US" w:eastAsia="zh-CN"/>
                    </w:rPr>
                    <w:t>3.开展重点区域、重点领域环境风险调查评估，加强源头预防、过程管控、末端治理；建设环境应急技术库和物资库，推动各地更新扩充应急物资和防护装备，提升环境应急指挥信息化水平，完善环境应急管理体系。</w:t>
                  </w:r>
                </w:p>
                <w:p>
                  <w:pPr>
                    <w:bidi w:val="0"/>
                    <w:jc w:val="center"/>
                    <w:rPr>
                      <w:rFonts w:hint="default"/>
                      <w:color w:val="auto"/>
                      <w:lang w:val="en-US" w:eastAsia="zh-CN"/>
                    </w:rPr>
                  </w:pPr>
                  <w:r>
                    <w:rPr>
                      <w:rFonts w:hint="default"/>
                      <w:color w:val="auto"/>
                      <w:lang w:val="en-US" w:eastAsia="zh-CN"/>
                    </w:rPr>
                    <w:t>4.开展</w:t>
                  </w:r>
                  <w:r>
                    <w:rPr>
                      <w:rFonts w:hint="eastAsia" w:ascii="宋体" w:hAnsi="宋体" w:eastAsia="宋体" w:cs="宋体"/>
                      <w:color w:val="auto"/>
                      <w:lang w:val="en-US" w:eastAsia="zh-CN"/>
                    </w:rPr>
                    <w:t>“千吨万人”</w:t>
                  </w:r>
                  <w:r>
                    <w:rPr>
                      <w:rFonts w:hint="default"/>
                      <w:color w:val="auto"/>
                      <w:lang w:val="en-US" w:eastAsia="zh-CN"/>
                    </w:rPr>
                    <w:t>农村饮用水水源保护区环境风险排查整治，加强农村水源水质监测。</w:t>
                  </w:r>
                </w:p>
                <w:p>
                  <w:pPr>
                    <w:bidi w:val="0"/>
                    <w:jc w:val="center"/>
                    <w:rPr>
                      <w:rFonts w:hint="default"/>
                      <w:color w:val="auto"/>
                      <w:lang w:val="en-US" w:eastAsia="zh-CN"/>
                    </w:rPr>
                  </w:pPr>
                  <w:r>
                    <w:rPr>
                      <w:rFonts w:hint="default"/>
                      <w:color w:val="auto"/>
                      <w:lang w:val="en-US" w:eastAsia="zh-CN"/>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pPr>
                    <w:bidi w:val="0"/>
                    <w:jc w:val="center"/>
                    <w:rPr>
                      <w:rFonts w:hint="default"/>
                      <w:color w:val="auto"/>
                      <w:lang w:val="en-US" w:eastAsia="zh-CN"/>
                    </w:rPr>
                  </w:pPr>
                  <w:r>
                    <w:rPr>
                      <w:rFonts w:hint="default"/>
                      <w:color w:val="auto"/>
                      <w:lang w:val="en-US" w:eastAsia="zh-CN"/>
                    </w:rPr>
                    <w:t>6.严格新（改、扩）建尾矿库环境准入，健全尾矿库环境监管清单，加强尾矿库分类分级环境监管。严格落实《云南省尾矿库专项整治工作实施方案》。</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b w:val="0"/>
                      <w:bCs w:val="0"/>
                      <w:i w:val="0"/>
                      <w:iCs w:val="0"/>
                      <w:color w:val="auto"/>
                      <w:sz w:val="21"/>
                      <w:szCs w:val="21"/>
                      <w:u w:val="none"/>
                      <w:lang w:val="en-US" w:eastAsia="zh-CN"/>
                    </w:rPr>
                    <w:t>项目属于森林公园项目，不产生风险物质；不产生</w:t>
                  </w:r>
                  <w:r>
                    <w:rPr>
                      <w:rFonts w:hint="default"/>
                      <w:color w:val="auto"/>
                      <w:lang w:val="en-US" w:eastAsia="zh-CN"/>
                    </w:rPr>
                    <w:t>有机污染物、内分泌干扰物等新污染</w:t>
                  </w:r>
                  <w:r>
                    <w:rPr>
                      <w:rFonts w:hint="eastAsia"/>
                      <w:color w:val="auto"/>
                      <w:lang w:val="en-US" w:eastAsia="zh-CN"/>
                    </w:rPr>
                    <w:t>；已配备充足的消防应急物质；项目占地及评价范围不涉及</w:t>
                  </w:r>
                  <w:r>
                    <w:rPr>
                      <w:rFonts w:hint="default"/>
                      <w:color w:val="auto"/>
                      <w:lang w:val="en-US" w:eastAsia="zh-CN"/>
                    </w:rPr>
                    <w:t>饮用水水源保护区</w:t>
                  </w:r>
                  <w:r>
                    <w:rPr>
                      <w:rFonts w:hint="eastAsia"/>
                      <w:color w:val="auto"/>
                      <w:lang w:val="en-US" w:eastAsia="zh-CN"/>
                    </w:rPr>
                    <w:t>；不属于</w:t>
                  </w:r>
                  <w:r>
                    <w:rPr>
                      <w:rFonts w:hint="default"/>
                      <w:color w:val="auto"/>
                      <w:lang w:val="en-US" w:eastAsia="zh-CN"/>
                    </w:rPr>
                    <w:t>涉危险废物、涉重金属企业</w:t>
                  </w:r>
                  <w:r>
                    <w:rPr>
                      <w:rFonts w:hint="eastAsia"/>
                      <w:color w:val="auto"/>
                      <w:lang w:val="en-US" w:eastAsia="zh-CN"/>
                    </w:rPr>
                    <w:t>；不属于</w:t>
                  </w:r>
                  <w:r>
                    <w:rPr>
                      <w:rFonts w:hint="default"/>
                      <w:color w:val="auto"/>
                      <w:lang w:val="en-US" w:eastAsia="zh-CN"/>
                    </w:rPr>
                    <w:t>尾矿库</w:t>
                  </w:r>
                  <w:r>
                    <w:rPr>
                      <w:rFonts w:hint="eastAsia"/>
                      <w:color w:val="auto"/>
                      <w:lang w:val="en-US" w:eastAsia="zh-CN"/>
                    </w:rPr>
                    <w:t>。</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资源开发效率要求</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default"/>
                      <w:color w:val="auto"/>
                      <w:kern w:val="2"/>
                      <w:sz w:val="21"/>
                      <w:szCs w:val="24"/>
                      <w:lang w:val="en-US" w:eastAsia="zh-CN" w:bidi="ar-SA"/>
                    </w:rPr>
                  </w:pPr>
                  <w:r>
                    <w:rPr>
                      <w:rFonts w:hint="eastAsia"/>
                      <w:color w:val="auto"/>
                    </w:rPr>
                    <w:t>——</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eastAsia"/>
                      <w:color w:val="auto"/>
                    </w:rPr>
                    <w:t>——</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嵩明县大气环境布局敏感重点管控单元</w:t>
                  </w: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空间布局约束</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1.大气布局敏感区，严格控制排放二氧化硫和氮氧化物的企业入驻。</w:t>
                  </w:r>
                </w:p>
                <w:p>
                  <w:pPr>
                    <w:bidi w:val="0"/>
                    <w:jc w:val="center"/>
                    <w:rPr>
                      <w:rFonts w:hint="default"/>
                      <w:color w:val="auto"/>
                      <w:kern w:val="2"/>
                      <w:sz w:val="21"/>
                      <w:szCs w:val="24"/>
                      <w:lang w:val="en-US" w:eastAsia="zh-CN" w:bidi="ar-SA"/>
                    </w:rPr>
                  </w:pPr>
                  <w:r>
                    <w:rPr>
                      <w:rFonts w:hint="eastAsia"/>
                      <w:color w:val="auto"/>
                    </w:rPr>
                    <w:t>2.严禁不符合国家和云南省产业政策和环保标准、资源消耗大、排污量大、废物不能处理达标，清洁生产指标低于国内平均水平的企业入驻。</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项目属于森林公园项目，不属于</w:t>
                  </w:r>
                  <w:r>
                    <w:rPr>
                      <w:rFonts w:hint="eastAsia"/>
                      <w:color w:val="auto"/>
                    </w:rPr>
                    <w:t>排放二氧化硫和氮氧化物的企业</w:t>
                  </w:r>
                  <w:r>
                    <w:rPr>
                      <w:rFonts w:hint="eastAsia"/>
                      <w:color w:val="auto"/>
                      <w:lang w:eastAsia="zh-CN"/>
                    </w:rPr>
                    <w:t>；</w:t>
                  </w:r>
                  <w:r>
                    <w:rPr>
                      <w:rFonts w:hint="eastAsia"/>
                      <w:color w:val="auto"/>
                      <w:lang w:val="en-US" w:eastAsia="zh-CN"/>
                    </w:rPr>
                    <w:t>项目建设符合</w:t>
                  </w:r>
                  <w:r>
                    <w:rPr>
                      <w:rFonts w:hint="eastAsia"/>
                      <w:color w:val="auto"/>
                    </w:rPr>
                    <w:t>国家和云南省产业政策和环保标准</w:t>
                  </w:r>
                  <w:r>
                    <w:rPr>
                      <w:rFonts w:hint="eastAsia"/>
                      <w:color w:val="auto"/>
                      <w:lang w:eastAsia="zh-CN"/>
                    </w:rPr>
                    <w:t>，</w:t>
                  </w:r>
                  <w:r>
                    <w:rPr>
                      <w:rFonts w:hint="eastAsia"/>
                      <w:color w:val="auto"/>
                      <w:lang w:val="en-US" w:eastAsia="zh-CN"/>
                    </w:rPr>
                    <w:t>废物都能做到达标处理。</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污染物排放管控</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eastAsia="宋体"/>
                      <w:color w:val="auto"/>
                      <w:kern w:val="2"/>
                      <w:sz w:val="21"/>
                      <w:szCs w:val="24"/>
                      <w:lang w:val="en-US" w:eastAsia="zh-CN" w:bidi="ar-SA"/>
                    </w:rPr>
                  </w:pPr>
                  <w:r>
                    <w:rPr>
                      <w:rFonts w:hint="eastAsia"/>
                      <w:color w:val="auto"/>
                    </w:rPr>
                    <w:t>执行二级空气质量标准，强化污染物排放总量控制</w:t>
                  </w:r>
                  <w:r>
                    <w:rPr>
                      <w:rFonts w:hint="eastAsia"/>
                      <w:color w:val="auto"/>
                      <w:lang w:eastAsia="zh-CN"/>
                    </w:rPr>
                    <w:t>。</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项目属于森林公园项目，</w:t>
                  </w:r>
                  <w:r>
                    <w:rPr>
                      <w:rFonts w:hint="eastAsia"/>
                      <w:color w:val="auto"/>
                    </w:rPr>
                    <w:t>执行二级空气质量标准，</w:t>
                  </w:r>
                  <w:r>
                    <w:rPr>
                      <w:rFonts w:hint="eastAsia"/>
                      <w:color w:val="auto"/>
                      <w:lang w:val="en-US" w:eastAsia="zh-CN"/>
                    </w:rPr>
                    <w:t>不涉及</w:t>
                  </w:r>
                  <w:r>
                    <w:rPr>
                      <w:rFonts w:hint="eastAsia"/>
                      <w:color w:val="auto"/>
                    </w:rPr>
                    <w:t>污染物排放总量控制</w:t>
                  </w:r>
                  <w:r>
                    <w:rPr>
                      <w:rFonts w:hint="eastAsia"/>
                      <w:color w:val="auto"/>
                      <w:lang w:val="en-US" w:eastAsia="zh-CN"/>
                    </w:rPr>
                    <w:t>中的污染因子。</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环境风险防控</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default"/>
                      <w:color w:val="auto"/>
                      <w:kern w:val="2"/>
                      <w:sz w:val="21"/>
                      <w:szCs w:val="24"/>
                      <w:lang w:val="en-US" w:eastAsia="zh-CN" w:bidi="ar-SA"/>
                    </w:rPr>
                  </w:pPr>
                  <w:r>
                    <w:rPr>
                      <w:rFonts w:hint="eastAsia"/>
                      <w:color w:val="auto"/>
                    </w:rPr>
                    <w:t>——</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eastAsia"/>
                      <w:color w:val="auto"/>
                    </w:rPr>
                    <w:t>——</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资源开发效率要求</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default"/>
                      <w:color w:val="auto"/>
                      <w:kern w:val="2"/>
                      <w:sz w:val="21"/>
                      <w:szCs w:val="24"/>
                      <w:lang w:val="en-US" w:eastAsia="zh-CN" w:bidi="ar-SA"/>
                    </w:rPr>
                  </w:pPr>
                  <w:r>
                    <w:rPr>
                      <w:rFonts w:hint="eastAsia"/>
                      <w:color w:val="auto"/>
                    </w:rPr>
                    <w:t>加大煤气、液化气及电等清洁能源的普及率。</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b w:val="0"/>
                      <w:bCs w:val="0"/>
                      <w:i w:val="0"/>
                      <w:iCs w:val="0"/>
                      <w:color w:val="auto"/>
                      <w:sz w:val="21"/>
                      <w:szCs w:val="21"/>
                      <w:u w:val="none"/>
                      <w:lang w:val="en-US" w:eastAsia="zh-CN"/>
                    </w:rPr>
                    <w:t>项目属于森林公园项目，公园内使用清洁能源。</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嵩明县乡镇生活污染重点管控单元</w:t>
                  </w: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空间布局约束</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引导人口和产业向城镇开发区集聚，向文化汇聚地和休闲中心发展。</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b w:val="0"/>
                      <w:bCs w:val="0"/>
                      <w:i w:val="0"/>
                      <w:iCs w:val="0"/>
                      <w:color w:val="auto"/>
                      <w:sz w:val="21"/>
                      <w:szCs w:val="21"/>
                      <w:u w:val="none"/>
                      <w:lang w:val="en-US" w:eastAsia="zh-CN"/>
                    </w:rPr>
                    <w:t>项目属于森林公园项目，项目不涉及房地产项目，不会</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污染物排放管控</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1.完善生活污水收集处理系统，因地制宜，梯次推进农村生活污水治理工作，减少生活污水直接进入城区河道及湖库。</w:t>
                  </w:r>
                </w:p>
                <w:p>
                  <w:pPr>
                    <w:bidi w:val="0"/>
                    <w:jc w:val="center"/>
                    <w:rPr>
                      <w:rFonts w:hint="eastAsia"/>
                      <w:color w:val="auto"/>
                    </w:rPr>
                  </w:pPr>
                  <w:r>
                    <w:rPr>
                      <w:rFonts w:hint="eastAsia"/>
                      <w:color w:val="auto"/>
                    </w:rPr>
                    <w:t>2.到2025年农村生活污水治理率达85%。</w:t>
                  </w:r>
                </w:p>
                <w:p>
                  <w:pPr>
                    <w:bidi w:val="0"/>
                    <w:jc w:val="center"/>
                    <w:rPr>
                      <w:rFonts w:hint="eastAsia"/>
                      <w:color w:val="auto"/>
                    </w:rPr>
                  </w:pPr>
                  <w:r>
                    <w:rPr>
                      <w:rFonts w:hint="eastAsia"/>
                      <w:color w:val="auto"/>
                    </w:rPr>
                    <w:t>3.城市污水管网尚未配套的地区，房地产开发项目应自行建设污水处理设施，污水处理后达标排放。</w:t>
                  </w:r>
                </w:p>
                <w:p>
                  <w:pPr>
                    <w:bidi w:val="0"/>
                    <w:jc w:val="center"/>
                    <w:rPr>
                      <w:rFonts w:hint="eastAsia"/>
                      <w:color w:val="auto"/>
                    </w:rPr>
                  </w:pPr>
                  <w:r>
                    <w:rPr>
                      <w:rFonts w:hint="eastAsia"/>
                      <w:color w:val="auto"/>
                    </w:rPr>
                    <w:t>4.按国家、省、市相关标准要求建设、改造、提升满足实际需求的环卫基础设施。</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b w:val="0"/>
                      <w:bCs w:val="0"/>
                      <w:i w:val="0"/>
                      <w:iCs w:val="0"/>
                      <w:color w:val="auto"/>
                      <w:sz w:val="21"/>
                      <w:szCs w:val="21"/>
                      <w:u w:val="none"/>
                      <w:lang w:val="en-US" w:eastAsia="zh-CN"/>
                    </w:rPr>
                    <w:t>项目属于森林公园项目，公园内已有完善的雨污分流系统，生活污水能全部进入市政污水管网。</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环境风险防控</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建立健全突发环境事件预警应急机制，定期组织开展预案演练。</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项目属于森林公园项目，不涉及风险物质的存储，项目主要存在的是火灾和安全风险，</w:t>
                  </w:r>
                  <w:r>
                    <w:rPr>
                      <w:rFonts w:hint="eastAsia" w:ascii="Times New Roman" w:hAnsi="Times New Roman" w:eastAsia="宋体" w:cs="Times New Roman"/>
                      <w:i w:val="0"/>
                      <w:iCs w:val="0"/>
                      <w:color w:val="auto"/>
                      <w:sz w:val="21"/>
                      <w:szCs w:val="21"/>
                      <w:u w:val="none"/>
                      <w:lang w:val="en-US" w:eastAsia="zh-CN"/>
                    </w:rPr>
                    <w:t>要求项目建设完成后编制相关的突发事件应急预案，并定期组织开展预案演练。</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4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资源开发效率要求</w:t>
                  </w:r>
                </w:p>
              </w:tc>
              <w:tc>
                <w:tcPr>
                  <w:tcW w:w="4728" w:type="dxa"/>
                  <w:tcBorders>
                    <w:top w:val="single" w:color="000000" w:sz="4" w:space="0"/>
                    <w:left w:val="single" w:color="auto" w:sz="4" w:space="0"/>
                    <w:bottom w:val="single" w:color="000000" w:sz="4" w:space="0"/>
                    <w:right w:val="single" w:color="000000" w:sz="4" w:space="0"/>
                  </w:tcBorders>
                  <w:noWrap w:val="0"/>
                  <w:vAlign w:val="center"/>
                </w:tcPr>
                <w:p>
                  <w:pPr>
                    <w:bidi w:val="0"/>
                    <w:jc w:val="center"/>
                    <w:rPr>
                      <w:rFonts w:hint="eastAsia"/>
                      <w:color w:val="auto"/>
                    </w:rPr>
                  </w:pPr>
                  <w:r>
                    <w:rPr>
                      <w:rFonts w:hint="eastAsia"/>
                      <w:color w:val="auto"/>
                    </w:rPr>
                    <w:t>——</w:t>
                  </w:r>
                </w:p>
              </w:tc>
              <w:tc>
                <w:tcPr>
                  <w:tcW w:w="21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eastAsia"/>
                      <w:color w:val="auto"/>
                    </w:rPr>
                    <w:t>——</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w:t>
                  </w:r>
                </w:p>
              </w:tc>
            </w:tr>
          </w:tbl>
          <w:p>
            <w:pPr>
              <w:autoSpaceDE w:val="0"/>
              <w:autoSpaceDN w:val="0"/>
              <w:adjustRightInd w:val="0"/>
              <w:snapToGrid w:val="0"/>
              <w:spacing w:line="360" w:lineRule="auto"/>
              <w:ind w:firstLine="480" w:firstLineChars="200"/>
              <w:rPr>
                <w:rFonts w:hint="eastAsia"/>
                <w:bCs/>
                <w:color w:val="auto"/>
                <w:kern w:val="0"/>
                <w:sz w:val="24"/>
              </w:rPr>
            </w:pPr>
            <w:r>
              <w:rPr>
                <w:rFonts w:hint="eastAsia"/>
                <w:bCs/>
                <w:color w:val="auto"/>
                <w:kern w:val="0"/>
                <w:sz w:val="24"/>
              </w:rPr>
              <w:t>综上所述，项目符合《昆明市生态环境分区管控动态更新方案（2023年）》的要求。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rFonts w:hint="eastAsia"/>
                <w:b/>
                <w:color w:val="auto"/>
                <w:kern w:val="0"/>
                <w:sz w:val="28"/>
                <w:szCs w:val="28"/>
              </w:rPr>
            </w:pPr>
            <w:r>
              <w:rPr>
                <w:rFonts w:hint="eastAsia"/>
                <w:b/>
                <w:color w:val="auto"/>
                <w:kern w:val="0"/>
                <w:sz w:val="28"/>
                <w:szCs w:val="28"/>
                <w:lang w:val="en-US" w:eastAsia="zh-CN"/>
              </w:rPr>
              <w:t>3、</w:t>
            </w:r>
            <w:r>
              <w:rPr>
                <w:rFonts w:hint="eastAsia"/>
                <w:b/>
                <w:color w:val="auto"/>
                <w:kern w:val="0"/>
                <w:sz w:val="28"/>
                <w:szCs w:val="28"/>
              </w:rPr>
              <w:t>与《云南省主体功能区划》的符合性分析</w:t>
            </w:r>
          </w:p>
          <w:p>
            <w:pPr>
              <w:autoSpaceDE w:val="0"/>
              <w:autoSpaceDN w:val="0"/>
              <w:adjustRightInd w:val="0"/>
              <w:snapToGrid w:val="0"/>
              <w:spacing w:line="360" w:lineRule="auto"/>
              <w:ind w:firstLine="480" w:firstLineChars="200"/>
              <w:rPr>
                <w:rFonts w:hint="eastAsia"/>
                <w:bCs/>
                <w:color w:val="auto"/>
                <w:kern w:val="0"/>
                <w:sz w:val="24"/>
              </w:rPr>
            </w:pPr>
            <w:r>
              <w:rPr>
                <w:rFonts w:hint="eastAsia"/>
                <w:bCs/>
                <w:color w:val="auto"/>
                <w:kern w:val="0"/>
                <w:sz w:val="24"/>
              </w:rPr>
              <w:t>云南省人民政府于2014年1月6日印发了《云南省主体功能区规划》</w:t>
            </w:r>
            <w:r>
              <w:rPr>
                <w:rFonts w:hint="eastAsia"/>
                <w:bCs/>
                <w:color w:val="auto"/>
                <w:kern w:val="0"/>
                <w:sz w:val="24"/>
                <w:lang w:eastAsia="zh-CN"/>
              </w:rPr>
              <w:t>。</w:t>
            </w:r>
            <w:r>
              <w:rPr>
                <w:rFonts w:hint="eastAsia"/>
                <w:bCs/>
                <w:color w:val="auto"/>
                <w:kern w:val="0"/>
                <w:sz w:val="24"/>
                <w:lang w:val="en-US" w:eastAsia="zh-CN"/>
              </w:rPr>
              <w:t>将项目占地位置与</w:t>
            </w:r>
            <w:r>
              <w:rPr>
                <w:rFonts w:hint="eastAsia"/>
                <w:bCs/>
                <w:color w:val="auto"/>
                <w:kern w:val="0"/>
                <w:sz w:val="24"/>
              </w:rPr>
              <w:t>规划</w:t>
            </w:r>
            <w:r>
              <w:rPr>
                <w:rFonts w:hint="eastAsia"/>
                <w:bCs/>
                <w:color w:val="auto"/>
                <w:kern w:val="0"/>
                <w:sz w:val="24"/>
                <w:lang w:val="en-US" w:eastAsia="zh-CN"/>
              </w:rPr>
              <w:t>图进行匹配</w:t>
            </w:r>
            <w:r>
              <w:rPr>
                <w:rFonts w:hint="eastAsia"/>
                <w:bCs/>
                <w:color w:val="auto"/>
                <w:kern w:val="0"/>
                <w:sz w:val="24"/>
              </w:rPr>
              <w:t>，</w:t>
            </w:r>
            <w:r>
              <w:rPr>
                <w:rFonts w:hint="eastAsia"/>
                <w:bCs/>
                <w:color w:val="auto"/>
                <w:kern w:val="0"/>
                <w:sz w:val="24"/>
                <w:lang w:val="en-US" w:eastAsia="zh-CN"/>
              </w:rPr>
              <w:t>本项目所在地位于“国家重点开发区域”</w:t>
            </w:r>
            <w:r>
              <w:rPr>
                <w:rFonts w:hint="eastAsia"/>
                <w:bCs/>
                <w:color w:val="auto"/>
                <w:kern w:val="0"/>
                <w:sz w:val="24"/>
              </w:rPr>
              <w:t>。</w:t>
            </w:r>
          </w:p>
          <w:p>
            <w:pPr>
              <w:keepNext w:val="0"/>
              <w:keepLines w:val="0"/>
              <w:pageBreakBefore w:val="0"/>
              <w:widowControl w:val="0"/>
              <w:kinsoku/>
              <w:wordWrap/>
              <w:overflowPunct/>
              <w:topLinePunct/>
              <w:autoSpaceDE w:val="0"/>
              <w:autoSpaceDN/>
              <w:bidi w:val="0"/>
              <w:adjustRightInd/>
              <w:snapToGrid/>
              <w:spacing w:line="360" w:lineRule="auto"/>
              <w:ind w:firstLine="481" w:firstLineChars="200"/>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b/>
                <w:bCs w:val="0"/>
                <w:color w:val="auto"/>
                <w:kern w:val="0"/>
                <w:sz w:val="24"/>
              </w:rPr>
              <w:t>国家重点开发区域的功能定位为</w:t>
            </w:r>
            <w:r>
              <w:rPr>
                <w:rFonts w:hint="eastAsia" w:ascii="Times New Roman" w:hAnsi="Times New Roman" w:eastAsia="宋体" w:cs="Times New Roman"/>
                <w:b/>
                <w:bCs w:val="0"/>
                <w:color w:val="auto"/>
                <w:kern w:val="0"/>
                <w:sz w:val="24"/>
                <w:lang w:eastAsia="zh-CN"/>
              </w:rPr>
              <w:t>：</w:t>
            </w:r>
            <w:r>
              <w:rPr>
                <w:rFonts w:hint="default" w:ascii="Times New Roman" w:hAnsi="Times New Roman" w:eastAsia="宋体" w:cs="Times New Roman"/>
                <w:bCs/>
                <w:color w:val="auto"/>
                <w:kern w:val="0"/>
                <w:sz w:val="24"/>
              </w:rPr>
              <w:t>我国面向西南开放重要桥头堡建设的核心区，连接东南亚、南亚国家的陆路交通枢纽，面向东南亚、南亚对外开放的重要门户</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rPr>
              <w:t>全国重要的烟草、旅游、文化、能源和商贸物流基地，以化工、有色冶炼加工、生物为重点的区域性资源深加工基地，承接产业转移基地和外向型特色优势产业基地</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rPr>
              <w:t>我国城市化发展格局中特色鲜明的高原生态宜居城市群</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rPr>
              <w:t>全省跨越发展的引擎，我国西南地区重要的经济增长极。</w:t>
            </w:r>
          </w:p>
          <w:p>
            <w:pPr>
              <w:autoSpaceDE w:val="0"/>
              <w:autoSpaceDN w:val="0"/>
              <w:adjustRightInd w:val="0"/>
              <w:snapToGrid w:val="0"/>
              <w:spacing w:line="360" w:lineRule="auto"/>
              <w:ind w:firstLine="481" w:firstLineChars="200"/>
              <w:rPr>
                <w:rFonts w:hint="default"/>
                <w:bCs/>
                <w:color w:val="auto"/>
                <w:kern w:val="0"/>
                <w:sz w:val="24"/>
                <w:lang w:val="en-US" w:eastAsia="zh-CN"/>
              </w:rPr>
            </w:pPr>
            <w:r>
              <w:rPr>
                <w:rFonts w:hint="eastAsia"/>
                <w:b/>
                <w:bCs w:val="0"/>
                <w:color w:val="auto"/>
                <w:kern w:val="0"/>
                <w:sz w:val="24"/>
                <w:lang w:val="en-US" w:eastAsia="zh-CN"/>
              </w:rPr>
              <w:t>相符性分析：</w:t>
            </w:r>
            <w:r>
              <w:rPr>
                <w:rFonts w:hint="eastAsia"/>
                <w:bCs/>
                <w:color w:val="auto"/>
                <w:kern w:val="0"/>
                <w:sz w:val="24"/>
                <w:lang w:val="en-US" w:eastAsia="zh-CN"/>
              </w:rPr>
              <w:t>本项目位于</w:t>
            </w:r>
            <w:r>
              <w:rPr>
                <w:rFonts w:hint="eastAsia"/>
                <w:color w:val="auto"/>
                <w:kern w:val="0"/>
                <w:sz w:val="24"/>
                <w:lang w:eastAsia="zh-CN"/>
              </w:rPr>
              <w:t>昆明市嵩明县嵩阳街道山脚社区，</w:t>
            </w:r>
            <w:r>
              <w:rPr>
                <w:rFonts w:hint="eastAsia"/>
                <w:color w:val="auto"/>
                <w:kern w:val="0"/>
                <w:sz w:val="24"/>
                <w:lang w:val="en-US" w:eastAsia="zh-CN"/>
              </w:rPr>
              <w:t>位于嵩明县城镇区，建设性质为森林公园项目。项目建设在</w:t>
            </w:r>
            <w:r>
              <w:rPr>
                <w:rFonts w:hint="eastAsia"/>
                <w:bCs/>
                <w:color w:val="auto"/>
                <w:kern w:val="0"/>
                <w:sz w:val="24"/>
              </w:rPr>
              <w:t>改善</w:t>
            </w:r>
            <w:r>
              <w:rPr>
                <w:rFonts w:hint="eastAsia"/>
                <w:bCs/>
                <w:color w:val="auto"/>
                <w:kern w:val="0"/>
                <w:sz w:val="24"/>
                <w:lang w:val="en-US" w:eastAsia="zh-CN"/>
              </w:rPr>
              <w:t>区域人居环境</w:t>
            </w:r>
            <w:r>
              <w:rPr>
                <w:rFonts w:hint="eastAsia"/>
                <w:bCs/>
                <w:color w:val="auto"/>
                <w:kern w:val="0"/>
                <w:sz w:val="24"/>
              </w:rPr>
              <w:t>方面能产生积极的社会效益</w:t>
            </w:r>
            <w:r>
              <w:rPr>
                <w:rFonts w:hint="eastAsia"/>
                <w:bCs/>
                <w:color w:val="auto"/>
                <w:kern w:val="0"/>
                <w:sz w:val="24"/>
                <w:lang w:eastAsia="zh-CN"/>
              </w:rPr>
              <w:t>，</w:t>
            </w:r>
            <w:r>
              <w:rPr>
                <w:rFonts w:hint="eastAsia"/>
                <w:bCs/>
                <w:color w:val="auto"/>
                <w:kern w:val="0"/>
                <w:sz w:val="24"/>
              </w:rPr>
              <w:t>项目与《云南省主体功能区规划》的要求相符合</w:t>
            </w:r>
            <w:r>
              <w:rPr>
                <w:rFonts w:hint="eastAsia"/>
                <w:bCs/>
                <w:color w:val="auto"/>
                <w:kern w:val="0"/>
                <w:sz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eastAsia="宋体"/>
                <w:bCs/>
                <w:color w:val="auto"/>
                <w:kern w:val="0"/>
                <w:sz w:val="24"/>
                <w:lang w:eastAsia="zh-CN"/>
              </w:rPr>
            </w:pPr>
            <w:r>
              <w:rPr>
                <w:rFonts w:hint="eastAsia" w:eastAsia="宋体"/>
                <w:bCs/>
                <w:color w:val="auto"/>
                <w:kern w:val="0"/>
                <w:sz w:val="24"/>
                <w:lang w:eastAsia="zh-CN"/>
              </w:rPr>
              <w:drawing>
                <wp:inline distT="0" distB="0" distL="114300" distR="114300">
                  <wp:extent cx="5529580" cy="4618990"/>
                  <wp:effectExtent l="0" t="0" r="7620" b="3810"/>
                  <wp:docPr id="1" name="图片 28" descr="云南省主体功能区划分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云南省主体功能区划分总图"/>
                          <pic:cNvPicPr>
                            <a:picLocks noChangeAspect="1"/>
                          </pic:cNvPicPr>
                        </pic:nvPicPr>
                        <pic:blipFill>
                          <a:blip r:embed="rId8"/>
                          <a:stretch>
                            <a:fillRect/>
                          </a:stretch>
                        </pic:blipFill>
                        <pic:spPr>
                          <a:xfrm>
                            <a:off x="0" y="0"/>
                            <a:ext cx="5529580" cy="46189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b/>
                <w:bCs w:val="0"/>
                <w:color w:val="auto"/>
                <w:kern w:val="0"/>
                <w:sz w:val="24"/>
              </w:rPr>
            </w:pPr>
            <w:r>
              <w:rPr>
                <w:rFonts w:hint="eastAsia"/>
                <w:b/>
                <w:bCs w:val="0"/>
                <w:color w:val="auto"/>
                <w:kern w:val="0"/>
                <w:sz w:val="24"/>
              </w:rPr>
              <w:t>图</w:t>
            </w:r>
            <w:r>
              <w:rPr>
                <w:rFonts w:hint="eastAsia"/>
                <w:b/>
                <w:bCs w:val="0"/>
                <w:color w:val="auto"/>
                <w:kern w:val="0"/>
                <w:sz w:val="24"/>
                <w:lang w:val="en-US" w:eastAsia="zh-CN"/>
              </w:rPr>
              <w:t>1-1</w:t>
            </w:r>
            <w:r>
              <w:rPr>
                <w:rFonts w:hint="eastAsia"/>
                <w:b/>
                <w:bCs w:val="0"/>
                <w:color w:val="auto"/>
                <w:kern w:val="0"/>
                <w:sz w:val="24"/>
              </w:rPr>
              <w:t xml:space="preserve"> 项目与云南省主体功能区划的关系示意图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textAlignment w:val="auto"/>
              <w:rPr>
                <w:b/>
                <w:color w:val="auto"/>
                <w:kern w:val="0"/>
                <w:sz w:val="28"/>
                <w:szCs w:val="28"/>
              </w:rPr>
            </w:pPr>
            <w:r>
              <w:rPr>
                <w:rFonts w:hint="eastAsia"/>
                <w:b/>
                <w:color w:val="auto"/>
                <w:kern w:val="0"/>
                <w:sz w:val="28"/>
                <w:szCs w:val="28"/>
                <w:lang w:val="en-US" w:eastAsia="zh-CN"/>
              </w:rPr>
              <w:t>4、</w:t>
            </w:r>
            <w:r>
              <w:rPr>
                <w:rFonts w:hint="eastAsia"/>
                <w:b/>
                <w:color w:val="auto"/>
                <w:kern w:val="0"/>
                <w:sz w:val="28"/>
                <w:szCs w:val="28"/>
              </w:rPr>
              <w:t>与《云南省生态功能区划》的符合性分析</w:t>
            </w:r>
          </w:p>
          <w:p>
            <w:pPr>
              <w:widowControl/>
              <w:adjustRightInd w:val="0"/>
              <w:snapToGrid w:val="0"/>
              <w:spacing w:line="360" w:lineRule="auto"/>
              <w:ind w:firstLine="480" w:firstLineChars="200"/>
              <w:jc w:val="left"/>
              <w:rPr>
                <w:rFonts w:hint="eastAsia"/>
                <w:color w:val="auto"/>
                <w:kern w:val="0"/>
                <w:sz w:val="24"/>
                <w:lang w:val="en-US" w:eastAsia="zh-CN" w:bidi="ar"/>
              </w:rPr>
            </w:pPr>
            <w:r>
              <w:rPr>
                <w:color w:val="auto"/>
                <w:kern w:val="0"/>
                <w:sz w:val="24"/>
                <w:lang w:bidi="ar"/>
              </w:rPr>
              <w:t>云南省环境保护厅于2009年11月17日印发了《云南省生态功能区划》。</w:t>
            </w:r>
            <w:r>
              <w:rPr>
                <w:rFonts w:hint="eastAsia"/>
                <w:bCs/>
                <w:color w:val="auto"/>
                <w:kern w:val="0"/>
                <w:sz w:val="24"/>
                <w:lang w:val="en-US" w:eastAsia="zh-CN"/>
              </w:rPr>
              <w:t>将项目占地位置与</w:t>
            </w:r>
            <w:r>
              <w:rPr>
                <w:rFonts w:hint="eastAsia"/>
                <w:bCs/>
                <w:color w:val="auto"/>
                <w:kern w:val="0"/>
                <w:sz w:val="24"/>
              </w:rPr>
              <w:t>规划</w:t>
            </w:r>
            <w:r>
              <w:rPr>
                <w:rFonts w:hint="eastAsia"/>
                <w:bCs/>
                <w:color w:val="auto"/>
                <w:kern w:val="0"/>
                <w:sz w:val="24"/>
                <w:lang w:val="en-US" w:eastAsia="zh-CN"/>
              </w:rPr>
              <w:t>图进行匹配</w:t>
            </w:r>
            <w:r>
              <w:rPr>
                <w:color w:val="auto"/>
                <w:kern w:val="0"/>
                <w:sz w:val="24"/>
                <w:lang w:bidi="ar"/>
              </w:rPr>
              <w:t>，本工程所在</w:t>
            </w:r>
            <w:r>
              <w:rPr>
                <w:rFonts w:hint="eastAsia"/>
                <w:color w:val="auto"/>
                <w:kern w:val="0"/>
                <w:sz w:val="24"/>
                <w:lang w:val="en-US" w:eastAsia="zh-CN" w:bidi="ar"/>
              </w:rPr>
              <w:t>地位于Ⅲ1-10牛栏江上游丘原盆地水源涵养生态功能区。</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Ⅲ1-10牛栏江上游丘原盆地水源涵养生态功能区的区划内容为：</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（1）所在区域与面积：马龙县，嵩明、宜良、寻甸县的部分地区，面积4783.52平方公里。</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（2）主要生态特征：，以石灰岩丘原盆地地貌为主。降雨量1000-1200 毫米，植被主要为云南松林和半湿润常绿阔叶林，土壤类型主要是红壤。</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（3）主要生态环境问题：土地利用过度引起的土地退化。</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（4）生态环境敏感性：石漠化高度及中度敏感。</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（5）主要生态系统服务功能：牛栏江上游的水源涵养和生态农业建设。</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（6）保护措施与发展方向：山地封山育林，提高森林覆盖，谷盆地区调整农业结构，推行清洁生产，保护农田生态环境，防止区域石漠化。</w:t>
            </w:r>
          </w:p>
          <w:p>
            <w:pPr>
              <w:autoSpaceDE w:val="0"/>
              <w:autoSpaceDN w:val="0"/>
              <w:adjustRightInd w:val="0"/>
              <w:snapToGrid w:val="0"/>
              <w:spacing w:line="360" w:lineRule="auto"/>
              <w:ind w:firstLine="480" w:firstLineChars="200"/>
              <w:rPr>
                <w:rFonts w:hint="eastAsia"/>
                <w:bCs/>
                <w:color w:val="auto"/>
                <w:kern w:val="0"/>
                <w:sz w:val="24"/>
              </w:rPr>
            </w:pPr>
            <w:r>
              <w:rPr>
                <w:rFonts w:hint="eastAsia"/>
                <w:color w:val="auto"/>
                <w:kern w:val="0"/>
                <w:sz w:val="24"/>
                <w:lang w:val="en-US" w:eastAsia="zh-CN" w:bidi="ar"/>
              </w:rPr>
              <w:t>本项目施工期和运营期对该区域声环境、水环境、大气环境和生态环境的影响较小，</w:t>
            </w:r>
            <w:r>
              <w:rPr>
                <w:rFonts w:hint="eastAsia" w:ascii="Times New Roman" w:hAnsi="Times New Roman"/>
                <w:color w:val="auto"/>
                <w:sz w:val="24"/>
              </w:rPr>
              <w:t>其建设和运行不会对区域的水土资源和生态系统造成明显的不利影响，因此，项目与《云南省生态功能区划》不冲突</w:t>
            </w:r>
            <w:r>
              <w:rPr>
                <w:color w:val="auto"/>
                <w:kern w:val="0"/>
                <w:sz w:val="24"/>
                <w:lang w:bidi="ar"/>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eastAsia="宋体"/>
                <w:bCs/>
                <w:color w:val="auto"/>
                <w:kern w:val="0"/>
                <w:sz w:val="24"/>
                <w:lang w:eastAsia="zh-CN"/>
              </w:rPr>
            </w:pPr>
            <w:r>
              <w:rPr>
                <w:rFonts w:hint="eastAsia" w:eastAsia="宋体"/>
                <w:bCs/>
                <w:color w:val="auto"/>
                <w:kern w:val="0"/>
                <w:sz w:val="24"/>
                <w:lang w:eastAsia="zh-CN"/>
              </w:rPr>
              <w:drawing>
                <wp:inline distT="0" distB="0" distL="114300" distR="114300">
                  <wp:extent cx="5478780" cy="3910965"/>
                  <wp:effectExtent l="0" t="0" r="7620" b="635"/>
                  <wp:docPr id="2" name="图片 29" descr="云南省生态功能类型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云南省生态功能类型区图"/>
                          <pic:cNvPicPr>
                            <a:picLocks noChangeAspect="1"/>
                          </pic:cNvPicPr>
                        </pic:nvPicPr>
                        <pic:blipFill>
                          <a:blip r:embed="rId9"/>
                          <a:stretch>
                            <a:fillRect/>
                          </a:stretch>
                        </pic:blipFill>
                        <pic:spPr>
                          <a:xfrm>
                            <a:off x="0" y="0"/>
                            <a:ext cx="5478780" cy="3910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b/>
                <w:bCs w:val="0"/>
                <w:color w:val="auto"/>
                <w:kern w:val="0"/>
                <w:sz w:val="24"/>
              </w:rPr>
            </w:pPr>
            <w:r>
              <w:rPr>
                <w:rFonts w:hint="eastAsia"/>
                <w:b/>
                <w:bCs w:val="0"/>
                <w:color w:val="auto"/>
                <w:kern w:val="0"/>
                <w:sz w:val="24"/>
              </w:rPr>
              <w:t>图</w:t>
            </w:r>
            <w:r>
              <w:rPr>
                <w:rFonts w:hint="eastAsia"/>
                <w:b/>
                <w:bCs w:val="0"/>
                <w:color w:val="auto"/>
                <w:kern w:val="0"/>
                <w:sz w:val="24"/>
                <w:lang w:val="en-US" w:eastAsia="zh-CN"/>
              </w:rPr>
              <w:t>1-2</w:t>
            </w:r>
            <w:r>
              <w:rPr>
                <w:rFonts w:hint="eastAsia"/>
                <w:b/>
                <w:bCs w:val="0"/>
                <w:color w:val="auto"/>
                <w:kern w:val="0"/>
                <w:sz w:val="24"/>
              </w:rPr>
              <w:t xml:space="preserve"> 项目与云南省生态功能区划的关系示意图</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left"/>
              <w:textAlignment w:val="auto"/>
              <w:rPr>
                <w:b/>
                <w:bCs/>
                <w:color w:val="auto"/>
                <w:kern w:val="0"/>
                <w:sz w:val="28"/>
                <w:szCs w:val="28"/>
                <w:lang w:bidi="ar"/>
              </w:rPr>
            </w:pPr>
            <w:r>
              <w:rPr>
                <w:rFonts w:hint="eastAsia"/>
                <w:b/>
                <w:bCs/>
                <w:color w:val="auto"/>
                <w:kern w:val="0"/>
                <w:sz w:val="28"/>
                <w:szCs w:val="28"/>
                <w:lang w:val="en-US" w:eastAsia="zh-CN" w:bidi="ar"/>
              </w:rPr>
              <w:t>5、</w:t>
            </w:r>
            <w:r>
              <w:rPr>
                <w:b/>
                <w:bCs/>
                <w:color w:val="auto"/>
                <w:kern w:val="0"/>
                <w:sz w:val="28"/>
                <w:szCs w:val="28"/>
                <w:lang w:bidi="ar"/>
              </w:rPr>
              <w:t>项目与《云南省生物多样性保护战略与行动计划》的符合性分析</w:t>
            </w:r>
          </w:p>
          <w:p>
            <w:pPr>
              <w:widowControl/>
              <w:adjustRightInd w:val="0"/>
              <w:snapToGrid w:val="0"/>
              <w:spacing w:line="360" w:lineRule="auto"/>
              <w:ind w:firstLine="480" w:firstLineChars="200"/>
              <w:jc w:val="left"/>
              <w:rPr>
                <w:color w:val="auto"/>
                <w:kern w:val="0"/>
                <w:sz w:val="24"/>
                <w:lang w:bidi="ar"/>
              </w:rPr>
            </w:pPr>
            <w:r>
              <w:rPr>
                <w:color w:val="auto"/>
                <w:kern w:val="0"/>
                <w:sz w:val="24"/>
                <w:lang w:bidi="ar"/>
              </w:rPr>
              <w:t>2013年2月5日云南省人民政府十二届第二次常务会议审议通过了《云南省生物多样性保护战略与行动计划（2012－2030 年）》。该计划结合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万km</w:t>
            </w:r>
            <w:r>
              <w:rPr>
                <w:color w:val="auto"/>
                <w:kern w:val="0"/>
                <w:sz w:val="24"/>
                <w:vertAlign w:val="superscript"/>
                <w:lang w:bidi="ar"/>
              </w:rPr>
              <w:t>2</w:t>
            </w:r>
            <w:r>
              <w:rPr>
                <w:color w:val="auto"/>
                <w:kern w:val="0"/>
                <w:sz w:val="24"/>
                <w:lang w:bidi="ar"/>
              </w:rPr>
              <w:t>。并针对6个优先区域提出了9大保护优先领域和34项行动。</w:t>
            </w:r>
          </w:p>
          <w:p>
            <w:pPr>
              <w:widowControl/>
              <w:adjustRightInd w:val="0"/>
              <w:snapToGrid w:val="0"/>
              <w:spacing w:line="360" w:lineRule="auto"/>
              <w:ind w:firstLine="480" w:firstLineChars="200"/>
              <w:jc w:val="left"/>
              <w:rPr>
                <w:color w:val="auto"/>
                <w:kern w:val="0"/>
                <w:sz w:val="24"/>
                <w:lang w:bidi="ar"/>
              </w:rPr>
            </w:pPr>
            <w:r>
              <w:rPr>
                <w:color w:val="auto"/>
                <w:kern w:val="0"/>
                <w:sz w:val="24"/>
                <w:lang w:bidi="ar"/>
              </w:rPr>
              <w:t>本项目所在</w:t>
            </w:r>
            <w:r>
              <w:rPr>
                <w:rFonts w:hint="eastAsia"/>
                <w:color w:val="auto"/>
                <w:kern w:val="0"/>
                <w:sz w:val="24"/>
                <w:lang w:val="en-US" w:eastAsia="zh-CN" w:bidi="ar"/>
              </w:rPr>
              <w:t>地</w:t>
            </w:r>
            <w:r>
              <w:rPr>
                <w:color w:val="auto"/>
                <w:kern w:val="0"/>
                <w:sz w:val="24"/>
                <w:lang w:bidi="ar"/>
              </w:rPr>
              <w:t>不属于该计划划定的生物多样性保护优先保护区域</w:t>
            </w:r>
            <w:r>
              <w:rPr>
                <w:rFonts w:hint="eastAsia"/>
                <w:color w:val="auto"/>
                <w:kern w:val="0"/>
                <w:sz w:val="24"/>
                <w:lang w:eastAsia="zh-CN" w:bidi="ar"/>
              </w:rPr>
              <w:t>，</w:t>
            </w:r>
            <w:r>
              <w:rPr>
                <w:rFonts w:hint="eastAsia"/>
                <w:color w:val="auto"/>
                <w:kern w:val="0"/>
                <w:sz w:val="24"/>
                <w:lang w:val="en-US" w:eastAsia="zh-CN" w:bidi="ar"/>
              </w:rPr>
              <w:t>项目的建设能更好的保护生物多样性，并加大对保护生物多样性的宣传</w:t>
            </w:r>
            <w:r>
              <w:rPr>
                <w:color w:val="auto"/>
                <w:kern w:val="0"/>
                <w:sz w:val="24"/>
                <w:lang w:bidi="ar"/>
              </w:rPr>
              <w:t>。</w:t>
            </w:r>
          </w:p>
          <w:p>
            <w:pPr>
              <w:pStyle w:val="157"/>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1"/>
              <w:rPr>
                <w:rFonts w:ascii="Times New Roman" w:hAnsi="Times New Roman"/>
                <w:b/>
                <w:color w:val="auto"/>
                <w:sz w:val="28"/>
                <w:szCs w:val="28"/>
              </w:rPr>
            </w:pPr>
            <w:r>
              <w:rPr>
                <w:rFonts w:hint="eastAsia" w:ascii="Times New Roman" w:hAnsi="Times New Roman"/>
                <w:b/>
                <w:color w:val="auto"/>
                <w:sz w:val="28"/>
                <w:szCs w:val="28"/>
                <w:lang w:val="en-US" w:eastAsia="zh-CN"/>
              </w:rPr>
              <w:t>6、</w:t>
            </w:r>
            <w:r>
              <w:rPr>
                <w:rFonts w:ascii="Times New Roman" w:hAnsi="Times New Roman"/>
                <w:b/>
                <w:color w:val="auto"/>
                <w:sz w:val="28"/>
                <w:szCs w:val="28"/>
              </w:rPr>
              <w:t>项目与</w:t>
            </w:r>
            <w:r>
              <w:rPr>
                <w:rFonts w:hint="eastAsia" w:ascii="Times New Roman" w:hAnsi="Times New Roman"/>
                <w:b/>
                <w:color w:val="auto"/>
                <w:sz w:val="28"/>
                <w:szCs w:val="28"/>
              </w:rPr>
              <w:t>《长江经济带生态环境保护规划》</w:t>
            </w:r>
            <w:r>
              <w:rPr>
                <w:rFonts w:ascii="Times New Roman" w:hAnsi="Times New Roman"/>
                <w:b/>
                <w:color w:val="auto"/>
                <w:sz w:val="28"/>
                <w:szCs w:val="28"/>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长江经济带生态环境保护规划》要求，要严守生态保护红线。要将生态保护红线作为空间规划编制的重要基础，相关规划要符合生态保护红线空间管控要求，不符合的要及时进行调整。生态保护红线原则上按禁止开发区域的要求进行管理，严禁不符合主体功能定位的各类开发活动，严禁任意改变用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b/>
                <w:bCs/>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w:t>
            </w:r>
            <w:r>
              <w:rPr>
                <w:rFonts w:hint="eastAsia" w:ascii="Times New Roman" w:hAnsi="Times New Roman" w:cs="Times New Roman"/>
                <w:color w:val="auto"/>
                <w:kern w:val="0"/>
                <w:sz w:val="24"/>
                <w:szCs w:val="24"/>
                <w:lang w:val="en-US" w:eastAsia="zh-CN"/>
              </w:rPr>
              <w:t>占地范围不涉及生态保护红线，</w:t>
            </w:r>
            <w:r>
              <w:rPr>
                <w:rFonts w:hint="default" w:ascii="Times New Roman" w:hAnsi="Times New Roman" w:cs="Times New Roman"/>
                <w:color w:val="auto"/>
                <w:kern w:val="0"/>
                <w:sz w:val="24"/>
                <w:szCs w:val="24"/>
                <w:lang w:val="en-US" w:eastAsia="zh-CN"/>
              </w:rPr>
              <w:t>符合《长江经济带生态环境保护规划》的相关要求。</w:t>
            </w:r>
          </w:p>
          <w:p>
            <w:pPr>
              <w:pStyle w:val="157"/>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1"/>
              <w:rPr>
                <w:rFonts w:ascii="Times New Roman" w:hAnsi="Times New Roman"/>
                <w:b/>
                <w:color w:val="auto"/>
                <w:sz w:val="28"/>
                <w:szCs w:val="28"/>
              </w:rPr>
            </w:pPr>
            <w:r>
              <w:rPr>
                <w:rFonts w:hint="eastAsia" w:ascii="Times New Roman" w:hAnsi="Times New Roman"/>
                <w:b/>
                <w:color w:val="auto"/>
                <w:sz w:val="28"/>
                <w:szCs w:val="28"/>
                <w:lang w:val="en-US" w:eastAsia="zh-CN"/>
              </w:rPr>
              <w:t>7、</w:t>
            </w:r>
            <w:r>
              <w:rPr>
                <w:rFonts w:ascii="Times New Roman" w:hAnsi="Times New Roman"/>
                <w:b/>
                <w:color w:val="auto"/>
                <w:sz w:val="28"/>
                <w:szCs w:val="28"/>
              </w:rPr>
              <w:t>项目与</w:t>
            </w:r>
            <w:r>
              <w:rPr>
                <w:rFonts w:hint="eastAsia" w:ascii="Times New Roman" w:hAnsi="Times New Roman"/>
                <w:b/>
                <w:color w:val="auto"/>
                <w:sz w:val="28"/>
                <w:szCs w:val="28"/>
              </w:rPr>
              <w:t>《长江经济带发展负面清单指南（试行</w:t>
            </w:r>
            <w:r>
              <w:rPr>
                <w:rFonts w:hint="eastAsia" w:eastAsia="宋体" w:cs="宋体"/>
                <w:b/>
                <w:color w:val="auto"/>
                <w:sz w:val="28"/>
                <w:szCs w:val="28"/>
                <w:lang w:eastAsia="zh-CN"/>
              </w:rPr>
              <w:t>，</w:t>
            </w:r>
            <w:r>
              <w:rPr>
                <w:rFonts w:hint="eastAsia" w:ascii="Times New Roman" w:hAnsi="Times New Roman"/>
                <w:b/>
                <w:color w:val="auto"/>
                <w:sz w:val="28"/>
                <w:szCs w:val="28"/>
              </w:rPr>
              <w:t>2022年版）》</w:t>
            </w:r>
            <w:r>
              <w:rPr>
                <w:rFonts w:ascii="Times New Roman" w:hAnsi="Times New Roman"/>
                <w:b/>
                <w:color w:val="auto"/>
                <w:sz w:val="28"/>
                <w:szCs w:val="28"/>
              </w:rPr>
              <w:t>的符合性分析</w:t>
            </w:r>
          </w:p>
          <w:p>
            <w:pPr>
              <w:pStyle w:val="1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1"/>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表1-3 项目与长江经济带发展负面清单符合性表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1"/>
              <w:gridCol w:w="2666"/>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vertAlign w:val="baseline"/>
                    </w:rPr>
                    <w:t>要求</w:t>
                  </w:r>
                </w:p>
              </w:tc>
              <w:tc>
                <w:tcPr>
                  <w:tcW w:w="26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lang w:val="en-US" w:eastAsia="zh-CN" w:bidi="ar"/>
                    </w:rPr>
                    <w:t>项目情况</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vertAlign w:val="baseli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lang w:val="en-US" w:eastAsia="zh-CN" w:bidi="ar-SA"/>
                    </w:rPr>
                    <w:t>1、禁止建设不符合全国和省级港口布局规划以及港口总体规划的码头项目，禁止建设不符合《长江干线过江通道布局规划》的过长江通道项目。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w:t>
                  </w:r>
                  <w:r>
                    <w:rPr>
                      <w:rFonts w:hint="default" w:ascii="Times New Roman" w:hAnsi="Times New Roman" w:eastAsia="宋体" w:cs="Times New Roman"/>
                      <w:color w:val="auto"/>
                      <w:kern w:val="0"/>
                      <w:sz w:val="21"/>
                      <w:szCs w:val="21"/>
                      <w:vertAlign w:val="baseline"/>
                    </w:rPr>
                    <w:t>不属于港口、码头建设项目</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2、禁止在自然保护区核心区、缓冲区的岸线和河段范围内投资建设旅游和生产经营项目。禁止在风景名胜区核心景区的岸线和河段范围内投资建设与风景名胜资源保护无关的项目。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本项目选址选线不涉及自然保护区、风景名胜区。</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本项目选址选线</w:t>
                  </w:r>
                  <w:r>
                    <w:rPr>
                      <w:rFonts w:hint="eastAsia" w:ascii="Times New Roman" w:hAnsi="Times New Roman" w:eastAsia="宋体" w:cs="Times New Roman"/>
                      <w:color w:val="auto"/>
                      <w:kern w:val="0"/>
                      <w:sz w:val="21"/>
                      <w:szCs w:val="21"/>
                      <w:vertAlign w:val="baseline"/>
                      <w:lang w:val="en-US" w:eastAsia="zh-CN"/>
                    </w:rPr>
                    <w:t>及评价范围</w:t>
                  </w:r>
                  <w:r>
                    <w:rPr>
                      <w:rFonts w:hint="default" w:ascii="Times New Roman" w:hAnsi="Times New Roman" w:eastAsia="宋体" w:cs="Times New Roman"/>
                      <w:color w:val="auto"/>
                      <w:kern w:val="0"/>
                      <w:sz w:val="21"/>
                      <w:szCs w:val="21"/>
                      <w:vertAlign w:val="baseline"/>
                    </w:rPr>
                    <w:t>不涉及饮用水水源保护区。</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本项目选址选线不涉及水产种质资源保护区、国家湿地公园，项目建设不涉及围湖造田、围海造地或围填海、挖沙、采矿。</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项目不涉及利用、占用河湖岸线；项目不涉及重要江河湖泊水功能区。</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6、禁止未经许可在长江干支流及湖泊新设、改设或扩大排污口。</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项目</w:t>
                  </w:r>
                  <w:r>
                    <w:rPr>
                      <w:rFonts w:hint="eastAsia" w:ascii="Times New Roman" w:hAnsi="Times New Roman" w:eastAsia="宋体" w:cs="Times New Roman"/>
                      <w:color w:val="auto"/>
                      <w:kern w:val="0"/>
                      <w:sz w:val="21"/>
                      <w:szCs w:val="21"/>
                      <w:vertAlign w:val="baseline"/>
                      <w:lang w:val="en-US" w:eastAsia="zh-CN"/>
                    </w:rPr>
                    <w:t>未在</w:t>
                  </w:r>
                  <w:r>
                    <w:rPr>
                      <w:rFonts w:hint="default" w:ascii="Times New Roman" w:hAnsi="Times New Roman" w:eastAsia="宋体" w:cs="Times New Roman"/>
                      <w:color w:val="auto"/>
                      <w:kern w:val="0"/>
                      <w:sz w:val="21"/>
                      <w:szCs w:val="21"/>
                      <w:vertAlign w:val="baseline"/>
                    </w:rPr>
                    <w:t>长江干支流及湖泊设</w:t>
                  </w:r>
                  <w:r>
                    <w:rPr>
                      <w:rFonts w:hint="eastAsia" w:ascii="Times New Roman" w:hAnsi="Times New Roman" w:eastAsia="宋体" w:cs="Times New Roman"/>
                      <w:color w:val="auto"/>
                      <w:kern w:val="0"/>
                      <w:sz w:val="21"/>
                      <w:szCs w:val="21"/>
                      <w:vertAlign w:val="baseline"/>
                      <w:lang w:val="en-US" w:eastAsia="zh-CN"/>
                    </w:rPr>
                    <w:t>废水</w:t>
                  </w:r>
                  <w:r>
                    <w:rPr>
                      <w:rFonts w:hint="default" w:ascii="Times New Roman" w:hAnsi="Times New Roman" w:eastAsia="宋体" w:cs="Times New Roman"/>
                      <w:color w:val="auto"/>
                      <w:kern w:val="0"/>
                      <w:sz w:val="21"/>
                      <w:szCs w:val="21"/>
                      <w:vertAlign w:val="baseline"/>
                    </w:rPr>
                    <w:t>排污口。</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7、禁止在</w:t>
                  </w:r>
                  <w:r>
                    <w:rPr>
                      <w:rFonts w:hint="eastAsia" w:ascii="宋体" w:hAnsi="宋体" w:eastAsia="宋体" w:cs="宋体"/>
                      <w:color w:val="auto"/>
                      <w:kern w:val="0"/>
                      <w:sz w:val="21"/>
                      <w:szCs w:val="21"/>
                      <w:vertAlign w:val="baseline"/>
                    </w:rPr>
                    <w:t>“一江一口两湖七河”</w:t>
                  </w:r>
                  <w:r>
                    <w:rPr>
                      <w:rFonts w:hint="default" w:ascii="Times New Roman" w:hAnsi="Times New Roman" w:eastAsia="宋体" w:cs="Times New Roman"/>
                      <w:color w:val="auto"/>
                      <w:kern w:val="0"/>
                      <w:sz w:val="21"/>
                      <w:szCs w:val="21"/>
                      <w:vertAlign w:val="baseline"/>
                    </w:rPr>
                    <w:t>和332个水生生物保护区开展生产性捕捞。</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本项目运行不涉及生产性捕捞。</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rPr>
                    <w:t>本项目不属于新建、扩建化工园区和化工项目，不属于矿山、尾矿库项目</w:t>
                  </w:r>
                  <w:r>
                    <w:rPr>
                      <w:rFonts w:hint="default" w:ascii="Times New Roman" w:hAnsi="Times New Roman" w:eastAsia="宋体" w:cs="Times New Roman"/>
                      <w:color w:val="auto"/>
                      <w:kern w:val="0"/>
                      <w:sz w:val="21"/>
                      <w:szCs w:val="21"/>
                      <w:vertAlign w:val="baseline"/>
                      <w:lang w:eastAsia="zh-CN"/>
                    </w:rPr>
                    <w:t>。</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9、禁止在合规园区外新建、扩建钢铁、石化、化工、焦化、建材、有色、制浆造纸等高污染项目。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w:t>
                  </w:r>
                  <w:r>
                    <w:rPr>
                      <w:rFonts w:hint="default" w:ascii="Times New Roman" w:hAnsi="Times New Roman" w:eastAsia="宋体" w:cs="Times New Roman"/>
                      <w:color w:val="auto"/>
                      <w:kern w:val="0"/>
                      <w:sz w:val="21"/>
                      <w:szCs w:val="21"/>
                      <w:vertAlign w:val="baseline"/>
                    </w:rPr>
                    <w:t>不属于钢铁、石化、化工、焦化、建材、有色、制浆造纸等高污染项目。</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10、禁止新建、扩建不符合国家石化、现代煤化工等产业布局规划的项目。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本项目属于公园项目，不</w:t>
                  </w:r>
                  <w:r>
                    <w:rPr>
                      <w:rFonts w:hint="eastAsia" w:ascii="Times New Roman" w:hAnsi="Times New Roman" w:eastAsia="宋体" w:cs="Times New Roman"/>
                      <w:color w:val="auto"/>
                      <w:kern w:val="0"/>
                      <w:sz w:val="21"/>
                      <w:szCs w:val="21"/>
                      <w:vertAlign w:val="baseline"/>
                      <w:lang w:val="en-US" w:eastAsia="zh-CN"/>
                    </w:rPr>
                    <w:t>涉及</w:t>
                  </w:r>
                  <w:r>
                    <w:rPr>
                      <w:rFonts w:hint="default" w:ascii="Times New Roman" w:hAnsi="Times New Roman" w:eastAsia="宋体" w:cs="Times New Roman"/>
                      <w:color w:val="auto"/>
                      <w:kern w:val="0"/>
                      <w:sz w:val="21"/>
                      <w:szCs w:val="21"/>
                      <w:vertAlign w:val="baseline"/>
                    </w:rPr>
                    <w:t>石化、现代煤化工等产业</w:t>
                  </w:r>
                  <w:r>
                    <w:rPr>
                      <w:rFonts w:hint="eastAsia" w:ascii="Times New Roman" w:hAnsi="Times New Roman" w:eastAsia="宋体" w:cs="Times New Roman"/>
                      <w:color w:val="auto"/>
                      <w:kern w:val="0"/>
                      <w:sz w:val="21"/>
                      <w:szCs w:val="21"/>
                      <w:vertAlign w:val="baseline"/>
                      <w:lang w:eastAsia="zh-CN"/>
                    </w:rPr>
                    <w:t>。</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2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11、禁止新建、扩建法律法规和相关政策明令禁止的落后产能项目。禁止新建、扩建不符合国家产能置换要求的严重过剩产能行业的项目。禁止新建、扩建不符合要求的高耗能高排放项目。</w:t>
                  </w:r>
                </w:p>
              </w:tc>
              <w:tc>
                <w:tcPr>
                  <w:tcW w:w="266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项目不属于、落后产能项目、过剩产能行业的项目、高耗能高排放项目。</w:t>
                  </w:r>
                </w:p>
              </w:tc>
              <w:tc>
                <w:tcPr>
                  <w:tcW w:w="871"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bl>
          <w:p>
            <w:pPr>
              <w:pStyle w:val="15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eastAsia" w:ascii="Times New Roman" w:hAnsi="Times New Roman" w:eastAsia="宋体"/>
                <w:b/>
                <w:color w:val="auto"/>
                <w:sz w:val="28"/>
                <w:szCs w:val="28"/>
                <w:lang w:val="en-US" w:eastAsia="zh-CN"/>
              </w:rPr>
            </w:pPr>
            <w:r>
              <w:rPr>
                <w:rFonts w:hint="eastAsia" w:ascii="Times New Roman" w:hAnsi="Times New Roman"/>
                <w:color w:val="auto"/>
                <w:kern w:val="0"/>
                <w:sz w:val="24"/>
              </w:rPr>
              <w:t>综上分析，项目不属于《长江经济带发展负面清单指南（试行，2022版）》名列的负面清单建设项目，项目建设符合《长江经济带发展负面清单指南（试行，2022版）》的相关要求</w:t>
            </w:r>
            <w:r>
              <w:rPr>
                <w:rFonts w:hint="eastAsia" w:ascii="Times New Roman" w:hAnsi="Times New Roman"/>
                <w:color w:val="auto"/>
                <w:kern w:val="0"/>
                <w:sz w:val="24"/>
                <w:lang w:eastAsia="zh-CN"/>
              </w:rPr>
              <w:t>。</w:t>
            </w:r>
          </w:p>
          <w:p>
            <w:pPr>
              <w:pStyle w:val="157"/>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1"/>
              <w:rPr>
                <w:rFonts w:ascii="Times New Roman" w:hAnsi="Times New Roman"/>
                <w:b/>
                <w:color w:val="auto"/>
                <w:sz w:val="28"/>
                <w:szCs w:val="28"/>
              </w:rPr>
            </w:pPr>
            <w:r>
              <w:rPr>
                <w:rFonts w:hint="eastAsia" w:ascii="Times New Roman" w:hAnsi="Times New Roman"/>
                <w:b/>
                <w:color w:val="auto"/>
                <w:sz w:val="28"/>
                <w:szCs w:val="28"/>
                <w:lang w:val="en-US" w:eastAsia="zh-CN"/>
              </w:rPr>
              <w:t>7、</w:t>
            </w:r>
            <w:r>
              <w:rPr>
                <w:rFonts w:ascii="Times New Roman" w:hAnsi="Times New Roman"/>
                <w:b/>
                <w:color w:val="auto"/>
                <w:sz w:val="28"/>
                <w:szCs w:val="28"/>
              </w:rPr>
              <w:t>项目与</w:t>
            </w:r>
            <w:r>
              <w:rPr>
                <w:rFonts w:hint="eastAsia" w:ascii="Times New Roman" w:hAnsi="Times New Roman"/>
                <w:b/>
                <w:color w:val="auto"/>
                <w:sz w:val="28"/>
                <w:szCs w:val="28"/>
              </w:rPr>
              <w:t>《云南省长江经济带发展负面清单指南实施细则（试行</w:t>
            </w:r>
            <w:r>
              <w:rPr>
                <w:rFonts w:hint="eastAsia" w:ascii="Times New Roman" w:hAnsi="Times New Roman"/>
                <w:b/>
                <w:color w:val="auto"/>
                <w:sz w:val="28"/>
                <w:szCs w:val="28"/>
                <w:lang w:eastAsia="zh-CN"/>
              </w:rPr>
              <w:t>，</w:t>
            </w:r>
            <w:r>
              <w:rPr>
                <w:rFonts w:hint="eastAsia" w:ascii="Times New Roman" w:hAnsi="Times New Roman"/>
                <w:b/>
                <w:color w:val="auto"/>
                <w:sz w:val="28"/>
                <w:szCs w:val="28"/>
              </w:rPr>
              <w:t>2022年版）》</w:t>
            </w:r>
            <w:r>
              <w:rPr>
                <w:rFonts w:ascii="Times New Roman" w:hAnsi="Times New Roman"/>
                <w:b/>
                <w:color w:val="auto"/>
                <w:sz w:val="28"/>
                <w:szCs w:val="28"/>
              </w:rPr>
              <w:t>的符合性分析</w:t>
            </w:r>
          </w:p>
          <w:p>
            <w:pPr>
              <w:pStyle w:val="15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1"/>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表1-4 项目与云南省长江经济带发展负面清单符合性表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3"/>
              <w:gridCol w:w="2309"/>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vertAlign w:val="baseline"/>
                    </w:rPr>
                    <w:t>要求</w:t>
                  </w:r>
                </w:p>
              </w:tc>
              <w:tc>
                <w:tcPr>
                  <w:tcW w:w="230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lang w:val="en-US" w:eastAsia="zh-CN" w:bidi="ar"/>
                    </w:rPr>
                    <w:t>项目情况</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vertAlign w:val="baseli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1、</w:t>
                  </w:r>
                  <w:r>
                    <w:rPr>
                      <w:rFonts w:hint="default" w:ascii="Times New Roman" w:hAnsi="Times New Roman" w:eastAsia="宋体" w:cs="Times New Roman"/>
                      <w:color w:val="auto"/>
                      <w:kern w:val="0"/>
                      <w:sz w:val="21"/>
                      <w:szCs w:val="21"/>
                      <w:vertAlign w:val="baseline"/>
                    </w:rPr>
                    <w:t>禁止一切不符合主体功能定位的投资建设项目严禁任意改变用途，因国家重大战略资源勘查需要，在不影响主体功能定位的前提下，经依法批准后予以安排勘查项</w:t>
                  </w:r>
                  <w:r>
                    <w:rPr>
                      <w:rFonts w:hint="default" w:ascii="Times New Roman" w:hAnsi="Times New Roman" w:eastAsia="宋体" w:cs="Times New Roman"/>
                      <w:color w:val="auto"/>
                      <w:kern w:val="0"/>
                      <w:sz w:val="21"/>
                      <w:szCs w:val="21"/>
                      <w:vertAlign w:val="baseline"/>
                      <w:lang w:eastAsia="zh-CN"/>
                    </w:rPr>
                    <w:t>。</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属于森林公园项目，符合主体功能定位。</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2、</w:t>
                  </w:r>
                  <w:r>
                    <w:rPr>
                      <w:rFonts w:hint="default" w:ascii="Times New Roman" w:hAnsi="Times New Roman" w:eastAsia="宋体" w:cs="Times New Roman"/>
                      <w:color w:val="auto"/>
                      <w:kern w:val="0"/>
                      <w:sz w:val="21"/>
                      <w:szCs w:val="21"/>
                      <w:vertAlign w:val="baseli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eastAsia"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属于森林公园项目，项目选址选线不涉及</w:t>
                  </w:r>
                  <w:r>
                    <w:rPr>
                      <w:rFonts w:hint="default" w:ascii="Times New Roman" w:hAnsi="Times New Roman" w:eastAsia="宋体" w:cs="Times New Roman"/>
                      <w:color w:val="auto"/>
                      <w:kern w:val="0"/>
                      <w:sz w:val="21"/>
                      <w:szCs w:val="21"/>
                      <w:vertAlign w:val="baseline"/>
                    </w:rPr>
                    <w:t>划定的岸线保护区</w:t>
                  </w:r>
                  <w:r>
                    <w:rPr>
                      <w:rFonts w:hint="eastAsia" w:ascii="Times New Roman" w:hAnsi="Times New Roman" w:eastAsia="宋体" w:cs="Times New Roman"/>
                      <w:color w:val="auto"/>
                      <w:kern w:val="0"/>
                      <w:sz w:val="21"/>
                      <w:szCs w:val="21"/>
                      <w:vertAlign w:val="baseline"/>
                      <w:lang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3、</w:t>
                  </w:r>
                  <w:r>
                    <w:rPr>
                      <w:rFonts w:hint="default" w:ascii="Times New Roman" w:hAnsi="Times New Roman" w:eastAsia="宋体" w:cs="Times New Roman"/>
                      <w:color w:val="auto"/>
                      <w:kern w:val="0"/>
                      <w:sz w:val="21"/>
                      <w:szCs w:val="21"/>
                      <w:vertAlign w:val="baseline"/>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r>
                    <w:rPr>
                      <w:rFonts w:hint="default" w:ascii="Times New Roman" w:hAnsi="Times New Roman" w:eastAsia="宋体" w:cs="Times New Roman"/>
                      <w:color w:val="auto"/>
                      <w:kern w:val="0"/>
                      <w:sz w:val="21"/>
                      <w:szCs w:val="21"/>
                      <w:vertAlign w:val="baseline"/>
                      <w:lang w:eastAsia="zh-CN"/>
                    </w:rPr>
                    <w:t>。</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项目选址选线不涉及</w:t>
                  </w:r>
                  <w:r>
                    <w:rPr>
                      <w:rFonts w:hint="default" w:ascii="Times New Roman" w:hAnsi="Times New Roman" w:eastAsia="宋体" w:cs="Times New Roman"/>
                      <w:color w:val="auto"/>
                      <w:kern w:val="0"/>
                      <w:sz w:val="21"/>
                      <w:szCs w:val="21"/>
                      <w:vertAlign w:val="baseline"/>
                    </w:rPr>
                    <w:t>生态保护红线</w:t>
                  </w:r>
                  <w:r>
                    <w:rPr>
                      <w:rFonts w:hint="eastAsia" w:ascii="Times New Roman" w:hAnsi="Times New Roman" w:eastAsia="宋体" w:cs="Times New Roman"/>
                      <w:color w:val="auto"/>
                      <w:kern w:val="0"/>
                      <w:sz w:val="21"/>
                      <w:szCs w:val="21"/>
                      <w:vertAlign w:val="baseline"/>
                      <w:lang w:val="en-US" w:eastAsia="zh-CN"/>
                    </w:rPr>
                    <w:t>范围。</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4、</w:t>
                  </w:r>
                  <w:r>
                    <w:rPr>
                      <w:rFonts w:hint="default" w:ascii="Times New Roman" w:hAnsi="Times New Roman" w:eastAsia="宋体" w:cs="Times New Roman"/>
                      <w:color w:val="auto"/>
                      <w:kern w:val="0"/>
                      <w:sz w:val="21"/>
                      <w:szCs w:val="21"/>
                      <w:vertAlign w:val="baseline"/>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w:t>
                  </w:r>
                  <w:r>
                    <w:rPr>
                      <w:rFonts w:hint="eastAsia" w:ascii="宋体" w:hAnsi="宋体" w:eastAsia="宋体" w:cs="宋体"/>
                      <w:color w:val="auto"/>
                      <w:kern w:val="0"/>
                      <w:sz w:val="21"/>
                      <w:szCs w:val="21"/>
                      <w:vertAlign w:val="baseline"/>
                    </w:rPr>
                    <w:t>“数量不减、质量不降、布局稳定”</w:t>
                  </w:r>
                  <w:r>
                    <w:rPr>
                      <w:rFonts w:hint="default" w:ascii="Times New Roman" w:hAnsi="Times New Roman" w:eastAsia="宋体" w:cs="Times New Roman"/>
                      <w:color w:val="auto"/>
                      <w:kern w:val="0"/>
                      <w:sz w:val="21"/>
                      <w:szCs w:val="21"/>
                      <w:vertAlign w:val="baseline"/>
                    </w:rPr>
                    <w:t>的要求进行补划和法定程序修改相应的土地利用总体规划。</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eastAsia" w:ascii="Times New Roman" w:hAnsi="Times New Roman" w:eastAsia="宋体" w:cs="Times New Roman"/>
                      <w:color w:val="auto"/>
                      <w:kern w:val="0"/>
                      <w:sz w:val="21"/>
                      <w:szCs w:val="21"/>
                      <w:vertAlign w:val="baseline"/>
                      <w:lang w:val="en-US" w:eastAsia="zh-CN"/>
                    </w:rPr>
                    <w:t>项目选址选线不涉及</w:t>
                  </w:r>
                  <w:r>
                    <w:rPr>
                      <w:rFonts w:hint="default" w:ascii="Times New Roman" w:hAnsi="Times New Roman" w:eastAsia="宋体" w:cs="Times New Roman"/>
                      <w:color w:val="auto"/>
                      <w:kern w:val="0"/>
                      <w:sz w:val="21"/>
                      <w:szCs w:val="21"/>
                      <w:vertAlign w:val="baseline"/>
                    </w:rPr>
                    <w:t>永久基本农田范围</w:t>
                  </w:r>
                  <w:r>
                    <w:rPr>
                      <w:rFonts w:hint="eastAsia" w:ascii="Times New Roman" w:hAnsi="Times New Roman" w:eastAsia="宋体" w:cs="Times New Roman"/>
                      <w:color w:val="auto"/>
                      <w:kern w:val="0"/>
                      <w:sz w:val="21"/>
                      <w:szCs w:val="21"/>
                      <w:vertAlign w:val="baseline"/>
                      <w:lang w:val="en-US"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5、</w:t>
                  </w:r>
                  <w:r>
                    <w:rPr>
                      <w:rFonts w:hint="default" w:ascii="Times New Roman" w:hAnsi="Times New Roman" w:eastAsia="宋体" w:cs="Times New Roman"/>
                      <w:color w:val="auto"/>
                      <w:kern w:val="0"/>
                      <w:sz w:val="21"/>
                      <w:szCs w:val="21"/>
                      <w:vertAlign w:val="baseline"/>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密、建房、建坟、挖沙、采石、采矿、取土、堆放固体废弃物或者进行其他破坏永久基本农田的活动</w:t>
                  </w:r>
                  <w:r>
                    <w:rPr>
                      <w:rFonts w:hint="eastAsia" w:ascii="Times New Roman" w:hAnsi="Times New Roman" w:eastAsia="宋体" w:cs="Times New Roman"/>
                      <w:color w:val="auto"/>
                      <w:kern w:val="0"/>
                      <w:sz w:val="21"/>
                      <w:szCs w:val="21"/>
                      <w:vertAlign w:val="baseline"/>
                      <w:lang w:eastAsia="zh-CN"/>
                    </w:rPr>
                    <w:t>：</w:t>
                  </w:r>
                  <w:r>
                    <w:rPr>
                      <w:rFonts w:hint="default" w:ascii="Times New Roman" w:hAnsi="Times New Roman" w:eastAsia="宋体" w:cs="Times New Roman"/>
                      <w:color w:val="auto"/>
                      <w:kern w:val="0"/>
                      <w:sz w:val="21"/>
                      <w:szCs w:val="21"/>
                      <w:vertAlign w:val="baseline"/>
                    </w:rPr>
                    <w:t>禁止任何单位和个人破坏永久基本农田耕作层</w:t>
                  </w:r>
                  <w:r>
                    <w:rPr>
                      <w:rFonts w:hint="eastAsia" w:ascii="Times New Roman" w:hAnsi="Times New Roman" w:eastAsia="宋体" w:cs="Times New Roman"/>
                      <w:color w:val="auto"/>
                      <w:kern w:val="0"/>
                      <w:sz w:val="21"/>
                      <w:szCs w:val="21"/>
                      <w:vertAlign w:val="baseline"/>
                      <w:lang w:eastAsia="zh-CN"/>
                    </w:rPr>
                    <w:t>；</w:t>
                  </w:r>
                  <w:r>
                    <w:rPr>
                      <w:rFonts w:hint="default" w:ascii="Times New Roman" w:hAnsi="Times New Roman" w:eastAsia="宋体" w:cs="Times New Roman"/>
                      <w:color w:val="auto"/>
                      <w:kern w:val="0"/>
                      <w:sz w:val="21"/>
                      <w:szCs w:val="21"/>
                      <w:vertAlign w:val="baseline"/>
                    </w:rPr>
                    <w:t>禁止任何单位和个人闲置、荒芜永久基本农田。禁止以设施农用地为名违规占用永久基本农田建设休闲旅游、仓储厂房等设施，坚决防止永久基本农田</w:t>
                  </w:r>
                  <w:r>
                    <w:rPr>
                      <w:rFonts w:hint="eastAsia" w:ascii="宋体" w:hAnsi="宋体" w:eastAsia="宋体" w:cs="宋体"/>
                      <w:color w:val="auto"/>
                      <w:kern w:val="0"/>
                      <w:sz w:val="21"/>
                      <w:szCs w:val="21"/>
                      <w:vertAlign w:val="baseline"/>
                    </w:rPr>
                    <w:t>“非农化”</w:t>
                  </w:r>
                  <w:r>
                    <w:rPr>
                      <w:rFonts w:hint="default" w:ascii="Times New Roman" w:hAnsi="Times New Roman" w:eastAsia="宋体" w:cs="Times New Roman"/>
                      <w:color w:val="auto"/>
                      <w:kern w:val="0"/>
                      <w:sz w:val="21"/>
                      <w:szCs w:val="21"/>
                      <w:vertAlign w:val="baseline"/>
                      <w:lang w:eastAsia="zh-CN"/>
                    </w:rPr>
                    <w:t>。</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eastAsia"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属于森林公园项目，项目选址选线不涉及</w:t>
                  </w:r>
                  <w:r>
                    <w:rPr>
                      <w:rFonts w:hint="default" w:ascii="Times New Roman" w:hAnsi="Times New Roman" w:eastAsia="宋体" w:cs="Times New Roman"/>
                      <w:color w:val="auto"/>
                      <w:kern w:val="0"/>
                      <w:sz w:val="21"/>
                      <w:szCs w:val="21"/>
                      <w:vertAlign w:val="baseline"/>
                    </w:rPr>
                    <w:t>基本农田</w:t>
                  </w:r>
                  <w:r>
                    <w:rPr>
                      <w:rFonts w:hint="eastAsia" w:ascii="Times New Roman" w:hAnsi="Times New Roman" w:eastAsia="宋体" w:cs="Times New Roman"/>
                      <w:color w:val="auto"/>
                      <w:kern w:val="0"/>
                      <w:sz w:val="21"/>
                      <w:szCs w:val="21"/>
                      <w:vertAlign w:val="baseline"/>
                      <w:lang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6、</w:t>
                  </w:r>
                  <w:r>
                    <w:rPr>
                      <w:rFonts w:hint="default" w:ascii="Times New Roman" w:hAnsi="Times New Roman" w:eastAsia="宋体" w:cs="Times New Roman"/>
                      <w:color w:val="auto"/>
                      <w:kern w:val="0"/>
                      <w:sz w:val="21"/>
                      <w:szCs w:val="21"/>
                      <w:vertAlign w:val="baseline"/>
                    </w:rPr>
                    <w:t>禁止在金沙江、长江一级支流建设除党中央、国务院、国家投资主管部门、省级有关部门批复同意以外的过江基础设施项目</w:t>
                  </w:r>
                  <w:r>
                    <w:rPr>
                      <w:rFonts w:hint="default" w:ascii="Times New Roman" w:hAnsi="Times New Roman" w:eastAsia="宋体" w:cs="Times New Roman"/>
                      <w:color w:val="auto"/>
                      <w:kern w:val="0"/>
                      <w:sz w:val="21"/>
                      <w:szCs w:val="21"/>
                      <w:vertAlign w:val="baseline"/>
                      <w:lang w:eastAsia="zh-CN"/>
                    </w:rPr>
                    <w:t>。</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本项目建设内容不涉及过江设施项目。</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lang w:val="en-US" w:eastAsia="zh-CN"/>
                    </w:rPr>
                    <w:t>7、</w:t>
                  </w:r>
                  <w:r>
                    <w:rPr>
                      <w:rFonts w:hint="default" w:ascii="Times New Roman" w:hAnsi="Times New Roman" w:eastAsia="宋体" w:cs="Times New Roman"/>
                      <w:color w:val="auto"/>
                      <w:kern w:val="0"/>
                      <w:sz w:val="21"/>
                      <w:szCs w:val="21"/>
                      <w:vertAlign w:val="baseline"/>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eastAsia"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属于森林公园项目，项目选址选线不涉及</w:t>
                  </w:r>
                  <w:r>
                    <w:rPr>
                      <w:rFonts w:hint="default" w:ascii="Times New Roman" w:hAnsi="Times New Roman" w:eastAsia="宋体" w:cs="Times New Roman"/>
                      <w:color w:val="auto"/>
                      <w:kern w:val="0"/>
                      <w:sz w:val="21"/>
                      <w:szCs w:val="21"/>
                      <w:vertAlign w:val="baseline"/>
                    </w:rPr>
                    <w:t>自然保护区</w:t>
                  </w:r>
                  <w:r>
                    <w:rPr>
                      <w:rFonts w:hint="eastAsia" w:ascii="Times New Roman" w:hAnsi="Times New Roman" w:eastAsia="宋体" w:cs="Times New Roman"/>
                      <w:color w:val="auto"/>
                      <w:kern w:val="0"/>
                      <w:sz w:val="21"/>
                      <w:szCs w:val="21"/>
                      <w:vertAlign w:val="baseline"/>
                      <w:lang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8、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禁止修建储存爆炸性、易燃性、放射性、毒害性、腐蚀性物品的设施。</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属于森林公园项目，项目选址选线不涉及</w:t>
                  </w:r>
                  <w:r>
                    <w:rPr>
                      <w:rFonts w:hint="default" w:ascii="Times New Roman" w:hAnsi="Times New Roman" w:eastAsia="宋体" w:cs="Times New Roman"/>
                      <w:color w:val="auto"/>
                      <w:kern w:val="0"/>
                      <w:sz w:val="21"/>
                      <w:szCs w:val="21"/>
                      <w:vertAlign w:val="baseline"/>
                      <w:lang w:val="en-US" w:eastAsia="zh-CN"/>
                    </w:rPr>
                    <w:t>风景名胜区</w:t>
                  </w:r>
                  <w:r>
                    <w:rPr>
                      <w:rFonts w:hint="eastAsia" w:ascii="Times New Roman" w:hAnsi="Times New Roman" w:eastAsia="宋体" w:cs="Times New Roman"/>
                      <w:color w:val="auto"/>
                      <w:kern w:val="0"/>
                      <w:sz w:val="21"/>
                      <w:szCs w:val="21"/>
                      <w:vertAlign w:val="baseline"/>
                      <w:lang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9、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项目占地范围不涉及</w:t>
                  </w:r>
                  <w:r>
                    <w:rPr>
                      <w:rFonts w:hint="default" w:ascii="Times New Roman" w:hAnsi="Times New Roman" w:eastAsia="宋体" w:cs="Times New Roman"/>
                      <w:color w:val="auto"/>
                      <w:kern w:val="0"/>
                      <w:sz w:val="21"/>
                      <w:szCs w:val="21"/>
                      <w:vertAlign w:val="baseline"/>
                      <w:lang w:val="en-US" w:eastAsia="zh-CN"/>
                    </w:rPr>
                    <w:t>饮用水水源一级保护区</w:t>
                  </w:r>
                  <w:r>
                    <w:rPr>
                      <w:rFonts w:hint="eastAsia" w:ascii="Times New Roman" w:hAnsi="Times New Roman" w:eastAsia="宋体" w:cs="Times New Roman"/>
                      <w:color w:val="auto"/>
                      <w:kern w:val="0"/>
                      <w:sz w:val="21"/>
                      <w:szCs w:val="21"/>
                      <w:vertAlign w:val="baseline"/>
                      <w:lang w:val="en-US" w:eastAsia="zh-CN"/>
                    </w:rPr>
                    <w:t>和二级保护区。</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10、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禁止开</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围</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垦、填埋或者排干湿地</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禁止截断湿地水源、挖沙、采矿、引入外来物种</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禁止擅自放牧、捕捞、取土、取水、排污、放生</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禁止其他破坏湿地及其生态功能的活动。</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属于森林公园项目，项目选址选线不涉及</w:t>
                  </w:r>
                  <w:r>
                    <w:rPr>
                      <w:rFonts w:hint="default" w:ascii="Times New Roman" w:hAnsi="Times New Roman" w:eastAsia="宋体" w:cs="Times New Roman"/>
                      <w:color w:val="auto"/>
                      <w:kern w:val="0"/>
                      <w:sz w:val="21"/>
                      <w:szCs w:val="21"/>
                      <w:vertAlign w:val="baseline"/>
                      <w:lang w:val="en-US" w:eastAsia="zh-CN"/>
                    </w:rPr>
                    <w:t>水产种质资源保护区</w:t>
                  </w:r>
                  <w:r>
                    <w:rPr>
                      <w:rFonts w:hint="eastAsia" w:ascii="Times New Roman" w:hAnsi="Times New Roman" w:eastAsia="宋体" w:cs="Times New Roman"/>
                      <w:color w:val="auto"/>
                      <w:kern w:val="0"/>
                      <w:sz w:val="21"/>
                      <w:szCs w:val="21"/>
                      <w:vertAlign w:val="baseline"/>
                      <w:lang w:val="en-US"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11、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属于森林公园项目，项目不属于化工园区和化工项目。</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12、禁止新建不符合非煤矿山转型升级有关准入标准的非煤矿山。禁止在金沙江岸线3公里、长江一级支流岸线1公里范围内新建、改建、扩建尾矿库。</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属于森林公园项目，项目不属于</w:t>
                  </w:r>
                  <w:r>
                    <w:rPr>
                      <w:rFonts w:hint="default" w:ascii="Times New Roman" w:hAnsi="Times New Roman" w:eastAsia="宋体" w:cs="Times New Roman"/>
                      <w:color w:val="auto"/>
                      <w:kern w:val="0"/>
                      <w:sz w:val="21"/>
                      <w:szCs w:val="21"/>
                      <w:vertAlign w:val="baseline"/>
                      <w:lang w:val="en-US" w:eastAsia="zh-CN"/>
                    </w:rPr>
                    <w:t>非煤矿山</w:t>
                  </w:r>
                  <w:r>
                    <w:rPr>
                      <w:rFonts w:hint="eastAsia" w:ascii="Times New Roman" w:hAnsi="Times New Roman" w:eastAsia="宋体" w:cs="Times New Roman"/>
                      <w:color w:val="auto"/>
                      <w:kern w:val="0"/>
                      <w:sz w:val="21"/>
                      <w:szCs w:val="21"/>
                      <w:vertAlign w:val="baseline"/>
                      <w:lang w:val="en-US"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13、禁止在合规园区外新建、扩建钢铁、石化、化工、焦化、建材、有色等高污染项目。禁止新增钢铁、水泥、平板玻璃等行业建设产能，确有必要建设的，应按规定实施产能等量或减量置换。</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属于森林公园项目，项目不属于</w:t>
                  </w:r>
                  <w:r>
                    <w:rPr>
                      <w:rFonts w:hint="default" w:ascii="Times New Roman" w:hAnsi="Times New Roman" w:eastAsia="宋体" w:cs="Times New Roman"/>
                      <w:color w:val="auto"/>
                      <w:kern w:val="0"/>
                      <w:sz w:val="21"/>
                      <w:szCs w:val="21"/>
                      <w:vertAlign w:val="baseline"/>
                      <w:lang w:val="en-US" w:eastAsia="zh-CN"/>
                    </w:rPr>
                    <w:t>钢铁、石化、化工、焦化、建材、有色等高污染项目</w:t>
                  </w:r>
                  <w:r>
                    <w:rPr>
                      <w:rFonts w:hint="eastAsia" w:ascii="Times New Roman" w:hAnsi="Times New Roman" w:eastAsia="宋体" w:cs="Times New Roman"/>
                      <w:color w:val="auto"/>
                      <w:kern w:val="0"/>
                      <w:sz w:val="21"/>
                      <w:szCs w:val="21"/>
                      <w:vertAlign w:val="baseline"/>
                      <w:lang w:val="en-US"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14、禁止新建、扩建不符合国家石化、现代煤化工等产业布局规划的项目。</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属于森林公园项目，项目不属于</w:t>
                  </w:r>
                  <w:r>
                    <w:rPr>
                      <w:rFonts w:hint="default" w:ascii="Times New Roman" w:hAnsi="Times New Roman" w:eastAsia="宋体" w:cs="Times New Roman"/>
                      <w:color w:val="auto"/>
                      <w:kern w:val="0"/>
                      <w:sz w:val="21"/>
                      <w:szCs w:val="21"/>
                      <w:vertAlign w:val="baseline"/>
                      <w:lang w:val="en-US" w:eastAsia="zh-CN"/>
                    </w:rPr>
                    <w:t>国家石化、现代煤化工</w:t>
                  </w:r>
                  <w:r>
                    <w:rPr>
                      <w:rFonts w:hint="eastAsia" w:ascii="Times New Roman" w:hAnsi="Times New Roman" w:eastAsia="宋体" w:cs="Times New Roman"/>
                      <w:color w:val="auto"/>
                      <w:kern w:val="0"/>
                      <w:sz w:val="21"/>
                      <w:szCs w:val="21"/>
                      <w:vertAlign w:val="baseline"/>
                      <w:lang w:val="en-US" w:eastAsia="zh-CN"/>
                    </w:rPr>
                    <w:t>等项目。</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15、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一无机复混肥料、过磷酸钙和钙镁磷肥生产线。</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属于森林公园项目，项目不属于落后产能项目。</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16、禁止建设高毒高残留以及对环境影响大的农药原药生产装置，严格控制尿素、磷铵、电石、焦炭、黄磷、烧碱、纯碱、聚氯乙烯等行业新增产能。</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属于森林公园项目，项目不属于</w:t>
                  </w:r>
                  <w:r>
                    <w:rPr>
                      <w:rFonts w:hint="default" w:ascii="Times New Roman" w:hAnsi="Times New Roman" w:eastAsia="宋体" w:cs="Times New Roman"/>
                      <w:color w:val="auto"/>
                      <w:kern w:val="0"/>
                      <w:sz w:val="21"/>
                      <w:szCs w:val="21"/>
                      <w:vertAlign w:val="baseline"/>
                      <w:lang w:val="en-US" w:eastAsia="zh-CN"/>
                    </w:rPr>
                    <w:t>尿素、磷铵、电石、焦炭、黄磷、烧碱、纯碱、聚氯乙烯等行业</w:t>
                  </w:r>
                  <w:r>
                    <w:rPr>
                      <w:rFonts w:hint="eastAsia" w:ascii="Times New Roman" w:hAnsi="Times New Roman" w:eastAsia="宋体" w:cs="Times New Roman"/>
                      <w:color w:val="auto"/>
                      <w:kern w:val="0"/>
                      <w:sz w:val="21"/>
                      <w:szCs w:val="21"/>
                      <w:vertAlign w:val="baseline"/>
                      <w:lang w:val="en-US" w:eastAsia="zh-CN"/>
                    </w:rPr>
                    <w:t>。</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3"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17、禁止列入《云南省城镇人口密集区危险化学品生产企业搬迁改造名单》的搬迁改造企业在原址新建、扩建危险化学品生产项目，加强搬迁入园、关闭退出企业腾退十地污染风险管控和治理修复，确保腾退土地符合规划用地</w:t>
                  </w:r>
                  <w:r>
                    <w:rPr>
                      <w:rFonts w:hint="eastAsia" w:ascii="Times New Roman" w:hAnsi="Times New Roman" w:eastAsia="宋体" w:cs="Times New Roman"/>
                      <w:color w:val="auto"/>
                      <w:kern w:val="0"/>
                      <w:sz w:val="21"/>
                      <w:szCs w:val="21"/>
                      <w:vertAlign w:val="baseline"/>
                      <w:lang w:val="en-US" w:eastAsia="zh-CN"/>
                    </w:rPr>
                    <w:t>土</w:t>
                  </w:r>
                  <w:r>
                    <w:rPr>
                      <w:rFonts w:hint="default" w:ascii="Times New Roman" w:hAnsi="Times New Roman" w:eastAsia="宋体" w:cs="Times New Roman"/>
                      <w:color w:val="auto"/>
                      <w:kern w:val="0"/>
                      <w:sz w:val="21"/>
                      <w:szCs w:val="21"/>
                      <w:vertAlign w:val="baseline"/>
                      <w:lang w:val="en-US" w:eastAsia="zh-CN"/>
                    </w:rPr>
                    <w:t>壤环境质量标准。</w:t>
                  </w:r>
                </w:p>
              </w:tc>
              <w:tc>
                <w:tcPr>
                  <w:tcW w:w="2309"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outlineLvl w:val="1"/>
                    <w:rPr>
                      <w:rFonts w:hint="default" w:ascii="Times New Roman" w:hAnsi="Times New Roman" w:eastAsia="宋体" w:cs="Times New Roman"/>
                      <w:color w:val="auto"/>
                      <w:kern w:val="0"/>
                      <w:sz w:val="21"/>
                      <w:szCs w:val="21"/>
                      <w:vertAlign w:val="baseline"/>
                      <w:lang w:val="en-US"/>
                    </w:rPr>
                  </w:pPr>
                  <w:r>
                    <w:rPr>
                      <w:rFonts w:hint="default" w:ascii="Times New Roman" w:hAnsi="Times New Roman" w:eastAsia="宋体" w:cs="Times New Roman"/>
                      <w:color w:val="auto"/>
                      <w:kern w:val="0"/>
                      <w:sz w:val="21"/>
                      <w:szCs w:val="21"/>
                      <w:vertAlign w:val="baseline"/>
                    </w:rPr>
                    <w:t>本项目</w:t>
                  </w:r>
                  <w:r>
                    <w:rPr>
                      <w:rFonts w:hint="eastAsia" w:ascii="Times New Roman" w:hAnsi="Times New Roman" w:eastAsia="宋体" w:cs="Times New Roman"/>
                      <w:color w:val="auto"/>
                      <w:kern w:val="0"/>
                      <w:sz w:val="21"/>
                      <w:szCs w:val="21"/>
                      <w:vertAlign w:val="baseline"/>
                      <w:lang w:val="en-US" w:eastAsia="zh-CN"/>
                    </w:rPr>
                    <w:t>属于森林公园项目，本项目不属在</w:t>
                  </w:r>
                  <w:r>
                    <w:rPr>
                      <w:rFonts w:hint="default" w:ascii="Times New Roman" w:hAnsi="Times New Roman" w:eastAsia="宋体" w:cs="Times New Roman"/>
                      <w:color w:val="auto"/>
                      <w:kern w:val="0"/>
                      <w:sz w:val="21"/>
                      <w:szCs w:val="21"/>
                      <w:vertAlign w:val="baseline"/>
                      <w:lang w:val="en-US" w:eastAsia="zh-CN"/>
                    </w:rPr>
                    <w:t>《云南省城镇人口密集区危险化学品生产企业搬迁改造名单》</w:t>
                  </w:r>
                  <w:r>
                    <w:rPr>
                      <w:rFonts w:hint="eastAsia" w:ascii="Times New Roman" w:hAnsi="Times New Roman" w:eastAsia="宋体" w:cs="Times New Roman"/>
                      <w:color w:val="auto"/>
                      <w:kern w:val="0"/>
                      <w:sz w:val="21"/>
                      <w:szCs w:val="21"/>
                      <w:vertAlign w:val="baseline"/>
                      <w:lang w:val="en-US" w:eastAsia="zh-CN"/>
                    </w:rPr>
                    <w:t>中。</w:t>
                  </w:r>
                </w:p>
              </w:tc>
              <w:tc>
                <w:tcPr>
                  <w:tcW w:w="896" w:type="dxa"/>
                  <w:noWrap w:val="0"/>
                  <w:vAlign w:val="center"/>
                </w:tcPr>
                <w:p>
                  <w:pPr>
                    <w:pStyle w:val="15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宋体" w:cs="Times New Roman"/>
                      <w:color w:val="auto"/>
                      <w:kern w:val="0"/>
                      <w:sz w:val="21"/>
                      <w:szCs w:val="21"/>
                      <w:vertAlign w:val="baseline"/>
                    </w:rPr>
                  </w:pPr>
                  <w:r>
                    <w:rPr>
                      <w:rFonts w:hint="default" w:ascii="Times New Roman" w:hAnsi="Times New Roman" w:eastAsia="宋体" w:cs="Times New Roman"/>
                      <w:color w:val="auto"/>
                      <w:kern w:val="0"/>
                      <w:sz w:val="21"/>
                      <w:szCs w:val="21"/>
                      <w:vertAlign w:val="baseline"/>
                    </w:rPr>
                    <w:t>符合</w:t>
                  </w:r>
                </w:p>
              </w:tc>
            </w:tr>
          </w:tbl>
          <w:p>
            <w:pPr>
              <w:pStyle w:val="157"/>
              <w:snapToGrid/>
              <w:spacing w:line="360" w:lineRule="auto"/>
              <w:ind w:firstLine="480" w:firstLineChars="200"/>
              <w:jc w:val="left"/>
              <w:outlineLvl w:val="1"/>
              <w:rPr>
                <w:rFonts w:ascii="Times New Roman" w:hAnsi="Times New Roman"/>
                <w:color w:val="auto"/>
                <w:kern w:val="0"/>
                <w:sz w:val="24"/>
              </w:rPr>
            </w:pPr>
            <w:r>
              <w:rPr>
                <w:rFonts w:hint="eastAsia" w:ascii="Times New Roman" w:hAnsi="Times New Roman"/>
                <w:color w:val="auto"/>
                <w:kern w:val="0"/>
                <w:sz w:val="24"/>
              </w:rPr>
              <w:t>综上分析，项目不属于《云南省长江经济带发展负面清单指南实施细则（试行，2022年版）》名列的负面清单建设项目，项目建设符合《云南省长江经济带发展负面清单指南实施细则（试行，2022年版）》的相关要求。</w:t>
            </w:r>
          </w:p>
          <w:p>
            <w:pPr>
              <w:pStyle w:val="8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p>
          <w:p>
            <w:pPr>
              <w:pStyle w:val="157"/>
              <w:snapToGrid/>
              <w:spacing w:line="360" w:lineRule="auto"/>
              <w:ind w:firstLine="480" w:firstLineChars="200"/>
              <w:jc w:val="left"/>
              <w:outlineLvl w:val="1"/>
              <w:rPr>
                <w:rFonts w:hint="eastAsia" w:ascii="Times New Roman" w:hAnsi="Times New Roman"/>
                <w:color w:val="auto"/>
                <w:kern w:val="0"/>
                <w:sz w:val="24"/>
              </w:rPr>
            </w:pPr>
          </w:p>
          <w:p>
            <w:pPr>
              <w:pStyle w:val="157"/>
              <w:snapToGrid/>
              <w:spacing w:line="360" w:lineRule="auto"/>
              <w:ind w:firstLine="480" w:firstLineChars="200"/>
              <w:jc w:val="left"/>
              <w:outlineLvl w:val="1"/>
              <w:rPr>
                <w:rFonts w:hint="eastAsia" w:ascii="Times New Roman" w:hAnsi="Times New Roman"/>
                <w:color w:val="auto"/>
                <w:kern w:val="0"/>
                <w:sz w:val="24"/>
              </w:rPr>
            </w:pPr>
          </w:p>
          <w:p>
            <w:pPr>
              <w:pStyle w:val="126"/>
              <w:rPr>
                <w:color w:val="auto"/>
                <w:lang w:bidi="ar"/>
              </w:rPr>
            </w:pPr>
          </w:p>
        </w:tc>
      </w:tr>
    </w:tbl>
    <w:p>
      <w:pPr>
        <w:spacing w:line="360" w:lineRule="auto"/>
        <w:outlineLvl w:val="0"/>
        <w:rPr>
          <w:color w:val="auto"/>
          <w:sz w:val="30"/>
        </w:rPr>
        <w:sectPr>
          <w:footerReference r:id="rId5" w:type="default"/>
          <w:pgSz w:w="11906" w:h="16838"/>
          <w:pgMar w:top="1701" w:right="1531" w:bottom="1701" w:left="1531" w:header="851" w:footer="1077" w:gutter="0"/>
          <w:pgNumType w:fmt="decimal" w:start="1"/>
          <w:cols w:space="720" w:num="1"/>
          <w:docGrid w:linePitch="312" w:charSpace="0"/>
        </w:sectPr>
      </w:pPr>
    </w:p>
    <w:p>
      <w:pPr>
        <w:pStyle w:val="82"/>
        <w:jc w:val="center"/>
        <w:outlineLvl w:val="0"/>
        <w:rPr>
          <w:rFonts w:hint="eastAsia" w:ascii="黑体" w:hAnsi="黑体" w:eastAsia="黑体" w:cs="黑体"/>
          <w:snapToGrid w:val="0"/>
          <w:color w:val="auto"/>
          <w:sz w:val="30"/>
          <w:szCs w:val="30"/>
        </w:rPr>
      </w:pPr>
      <w:bookmarkStart w:id="7" w:name="_Toc83158198"/>
      <w:bookmarkStart w:id="8" w:name="_Toc83158363"/>
      <w:r>
        <w:rPr>
          <w:rFonts w:hint="eastAsia" w:ascii="黑体" w:hAnsi="黑体" w:eastAsia="黑体" w:cs="黑体"/>
          <w:snapToGrid w:val="0"/>
          <w:color w:val="auto"/>
          <w:sz w:val="30"/>
          <w:szCs w:val="30"/>
        </w:rPr>
        <w:t>二、建设内容</w:t>
      </w:r>
      <w:bookmarkEnd w:id="7"/>
      <w:bookmarkEnd w:id="8"/>
    </w:p>
    <w:tbl>
      <w:tblPr>
        <w:tblStyle w:val="89"/>
        <w:tblW w:w="93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456" w:type="dxa"/>
            <w:noWrap w:val="0"/>
            <w:vAlign w:val="center"/>
          </w:tcPr>
          <w:p>
            <w:pPr>
              <w:adjustRightInd w:val="0"/>
              <w:snapToGrid w:val="0"/>
              <w:jc w:val="center"/>
              <w:rPr>
                <w:color w:val="auto"/>
                <w:kern w:val="0"/>
                <w:sz w:val="24"/>
              </w:rPr>
            </w:pPr>
            <w:r>
              <w:rPr>
                <w:color w:val="auto"/>
                <w:kern w:val="0"/>
                <w:sz w:val="24"/>
              </w:rPr>
              <w:t>地理位置</w:t>
            </w:r>
          </w:p>
        </w:tc>
        <w:tc>
          <w:tcPr>
            <w:tcW w:w="8856" w:type="dxa"/>
            <w:noWrap w:val="0"/>
            <w:vAlign w:val="center"/>
          </w:tcPr>
          <w:p>
            <w:pPr>
              <w:pStyle w:val="159"/>
              <w:adjustRightInd w:val="0"/>
              <w:snapToGrid w:val="0"/>
              <w:spacing w:line="360" w:lineRule="auto"/>
              <w:ind w:firstLine="480"/>
              <w:rPr>
                <w:rFonts w:hint="eastAsia"/>
                <w:color w:val="auto"/>
                <w:kern w:val="0"/>
                <w:sz w:val="24"/>
              </w:rPr>
            </w:pPr>
            <w:r>
              <w:rPr>
                <w:rFonts w:hint="eastAsia"/>
                <w:color w:val="auto"/>
                <w:kern w:val="0"/>
                <w:sz w:val="24"/>
              </w:rPr>
              <w:t>项目位于</w:t>
            </w:r>
            <w:r>
              <w:rPr>
                <w:rFonts w:hint="eastAsia"/>
                <w:color w:val="auto"/>
                <w:kern w:val="0"/>
                <w:sz w:val="24"/>
                <w:lang w:eastAsia="zh-CN"/>
              </w:rPr>
              <w:t>云南省昆明市嵩明县嵩阳街道山脚社区</w:t>
            </w:r>
            <w:r>
              <w:rPr>
                <w:rFonts w:hint="eastAsia"/>
                <w:color w:val="auto"/>
                <w:kern w:val="0"/>
                <w:sz w:val="24"/>
              </w:rPr>
              <w:t>。场址范围地理位置坐标介于东经103°0′3.560″～103°1′18.606″、北纬25°21′8.232″～25°21′28.529″之间，</w:t>
            </w:r>
            <w:r>
              <w:rPr>
                <w:rFonts w:hint="eastAsia"/>
                <w:color w:val="auto"/>
                <w:sz w:val="24"/>
              </w:rPr>
              <w:t>中心地理坐标为东经103°0′39.461″，北纬25°21′13.974″</w:t>
            </w:r>
            <w:r>
              <w:rPr>
                <w:rFonts w:hint="eastAsia"/>
                <w:color w:val="auto"/>
                <w:kern w:val="0"/>
                <w:sz w:val="24"/>
              </w:rPr>
              <w:t>。场地海拔</w:t>
            </w:r>
            <w:r>
              <w:rPr>
                <w:rFonts w:hint="eastAsia"/>
                <w:color w:val="auto"/>
                <w:kern w:val="0"/>
                <w:sz w:val="24"/>
                <w:lang w:val="en-US" w:eastAsia="zh-CN"/>
              </w:rPr>
              <w:t>2278</w:t>
            </w:r>
            <w:r>
              <w:rPr>
                <w:rFonts w:hint="eastAsia"/>
                <w:color w:val="auto"/>
                <w:kern w:val="0"/>
                <w:sz w:val="24"/>
              </w:rPr>
              <w:t>m～1</w:t>
            </w:r>
            <w:r>
              <w:rPr>
                <w:rFonts w:hint="eastAsia"/>
                <w:color w:val="auto"/>
                <w:kern w:val="0"/>
                <w:sz w:val="24"/>
                <w:lang w:val="en-US" w:eastAsia="zh-CN"/>
              </w:rPr>
              <w:t>938</w:t>
            </w:r>
            <w:r>
              <w:rPr>
                <w:rFonts w:hint="eastAsia"/>
                <w:color w:val="auto"/>
                <w:kern w:val="0"/>
                <w:sz w:val="24"/>
              </w:rPr>
              <w:t>m</w:t>
            </w:r>
            <w:r>
              <w:rPr>
                <w:color w:val="auto"/>
                <w:kern w:val="0"/>
                <w:sz w:val="24"/>
              </w:rPr>
              <w:t>。</w:t>
            </w:r>
            <w:r>
              <w:rPr>
                <w:rFonts w:hint="eastAsia"/>
                <w:color w:val="auto"/>
                <w:kern w:val="0"/>
                <w:sz w:val="24"/>
              </w:rPr>
              <w:t>项目</w:t>
            </w:r>
            <w:r>
              <w:rPr>
                <w:color w:val="auto"/>
                <w:kern w:val="0"/>
                <w:sz w:val="24"/>
              </w:rPr>
              <w:t>地理位置</w:t>
            </w:r>
            <w:r>
              <w:rPr>
                <w:rFonts w:hint="eastAsia"/>
                <w:color w:val="auto"/>
                <w:kern w:val="0"/>
                <w:sz w:val="24"/>
              </w:rPr>
              <w:t>，</w:t>
            </w:r>
            <w:r>
              <w:rPr>
                <w:color w:val="auto"/>
                <w:kern w:val="0"/>
                <w:sz w:val="24"/>
              </w:rPr>
              <w:t>详见附图1。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3" w:hRule="atLeast"/>
          <w:jc w:val="center"/>
        </w:trPr>
        <w:tc>
          <w:tcPr>
            <w:tcW w:w="456" w:type="dxa"/>
            <w:noWrap w:val="0"/>
            <w:vAlign w:val="center"/>
          </w:tcPr>
          <w:p>
            <w:pPr>
              <w:adjustRightInd w:val="0"/>
              <w:snapToGrid w:val="0"/>
              <w:jc w:val="center"/>
              <w:rPr>
                <w:color w:val="auto"/>
                <w:kern w:val="0"/>
                <w:sz w:val="24"/>
              </w:rPr>
            </w:pPr>
            <w:r>
              <w:rPr>
                <w:color w:val="auto"/>
                <w:kern w:val="0"/>
                <w:sz w:val="24"/>
              </w:rPr>
              <w:t>项目组成及规模</w:t>
            </w:r>
          </w:p>
        </w:tc>
        <w:tc>
          <w:tcPr>
            <w:tcW w:w="8856" w:type="dxa"/>
            <w:noWrap w:val="0"/>
            <w:vAlign w:val="center"/>
          </w:tcPr>
          <w:p>
            <w:pPr>
              <w:pStyle w:val="159"/>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1、项目由来</w:t>
            </w:r>
          </w:p>
          <w:p>
            <w:pPr>
              <w:pStyle w:val="159"/>
              <w:adjustRightInd w:val="0"/>
              <w:snapToGrid w:val="0"/>
              <w:spacing w:line="360" w:lineRule="auto"/>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望风屏景区建设项目，是通过挖掘历史遗存和人文景观，风屏景区公园可延续城市文脉，提升城市文化品位，塑造特色城市形象。作为自然教育、生态科普的户外课堂，提升公众环保意识，促进生态文明建设。风屏景区公园建设不仅是生态修复工程，更是集生态防护、休闲服务、文化传承、经济带动于一体的复合型绿色基础设施，对实现人与自然和谐共生具有重要意义。</w:t>
            </w:r>
          </w:p>
          <w:p>
            <w:pPr>
              <w:pStyle w:val="159"/>
              <w:adjustRightInd w:val="0"/>
              <w:snapToGrid w:val="0"/>
              <w:spacing w:line="360" w:lineRule="auto"/>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中华人民共和国环境影响评价法》、《建设项目环境保护管理条例》等有关法律和规定，项目应开展环境影响评价。依据《建设项目环境影响评价分类管理名录》，项目属于“五十、社会事业与服务业114.公园”中，“其他公园”类别，应编制环境影响报告表。</w:t>
            </w:r>
          </w:p>
          <w:p>
            <w:pPr>
              <w:pStyle w:val="159"/>
              <w:adjustRightInd w:val="0"/>
              <w:snapToGrid w:val="0"/>
              <w:spacing w:line="360" w:lineRule="auto"/>
              <w:ind w:firstLine="480"/>
              <w:rPr>
                <w:rFonts w:hint="eastAsia"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5年</w:t>
            </w:r>
            <w:r>
              <w:rPr>
                <w:rFonts w:hint="eastAsia" w:hAnsi="Times New Roman" w:cs="Times New Roman"/>
                <w:color w:val="auto"/>
                <w:kern w:val="0"/>
                <w:sz w:val="24"/>
                <w:lang w:val="en-US" w:eastAsia="zh-CN"/>
              </w:rPr>
              <w:t>11</w:t>
            </w:r>
            <w:r>
              <w:rPr>
                <w:rFonts w:hint="eastAsia" w:ascii="Times New Roman" w:hAnsi="Times New Roman" w:eastAsia="宋体" w:cs="Times New Roman"/>
                <w:color w:val="auto"/>
                <w:kern w:val="0"/>
                <w:sz w:val="24"/>
                <w:lang w:val="en-US" w:eastAsia="zh-CN"/>
              </w:rPr>
              <w:t>月，受嵩明云尚种植专业合作社委托，云南泽天环境科技有限公司承担了本项目环境影响评价工作。接受委托后，我公司立即成立了项目组，对项目现场进行了详细踏勘调研，收集核实相关资料；在此基础上，按照相关法律、法规、部门规章、技术导则要求，依据项目可研报告，编制完成《望风屏景区建设项目环境影响报告表》，供建设单位上报生态环境主管部门审批。</w:t>
            </w:r>
          </w:p>
          <w:p>
            <w:pPr>
              <w:pStyle w:val="159"/>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Ansi="Times New Roman"/>
                <w:b/>
                <w:bCs/>
                <w:color w:val="auto"/>
                <w:sz w:val="28"/>
                <w:szCs w:val="28"/>
              </w:rPr>
            </w:pPr>
            <w:r>
              <w:rPr>
                <w:rFonts w:hint="eastAsia" w:hAnsi="Times New Roman"/>
                <w:b/>
                <w:bCs/>
                <w:color w:val="auto"/>
                <w:sz w:val="28"/>
                <w:szCs w:val="28"/>
                <w:lang w:val="en-US" w:eastAsia="zh-CN"/>
              </w:rPr>
              <w:t>2、</w:t>
            </w:r>
            <w:r>
              <w:rPr>
                <w:rFonts w:hint="eastAsia" w:hAnsi="Times New Roman"/>
                <w:b/>
                <w:bCs/>
                <w:color w:val="auto"/>
                <w:sz w:val="28"/>
                <w:szCs w:val="28"/>
              </w:rPr>
              <w:t>建设内容及规模</w:t>
            </w:r>
          </w:p>
          <w:p>
            <w:pPr>
              <w:pStyle w:val="159"/>
              <w:adjustRightInd w:val="0"/>
              <w:snapToGrid w:val="0"/>
              <w:spacing w:line="360" w:lineRule="auto"/>
              <w:ind w:firstLine="480"/>
              <w:rPr>
                <w:rFonts w:hint="eastAsia" w:hAnsi="Times New Roman" w:eastAsia="宋体"/>
                <w:color w:val="auto"/>
                <w:kern w:val="0"/>
                <w:sz w:val="24"/>
                <w:lang w:eastAsia="zh-CN"/>
              </w:rPr>
            </w:pPr>
            <w:r>
              <w:rPr>
                <w:rFonts w:hAnsi="Times New Roman"/>
                <w:color w:val="auto"/>
                <w:kern w:val="0"/>
                <w:sz w:val="24"/>
              </w:rPr>
              <w:t>（1）项目名称：</w:t>
            </w:r>
            <w:r>
              <w:rPr>
                <w:rFonts w:hint="eastAsia" w:hAnsi="Times New Roman"/>
                <w:color w:val="auto"/>
                <w:kern w:val="0"/>
                <w:sz w:val="24"/>
                <w:lang w:eastAsia="zh-CN"/>
              </w:rPr>
              <w:t>望风屏景区建设项目</w:t>
            </w:r>
          </w:p>
          <w:p>
            <w:pPr>
              <w:pStyle w:val="159"/>
              <w:adjustRightInd w:val="0"/>
              <w:snapToGrid w:val="0"/>
              <w:spacing w:line="360" w:lineRule="auto"/>
              <w:ind w:firstLine="480"/>
              <w:rPr>
                <w:rFonts w:hint="default" w:hAnsi="Times New Roman" w:eastAsia="宋体"/>
                <w:color w:val="auto"/>
                <w:kern w:val="0"/>
                <w:sz w:val="24"/>
                <w:lang w:val="en-US" w:eastAsia="zh-CN"/>
              </w:rPr>
            </w:pPr>
            <w:r>
              <w:rPr>
                <w:rFonts w:hAnsi="Times New Roman"/>
                <w:color w:val="auto"/>
                <w:kern w:val="0"/>
                <w:sz w:val="24"/>
              </w:rPr>
              <w:t>（2）建设性质：新建</w:t>
            </w:r>
            <w:r>
              <w:rPr>
                <w:rFonts w:hint="eastAsia" w:hAnsi="Times New Roman"/>
                <w:color w:val="auto"/>
                <w:kern w:val="0"/>
                <w:sz w:val="24"/>
                <w:lang w:eastAsia="zh-CN"/>
              </w:rPr>
              <w:t>、</w:t>
            </w:r>
            <w:r>
              <w:rPr>
                <w:rFonts w:hint="eastAsia" w:hAnsi="Times New Roman"/>
                <w:color w:val="auto"/>
                <w:kern w:val="0"/>
                <w:sz w:val="24"/>
                <w:lang w:val="en-US" w:eastAsia="zh-CN"/>
              </w:rPr>
              <w:t>改建</w:t>
            </w:r>
          </w:p>
          <w:p>
            <w:pPr>
              <w:pStyle w:val="159"/>
              <w:adjustRightInd w:val="0"/>
              <w:snapToGrid w:val="0"/>
              <w:spacing w:line="360" w:lineRule="auto"/>
              <w:ind w:firstLine="480"/>
              <w:rPr>
                <w:rFonts w:hint="eastAsia" w:hAnsi="Times New Roman" w:eastAsia="宋体"/>
                <w:color w:val="auto"/>
                <w:kern w:val="0"/>
                <w:sz w:val="24"/>
                <w:lang w:eastAsia="zh-CN"/>
              </w:rPr>
            </w:pPr>
            <w:r>
              <w:rPr>
                <w:rFonts w:hAnsi="Times New Roman"/>
                <w:color w:val="auto"/>
                <w:kern w:val="0"/>
                <w:sz w:val="24"/>
              </w:rPr>
              <w:t>（3）建设单位：</w:t>
            </w:r>
            <w:r>
              <w:rPr>
                <w:rFonts w:hint="eastAsia" w:hAnsi="Times New Roman"/>
                <w:color w:val="auto"/>
                <w:kern w:val="0"/>
                <w:sz w:val="24"/>
                <w:lang w:eastAsia="zh-CN"/>
              </w:rPr>
              <w:t>嵩明云尚种植专业合作社</w:t>
            </w:r>
          </w:p>
          <w:p>
            <w:pPr>
              <w:pStyle w:val="159"/>
              <w:adjustRightInd w:val="0"/>
              <w:snapToGrid w:val="0"/>
              <w:spacing w:line="360" w:lineRule="auto"/>
              <w:ind w:firstLine="480"/>
              <w:rPr>
                <w:rFonts w:hint="eastAsia" w:hAnsi="Times New Roman"/>
                <w:color w:val="auto"/>
                <w:sz w:val="24"/>
                <w:lang w:val="en-US" w:eastAsia="zh-CN"/>
              </w:rPr>
            </w:pPr>
            <w:r>
              <w:rPr>
                <w:rFonts w:hAnsi="Times New Roman"/>
                <w:color w:val="auto"/>
                <w:kern w:val="0"/>
                <w:sz w:val="24"/>
              </w:rPr>
              <w:t>（4）建设地点：</w:t>
            </w:r>
            <w:r>
              <w:rPr>
                <w:rFonts w:hint="eastAsia" w:hAnsi="Times New Roman"/>
                <w:color w:val="auto"/>
                <w:kern w:val="0"/>
                <w:sz w:val="24"/>
                <w:lang w:eastAsia="zh-CN"/>
              </w:rPr>
              <w:t>云南省昆明市嵩明县嵩阳街道山脚社区</w:t>
            </w:r>
          </w:p>
          <w:p>
            <w:pPr>
              <w:pStyle w:val="159"/>
              <w:adjustRightInd w:val="0"/>
              <w:snapToGrid w:val="0"/>
              <w:spacing w:line="360" w:lineRule="auto"/>
              <w:ind w:firstLine="480"/>
              <w:rPr>
                <w:rFonts w:hint="default" w:hAnsi="Times New Roman"/>
                <w:color w:val="auto"/>
                <w:sz w:val="24"/>
                <w:lang w:val="en-US" w:eastAsia="zh-CN"/>
              </w:rPr>
            </w:pPr>
            <w:r>
              <w:rPr>
                <w:rFonts w:hint="eastAsia" w:hAnsi="Times New Roman"/>
                <w:color w:val="auto"/>
                <w:sz w:val="24"/>
                <w:lang w:val="en-US" w:eastAsia="zh-CN"/>
              </w:rPr>
              <w:t>（5）项目占地：规划面积22亩（14666.67平方米）</w:t>
            </w:r>
          </w:p>
          <w:p>
            <w:pPr>
              <w:pStyle w:val="159"/>
              <w:adjustRightInd w:val="0"/>
              <w:snapToGrid w:val="0"/>
              <w:spacing w:line="360" w:lineRule="auto"/>
              <w:ind w:firstLine="480"/>
              <w:rPr>
                <w:rFonts w:hAnsi="Times New Roman"/>
                <w:color w:val="auto"/>
                <w:kern w:val="0"/>
                <w:sz w:val="24"/>
              </w:rPr>
            </w:pPr>
            <w:r>
              <w:rPr>
                <w:rFonts w:hAnsi="Times New Roman"/>
                <w:color w:val="auto"/>
                <w:kern w:val="0"/>
                <w:sz w:val="24"/>
              </w:rPr>
              <w:t>（</w:t>
            </w:r>
            <w:r>
              <w:rPr>
                <w:rFonts w:hint="eastAsia" w:hAnsi="Times New Roman"/>
                <w:color w:val="auto"/>
                <w:kern w:val="0"/>
                <w:sz w:val="24"/>
                <w:lang w:val="en-US" w:eastAsia="zh-CN"/>
              </w:rPr>
              <w:t>6</w:t>
            </w:r>
            <w:r>
              <w:rPr>
                <w:rFonts w:hAnsi="Times New Roman"/>
                <w:color w:val="auto"/>
                <w:kern w:val="0"/>
                <w:sz w:val="24"/>
              </w:rPr>
              <w:t>）建设</w:t>
            </w:r>
            <w:r>
              <w:rPr>
                <w:rFonts w:hint="eastAsia" w:hAnsi="Times New Roman"/>
                <w:color w:val="auto"/>
                <w:kern w:val="0"/>
                <w:sz w:val="24"/>
                <w:lang w:val="en-US" w:eastAsia="zh-CN"/>
              </w:rPr>
              <w:t>内容</w:t>
            </w:r>
            <w:r>
              <w:rPr>
                <w:rFonts w:hAnsi="Times New Roman"/>
                <w:color w:val="auto"/>
                <w:kern w:val="0"/>
                <w:sz w:val="24"/>
              </w:rPr>
              <w:t>：</w:t>
            </w:r>
            <w:r>
              <w:rPr>
                <w:rFonts w:hint="eastAsia" w:hAnsi="Times New Roman"/>
                <w:color w:val="auto"/>
                <w:kern w:val="0"/>
                <w:sz w:val="24"/>
                <w:lang w:eastAsia="zh-CN"/>
              </w:rPr>
              <w:t>1.游客服务中心286平方米；2.旅游厕所52平方米；3.生态停车场372平方米，停车位37个；4.游步道3.2千米；5.传统民俗活动类展厅263平方米；6.多功能非遗展示中心120平方米；7.森林景区建设面积3200平方米；8.休闲娱乐设施建设232平方米</w:t>
            </w:r>
            <w:r>
              <w:rPr>
                <w:rFonts w:hint="eastAsia" w:hAnsi="Times New Roman"/>
                <w:color w:val="auto"/>
                <w:kern w:val="0"/>
                <w:sz w:val="24"/>
              </w:rPr>
              <w:t>。</w:t>
            </w:r>
          </w:p>
          <w:p>
            <w:pPr>
              <w:pStyle w:val="159"/>
              <w:adjustRightInd w:val="0"/>
              <w:snapToGrid w:val="0"/>
              <w:spacing w:line="360" w:lineRule="auto"/>
              <w:ind w:firstLine="480"/>
              <w:rPr>
                <w:rFonts w:hAnsi="Times New Roman"/>
                <w:color w:val="auto"/>
                <w:kern w:val="0"/>
                <w:sz w:val="24"/>
              </w:rPr>
            </w:pPr>
            <w:r>
              <w:rPr>
                <w:rFonts w:hAnsi="Times New Roman"/>
                <w:color w:val="auto"/>
                <w:kern w:val="0"/>
                <w:sz w:val="24"/>
              </w:rPr>
              <w:t>（7）项目投资：</w:t>
            </w:r>
            <w:r>
              <w:rPr>
                <w:rFonts w:hint="eastAsia"/>
                <w:color w:val="auto"/>
                <w:kern w:val="0"/>
                <w:sz w:val="24"/>
                <w:lang w:val="en-US" w:eastAsia="zh-CN"/>
              </w:rPr>
              <w:t>本次评价总投资</w:t>
            </w:r>
            <w:r>
              <w:rPr>
                <w:rFonts w:hint="eastAsia"/>
                <w:color w:val="auto"/>
                <w:sz w:val="24"/>
                <w:lang w:val="en-US" w:eastAsia="zh-CN"/>
              </w:rPr>
              <w:t>830万元</w:t>
            </w:r>
            <w:r>
              <w:rPr>
                <w:bCs/>
                <w:color w:val="auto"/>
                <w:sz w:val="24"/>
              </w:rPr>
              <w:t>，其中环保投入约</w:t>
            </w:r>
            <w:r>
              <w:rPr>
                <w:rFonts w:hint="eastAsia"/>
                <w:bCs/>
                <w:color w:val="auto"/>
                <w:sz w:val="24"/>
              </w:rPr>
              <w:t>36.5</w:t>
            </w:r>
            <w:r>
              <w:rPr>
                <w:bCs/>
                <w:color w:val="auto"/>
                <w:sz w:val="24"/>
              </w:rPr>
              <w:t>万元，占总投资额的</w:t>
            </w:r>
            <w:r>
              <w:rPr>
                <w:rFonts w:hint="eastAsia"/>
                <w:bCs/>
                <w:color w:val="auto"/>
                <w:sz w:val="24"/>
                <w:lang w:val="en-US" w:eastAsia="zh-CN"/>
              </w:rPr>
              <w:t>4.39</w:t>
            </w:r>
            <w:r>
              <w:rPr>
                <w:bCs/>
                <w:color w:val="auto"/>
                <w:sz w:val="24"/>
              </w:rPr>
              <w:t>%。</w:t>
            </w:r>
          </w:p>
          <w:p>
            <w:pPr>
              <w:pStyle w:val="159"/>
              <w:adjustRightInd w:val="0"/>
              <w:snapToGrid w:val="0"/>
              <w:spacing w:line="360" w:lineRule="auto"/>
              <w:ind w:firstLine="480"/>
              <w:rPr>
                <w:rFonts w:hAnsi="Times New Roman"/>
                <w:color w:val="auto"/>
                <w:kern w:val="0"/>
                <w:sz w:val="24"/>
              </w:rPr>
            </w:pPr>
            <w:r>
              <w:rPr>
                <w:rFonts w:hAnsi="Times New Roman"/>
                <w:color w:val="auto"/>
                <w:kern w:val="0"/>
                <w:sz w:val="24"/>
              </w:rPr>
              <w:t>（8）建设工期：</w:t>
            </w:r>
            <w:r>
              <w:rPr>
                <w:rFonts w:hint="eastAsia" w:hAnsi="Times New Roman"/>
                <w:color w:val="auto"/>
                <w:kern w:val="0"/>
                <w:sz w:val="24"/>
                <w:lang w:val="en-US" w:eastAsia="zh-CN"/>
              </w:rPr>
              <w:t>12</w:t>
            </w:r>
            <w:r>
              <w:rPr>
                <w:rFonts w:hAnsi="Times New Roman"/>
                <w:color w:val="auto"/>
                <w:kern w:val="0"/>
                <w:sz w:val="24"/>
              </w:rPr>
              <w:t>个月。</w:t>
            </w:r>
          </w:p>
          <w:p>
            <w:pPr>
              <w:pStyle w:val="159"/>
              <w:adjustRightInd w:val="0"/>
              <w:snapToGrid w:val="0"/>
              <w:ind w:firstLine="0" w:firstLineChars="0"/>
              <w:jc w:val="center"/>
              <w:rPr>
                <w:rFonts w:hint="eastAsia"/>
                <w:b/>
                <w:color w:val="auto"/>
                <w:kern w:val="0"/>
                <w:sz w:val="24"/>
                <w:szCs w:val="24"/>
              </w:rPr>
            </w:pPr>
            <w:r>
              <w:rPr>
                <w:rFonts w:hint="eastAsia"/>
                <w:b/>
                <w:color w:val="auto"/>
                <w:kern w:val="0"/>
                <w:sz w:val="24"/>
                <w:szCs w:val="24"/>
              </w:rPr>
              <w:t>表</w:t>
            </w:r>
            <w:r>
              <w:rPr>
                <w:rFonts w:hint="eastAsia"/>
                <w:b/>
                <w:color w:val="auto"/>
                <w:kern w:val="0"/>
                <w:sz w:val="24"/>
                <w:szCs w:val="24"/>
                <w:lang w:val="en-US" w:eastAsia="zh-CN"/>
              </w:rPr>
              <w:t>2</w:t>
            </w:r>
            <w:r>
              <w:rPr>
                <w:rFonts w:hint="eastAsia"/>
                <w:b/>
                <w:color w:val="auto"/>
                <w:kern w:val="0"/>
                <w:sz w:val="24"/>
                <w:szCs w:val="24"/>
              </w:rPr>
              <w:t>-1 工程特性表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386"/>
              <w:gridCol w:w="1066"/>
              <w:gridCol w:w="5877"/>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11"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eastAsia="宋体"/>
                      <w:b/>
                      <w:color w:val="auto"/>
                      <w:sz w:val="21"/>
                      <w:szCs w:val="21"/>
                      <w:highlight w:val="none"/>
                    </w:rPr>
                  </w:pPr>
                  <w:r>
                    <w:rPr>
                      <w:rFonts w:hint="eastAsia" w:eastAsia="宋体"/>
                      <w:b/>
                      <w:color w:val="auto"/>
                      <w:sz w:val="21"/>
                      <w:szCs w:val="21"/>
                      <w:highlight w:val="none"/>
                    </w:rPr>
                    <w:t>工程名称</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eastAsia="宋体"/>
                      <w:b/>
                      <w:color w:val="auto"/>
                      <w:sz w:val="21"/>
                      <w:szCs w:val="21"/>
                      <w:highlight w:val="none"/>
                    </w:rPr>
                  </w:pPr>
                  <w:r>
                    <w:rPr>
                      <w:rFonts w:hint="eastAsia" w:eastAsia="宋体"/>
                      <w:b/>
                      <w:color w:val="auto"/>
                      <w:sz w:val="21"/>
                      <w:szCs w:val="21"/>
                      <w:highlight w:val="none"/>
                    </w:rPr>
                    <w:t>建设内容</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b/>
                      <w:color w:val="auto"/>
                      <w:sz w:val="21"/>
                      <w:szCs w:val="21"/>
                      <w:highlight w:val="none"/>
                      <w:lang w:val="en-US" w:eastAsia="zh-CN"/>
                    </w:rPr>
                  </w:pPr>
                  <w:r>
                    <w:rPr>
                      <w:rFonts w:hint="eastAsia" w:eastAsia="宋体"/>
                      <w:b/>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eastAsia="宋体"/>
                      <w:color w:val="auto"/>
                      <w:sz w:val="21"/>
                      <w:szCs w:val="21"/>
                      <w:highlight w:val="none"/>
                    </w:rPr>
                  </w:pPr>
                  <w:r>
                    <w:rPr>
                      <w:rFonts w:hint="eastAsia" w:eastAsia="宋体"/>
                      <w:color w:val="auto"/>
                      <w:sz w:val="21"/>
                      <w:szCs w:val="21"/>
                      <w:highlight w:val="none"/>
                    </w:rPr>
                    <w:t>主体工程</w:t>
                  </w: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游客服务中心</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新建1栋游客接待中心，共1层，占地面积为286m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lang w:val="en-US" w:eastAsia="zh-CN"/>
                    </w:rPr>
                    <w:t>。</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ascii="Times New Roman"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color w:val="auto"/>
                      <w:sz w:val="21"/>
                      <w:szCs w:val="21"/>
                      <w:highlight w:val="none"/>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旅游厕所</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ascii="Times New Roman" w:eastAsia="宋体"/>
                      <w:color w:val="auto"/>
                      <w:sz w:val="21"/>
                      <w:szCs w:val="21"/>
                      <w:highlight w:val="none"/>
                      <w:lang w:val="en-US" w:eastAsia="zh-CN"/>
                    </w:rPr>
                  </w:pPr>
                  <w:r>
                    <w:rPr>
                      <w:rFonts w:hint="eastAsia" w:hAnsi="Times New Roman"/>
                      <w:color w:val="auto"/>
                      <w:kern w:val="0"/>
                      <w:sz w:val="21"/>
                      <w:szCs w:val="21"/>
                      <w:lang w:val="en-US" w:eastAsia="zh-CN"/>
                    </w:rPr>
                    <w:t>新建公厕1座，共1层，占地面积为</w:t>
                  </w:r>
                  <w:r>
                    <w:rPr>
                      <w:rFonts w:hint="eastAsia" w:hAnsi="Times New Roman"/>
                      <w:color w:val="auto"/>
                      <w:kern w:val="0"/>
                      <w:sz w:val="21"/>
                      <w:szCs w:val="21"/>
                      <w:lang w:eastAsia="zh-CN"/>
                    </w:rPr>
                    <w:t>52</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lang w:val="en-US" w:eastAsia="zh-CN"/>
                    </w:rPr>
                    <w:t>。</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color w:val="auto"/>
                      <w:sz w:val="21"/>
                      <w:szCs w:val="21"/>
                      <w:highlight w:val="none"/>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eastAsia="宋体"/>
                      <w:color w:val="auto"/>
                      <w:sz w:val="21"/>
                      <w:szCs w:val="21"/>
                      <w:highlight w:val="none"/>
                      <w:lang w:val="en-US" w:eastAsia="zh-CN"/>
                    </w:rPr>
                  </w:pPr>
                  <w:r>
                    <w:rPr>
                      <w:rFonts w:hint="default" w:ascii="Times New Roman" w:eastAsia="宋体"/>
                      <w:color w:val="auto"/>
                      <w:sz w:val="21"/>
                      <w:szCs w:val="21"/>
                      <w:highlight w:val="none"/>
                      <w:lang w:val="en-US" w:eastAsia="zh-CN"/>
                    </w:rPr>
                    <w:t>生态停车场</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ascii="Times New Roman" w:eastAsia="宋体"/>
                      <w:color w:val="auto"/>
                      <w:sz w:val="21"/>
                      <w:szCs w:val="21"/>
                      <w:highlight w:val="none"/>
                      <w:lang w:val="en-US" w:eastAsia="zh-CN"/>
                    </w:rPr>
                  </w:pPr>
                  <w:r>
                    <w:rPr>
                      <w:rFonts w:hint="eastAsia" w:hAnsi="Times New Roman"/>
                      <w:color w:val="auto"/>
                      <w:kern w:val="0"/>
                      <w:sz w:val="21"/>
                      <w:szCs w:val="21"/>
                      <w:lang w:val="en-US" w:eastAsia="zh-CN"/>
                    </w:rPr>
                    <w:t>在原有停车场上改建生态停车场，占地</w:t>
                  </w:r>
                  <w:r>
                    <w:rPr>
                      <w:rFonts w:hint="eastAsia" w:hAnsi="Times New Roman"/>
                      <w:color w:val="auto"/>
                      <w:kern w:val="0"/>
                      <w:sz w:val="21"/>
                      <w:szCs w:val="21"/>
                      <w:lang w:eastAsia="zh-CN"/>
                    </w:rPr>
                    <w:t>372</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2</w:t>
                  </w:r>
                  <w:r>
                    <w:rPr>
                      <w:rFonts w:hint="eastAsia" w:hAnsi="Times New Roman"/>
                      <w:color w:val="auto"/>
                      <w:kern w:val="0"/>
                      <w:sz w:val="21"/>
                      <w:szCs w:val="21"/>
                      <w:lang w:eastAsia="zh-CN"/>
                    </w:rPr>
                    <w:t>，停车位37个。</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color w:val="auto"/>
                      <w:sz w:val="21"/>
                      <w:szCs w:val="21"/>
                      <w:highlight w:val="none"/>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eastAsia="宋体"/>
                      <w:color w:val="auto"/>
                      <w:sz w:val="21"/>
                      <w:szCs w:val="21"/>
                      <w:highlight w:val="none"/>
                      <w:lang w:val="en-US" w:eastAsia="zh-CN"/>
                    </w:rPr>
                  </w:pPr>
                  <w:r>
                    <w:rPr>
                      <w:rFonts w:hint="default" w:ascii="Times New Roman" w:eastAsia="宋体"/>
                      <w:color w:val="auto"/>
                      <w:sz w:val="21"/>
                      <w:szCs w:val="21"/>
                      <w:highlight w:val="none"/>
                      <w:lang w:val="en-US" w:eastAsia="zh-CN"/>
                    </w:rPr>
                    <w:t>游步道</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eastAsia="宋体"/>
                      <w:color w:val="auto"/>
                      <w:sz w:val="21"/>
                      <w:szCs w:val="21"/>
                      <w:highlight w:val="none"/>
                      <w:lang w:val="en-US" w:eastAsia="zh-CN"/>
                    </w:rPr>
                  </w:pPr>
                  <w:r>
                    <w:rPr>
                      <w:rFonts w:hint="eastAsia" w:hAnsi="Times New Roman"/>
                      <w:color w:val="auto"/>
                      <w:kern w:val="0"/>
                      <w:sz w:val="21"/>
                      <w:szCs w:val="21"/>
                      <w:lang w:val="en-US" w:eastAsia="zh-CN"/>
                    </w:rPr>
                    <w:t>在原有登山步道上进行修缮，长度为</w:t>
                  </w:r>
                  <w:r>
                    <w:rPr>
                      <w:rFonts w:hint="eastAsia" w:hAnsi="Times New Roman"/>
                      <w:color w:val="auto"/>
                      <w:kern w:val="0"/>
                      <w:sz w:val="21"/>
                      <w:szCs w:val="21"/>
                      <w:lang w:eastAsia="zh-CN"/>
                    </w:rPr>
                    <w:t>3.2</w:t>
                  </w:r>
                  <w:r>
                    <w:rPr>
                      <w:rFonts w:hint="eastAsia" w:hAnsi="Times New Roman"/>
                      <w:color w:val="auto"/>
                      <w:kern w:val="0"/>
                      <w:sz w:val="21"/>
                      <w:szCs w:val="21"/>
                      <w:lang w:val="en-US" w:eastAsia="zh-CN"/>
                    </w:rPr>
                    <w:t>km，宽度为1.5m。</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color w:val="auto"/>
                      <w:sz w:val="21"/>
                      <w:szCs w:val="21"/>
                      <w:highlight w:val="none"/>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eastAsia="宋体"/>
                      <w:color w:val="auto"/>
                      <w:sz w:val="21"/>
                      <w:szCs w:val="21"/>
                      <w:highlight w:val="none"/>
                      <w:lang w:val="en-US" w:eastAsia="zh-CN"/>
                    </w:rPr>
                  </w:pPr>
                  <w:r>
                    <w:rPr>
                      <w:rFonts w:hint="default" w:ascii="Times New Roman" w:eastAsia="宋体"/>
                      <w:color w:val="auto"/>
                      <w:sz w:val="21"/>
                      <w:szCs w:val="21"/>
                      <w:highlight w:val="none"/>
                      <w:lang w:val="en-US" w:eastAsia="zh-CN"/>
                    </w:rPr>
                    <w:t>传统民俗活动类展厅</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新建1栋</w:t>
                  </w:r>
                  <w:r>
                    <w:rPr>
                      <w:rFonts w:hint="eastAsia" w:hAnsi="Times New Roman"/>
                      <w:color w:val="auto"/>
                      <w:kern w:val="0"/>
                      <w:sz w:val="21"/>
                      <w:szCs w:val="21"/>
                      <w:lang w:eastAsia="zh-CN"/>
                    </w:rPr>
                    <w:t>传统民俗活动类展厅，</w:t>
                  </w:r>
                  <w:r>
                    <w:rPr>
                      <w:rFonts w:hint="eastAsia" w:eastAsia="宋体"/>
                      <w:color w:val="auto"/>
                      <w:sz w:val="21"/>
                      <w:szCs w:val="21"/>
                      <w:highlight w:val="none"/>
                      <w:lang w:val="en-US" w:eastAsia="zh-CN"/>
                    </w:rPr>
                    <w:t>共1层，占地面积为</w:t>
                  </w:r>
                  <w:r>
                    <w:rPr>
                      <w:rFonts w:hint="eastAsia" w:hAnsi="Times New Roman"/>
                      <w:color w:val="auto"/>
                      <w:kern w:val="0"/>
                      <w:sz w:val="21"/>
                      <w:szCs w:val="21"/>
                      <w:lang w:eastAsia="zh-CN"/>
                    </w:rPr>
                    <w:t>263</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lang w:val="en-US" w:eastAsia="zh-CN"/>
                    </w:rPr>
                    <w:t>。</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color w:val="auto"/>
                      <w:sz w:val="21"/>
                      <w:szCs w:val="21"/>
                      <w:highlight w:val="none"/>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eastAsia="宋体"/>
                      <w:color w:val="auto"/>
                      <w:sz w:val="21"/>
                      <w:szCs w:val="21"/>
                      <w:highlight w:val="none"/>
                      <w:lang w:val="en-US" w:eastAsia="zh-CN"/>
                    </w:rPr>
                  </w:pPr>
                  <w:r>
                    <w:rPr>
                      <w:rFonts w:hint="default" w:ascii="Times New Roman" w:eastAsia="宋体"/>
                      <w:color w:val="auto"/>
                      <w:sz w:val="21"/>
                      <w:szCs w:val="21"/>
                      <w:highlight w:val="none"/>
                      <w:lang w:val="en-US" w:eastAsia="zh-CN"/>
                    </w:rPr>
                    <w:t>多功能非遗展示中心</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新建1栋多功能非遗展示中心</w:t>
                  </w:r>
                  <w:r>
                    <w:rPr>
                      <w:rFonts w:hint="eastAsia" w:hAnsi="Times New Roman"/>
                      <w:color w:val="auto"/>
                      <w:kern w:val="0"/>
                      <w:sz w:val="21"/>
                      <w:szCs w:val="21"/>
                      <w:lang w:eastAsia="zh-CN"/>
                    </w:rPr>
                    <w:t>，</w:t>
                  </w:r>
                  <w:r>
                    <w:rPr>
                      <w:rFonts w:hint="eastAsia" w:eastAsia="宋体"/>
                      <w:color w:val="auto"/>
                      <w:sz w:val="21"/>
                      <w:szCs w:val="21"/>
                      <w:highlight w:val="none"/>
                      <w:lang w:val="en-US" w:eastAsia="zh-CN"/>
                    </w:rPr>
                    <w:t>共1层，占地面积为</w:t>
                  </w:r>
                  <w:r>
                    <w:rPr>
                      <w:rFonts w:hint="eastAsia" w:hAnsi="Times New Roman"/>
                      <w:color w:val="auto"/>
                      <w:kern w:val="0"/>
                      <w:sz w:val="21"/>
                      <w:szCs w:val="21"/>
                      <w:lang w:eastAsia="zh-CN"/>
                    </w:rPr>
                    <w:t>120</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lang w:val="en-US" w:eastAsia="zh-CN"/>
                    </w:rPr>
                    <w:t>。</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color w:val="auto"/>
                      <w:sz w:val="21"/>
                      <w:szCs w:val="21"/>
                      <w:highlight w:val="none"/>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eastAsia="宋体"/>
                      <w:color w:val="auto"/>
                      <w:sz w:val="21"/>
                      <w:szCs w:val="21"/>
                      <w:highlight w:val="none"/>
                      <w:lang w:val="en-US" w:eastAsia="zh-CN"/>
                    </w:rPr>
                  </w:pPr>
                  <w:r>
                    <w:rPr>
                      <w:rFonts w:hint="default" w:ascii="Times New Roman" w:eastAsia="宋体"/>
                      <w:color w:val="auto"/>
                      <w:sz w:val="21"/>
                      <w:szCs w:val="21"/>
                      <w:highlight w:val="none"/>
                      <w:lang w:val="en-US" w:eastAsia="zh-CN"/>
                    </w:rPr>
                    <w:t>森林景区建设</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eastAsia="宋体"/>
                      <w:color w:val="auto"/>
                      <w:sz w:val="21"/>
                      <w:szCs w:val="21"/>
                      <w:highlight w:val="none"/>
                      <w:lang w:val="en-US" w:eastAsia="zh-CN"/>
                    </w:rPr>
                  </w:pPr>
                  <w:r>
                    <w:rPr>
                      <w:rFonts w:hint="eastAsia" w:hAnsi="Times New Roman"/>
                      <w:color w:val="auto"/>
                      <w:kern w:val="0"/>
                      <w:sz w:val="21"/>
                      <w:szCs w:val="21"/>
                      <w:lang w:val="en-US" w:eastAsia="zh-CN"/>
                    </w:rPr>
                    <w:t>在原有人行步道上进行修缮，长度为1.6km，宽度为2m。占地</w:t>
                  </w:r>
                  <w:r>
                    <w:rPr>
                      <w:rFonts w:hint="eastAsia" w:hAnsi="Times New Roman"/>
                      <w:color w:val="auto"/>
                      <w:kern w:val="0"/>
                      <w:sz w:val="21"/>
                      <w:szCs w:val="21"/>
                      <w:lang w:eastAsia="zh-CN"/>
                    </w:rPr>
                    <w:t>面积</w:t>
                  </w:r>
                  <w:r>
                    <w:rPr>
                      <w:rFonts w:hint="eastAsia" w:hAnsi="Times New Roman"/>
                      <w:color w:val="auto"/>
                      <w:kern w:val="0"/>
                      <w:sz w:val="21"/>
                      <w:szCs w:val="21"/>
                      <w:lang w:val="en-US" w:eastAsia="zh-CN"/>
                    </w:rPr>
                    <w:t>为</w:t>
                  </w:r>
                  <w:r>
                    <w:rPr>
                      <w:rFonts w:hint="eastAsia" w:hAnsi="Times New Roman"/>
                      <w:color w:val="auto"/>
                      <w:kern w:val="0"/>
                      <w:sz w:val="21"/>
                      <w:szCs w:val="21"/>
                      <w:lang w:eastAsia="zh-CN"/>
                    </w:rPr>
                    <w:t>3200</w:t>
                  </w:r>
                  <w:r>
                    <w:rPr>
                      <w:rFonts w:hint="eastAsia" w:hAnsi="Times New Roman"/>
                      <w:color w:val="auto"/>
                      <w:kern w:val="0"/>
                      <w:sz w:val="21"/>
                      <w:szCs w:val="21"/>
                      <w:lang w:val="en-US" w:eastAsia="zh-CN"/>
                    </w:rPr>
                    <w:t>m</w:t>
                  </w:r>
                  <w:r>
                    <w:rPr>
                      <w:rFonts w:hint="eastAsia" w:hAnsi="Times New Roman"/>
                      <w:color w:val="auto"/>
                      <w:kern w:val="0"/>
                      <w:sz w:val="21"/>
                      <w:szCs w:val="21"/>
                      <w:vertAlign w:val="superscript"/>
                      <w:lang w:val="en-US" w:eastAsia="zh-CN"/>
                    </w:rPr>
                    <w:t>2</w:t>
                  </w:r>
                  <w:r>
                    <w:rPr>
                      <w:rFonts w:hint="eastAsia" w:hAnsi="Times New Roman"/>
                      <w:color w:val="auto"/>
                      <w:kern w:val="0"/>
                      <w:sz w:val="21"/>
                      <w:szCs w:val="21"/>
                      <w:lang w:val="en-US" w:eastAsia="zh-CN"/>
                    </w:rPr>
                    <w:t>。</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eastAsia" w:eastAsia="宋体"/>
                      <w:color w:val="auto"/>
                      <w:sz w:val="21"/>
                      <w:szCs w:val="21"/>
                      <w:highlight w:val="none"/>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eastAsia="宋体"/>
                      <w:color w:val="auto"/>
                      <w:sz w:val="21"/>
                      <w:szCs w:val="21"/>
                      <w:highlight w:val="none"/>
                      <w:lang w:val="en-US" w:eastAsia="zh-CN"/>
                    </w:rPr>
                  </w:pPr>
                  <w:r>
                    <w:rPr>
                      <w:rFonts w:hint="default" w:ascii="Times New Roman" w:eastAsia="宋体"/>
                      <w:color w:val="auto"/>
                      <w:sz w:val="21"/>
                      <w:szCs w:val="21"/>
                      <w:highlight w:val="none"/>
                      <w:lang w:val="en-US" w:eastAsia="zh-CN"/>
                    </w:rPr>
                    <w:t>休闲娱乐设施</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default" w:eastAsia="宋体"/>
                      <w:color w:val="auto"/>
                      <w:sz w:val="21"/>
                      <w:szCs w:val="21"/>
                      <w:highlight w:val="none"/>
                      <w:lang w:val="en-US" w:eastAsia="zh-CN"/>
                    </w:rPr>
                  </w:pPr>
                  <w:r>
                    <w:rPr>
                      <w:rFonts w:hint="eastAsia" w:hAnsi="Times New Roman"/>
                      <w:color w:val="auto"/>
                      <w:kern w:val="0"/>
                      <w:sz w:val="21"/>
                      <w:szCs w:val="21"/>
                      <w:lang w:val="en-US" w:eastAsia="zh-CN"/>
                    </w:rPr>
                    <w:t>建设</w:t>
                  </w:r>
                  <w:r>
                    <w:rPr>
                      <w:rFonts w:hint="eastAsia" w:hAnsi="Times New Roman"/>
                      <w:color w:val="auto"/>
                      <w:kern w:val="0"/>
                      <w:sz w:val="21"/>
                      <w:szCs w:val="21"/>
                      <w:lang w:eastAsia="zh-CN"/>
                    </w:rPr>
                    <w:t>232平方米</w:t>
                  </w:r>
                  <w:r>
                    <w:rPr>
                      <w:rFonts w:hint="eastAsia" w:hAnsi="Times New Roman"/>
                      <w:color w:val="auto"/>
                      <w:kern w:val="0"/>
                      <w:sz w:val="21"/>
                      <w:szCs w:val="21"/>
                      <w:lang w:val="en-US" w:eastAsia="zh-CN"/>
                    </w:rPr>
                    <w:t>的休闲娱乐设施。</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baseline"/>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t>公用工程</w:t>
                  </w: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供电</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由市政供电系统供给。</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供水</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由市政供水系统供给。</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841"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排水</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项目森林公园内已有完善的排水系统，排水系统采用雨污分流。雨水经过雨水管收集后外排，森林公园内产生的生活污水</w:t>
                  </w:r>
                  <w:r>
                    <w:rPr>
                      <w:rFonts w:hint="eastAsia" w:ascii="Times New Roman" w:eastAsia="宋体"/>
                      <w:color w:val="auto"/>
                      <w:sz w:val="21"/>
                      <w:szCs w:val="21"/>
                      <w:highlight w:val="none"/>
                      <w:lang w:val="en-US" w:eastAsia="zh-CN"/>
                    </w:rPr>
                    <w:t>经过各家的化粪池处理</w:t>
                  </w:r>
                  <w:r>
                    <w:rPr>
                      <w:rFonts w:hint="eastAsia" w:eastAsia="宋体"/>
                      <w:color w:val="auto"/>
                      <w:sz w:val="21"/>
                      <w:szCs w:val="21"/>
                      <w:highlight w:val="none"/>
                      <w:lang w:val="en-US" w:eastAsia="zh-CN"/>
                    </w:rPr>
                    <w:t>达到《污水排入城镇下水道水质标准》（GB/T31962-2015）表1中A级标准</w:t>
                  </w:r>
                  <w:r>
                    <w:rPr>
                      <w:rFonts w:hint="eastAsia" w:ascii="Times New Roman" w:eastAsia="宋体"/>
                      <w:color w:val="auto"/>
                      <w:sz w:val="21"/>
                      <w:szCs w:val="21"/>
                      <w:highlight w:val="none"/>
                      <w:lang w:val="en-US" w:eastAsia="zh-CN"/>
                    </w:rPr>
                    <w:t>后进入市政污水收集管网。</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r>
                    <w:rPr>
                      <w:rFonts w:hint="eastAsia" w:eastAsia="宋体"/>
                      <w:color w:val="auto"/>
                      <w:sz w:val="21"/>
                      <w:szCs w:val="21"/>
                      <w:highlight w:val="none"/>
                    </w:rPr>
                    <w:t>环保工程</w:t>
                  </w:r>
                </w:p>
              </w:tc>
              <w:tc>
                <w:tcPr>
                  <w:tcW w:w="22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施工期</w:t>
                  </w: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生态保护</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保护植被，规定施工范围，减少植被破坏，施工临时占地施工结束后恢复植被；划定施工范围，优化施工路线，避免惊扰动物、破坏植被。</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废水防治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项目不设置施工营地，不在厂区食宿，卫生间依托周边村民的卫生间，项目采用商品混凝土，不进行混凝土搅拌。项目产生的废水主要为少量生活废水和施工废水，采用沉淀池处理后回用于工程降尘洒水或周边绿化。</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废气防治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机械尾气通过制定合理的施工计划；扬尘通过定期洒水和篷布覆盖处理；施工作业面、道路定期洒水处理。</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噪声防治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选用低噪声的施工机械，加强设备的维护管理；合理安排施工作业时间。</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固废防治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生活垃圾收集后送至</w:t>
                  </w:r>
                  <w:r>
                    <w:rPr>
                      <w:rFonts w:hint="eastAsia" w:eastAsia="宋体"/>
                      <w:color w:val="auto"/>
                      <w:sz w:val="21"/>
                      <w:szCs w:val="21"/>
                      <w:highlight w:val="none"/>
                      <w:lang w:val="en-US" w:eastAsia="zh-CN"/>
                    </w:rPr>
                    <w:t>环卫部门制定堆放地点</w:t>
                  </w:r>
                  <w:r>
                    <w:rPr>
                      <w:rFonts w:hint="default" w:eastAsia="宋体"/>
                      <w:color w:val="auto"/>
                      <w:sz w:val="21"/>
                      <w:szCs w:val="21"/>
                      <w:highlight w:val="none"/>
                      <w:lang w:val="en-US" w:eastAsia="zh-CN"/>
                    </w:rPr>
                    <w:t>，委托环卫部门定期清运处置</w:t>
                  </w:r>
                  <w:r>
                    <w:rPr>
                      <w:rFonts w:hint="eastAsia" w:eastAsia="宋体"/>
                      <w:color w:val="auto"/>
                      <w:sz w:val="21"/>
                      <w:szCs w:val="21"/>
                      <w:highlight w:val="none"/>
                      <w:lang w:val="en-US" w:eastAsia="zh-CN"/>
                    </w:rPr>
                    <w:t>；建筑垃圾中能回收的进行回收利用，不能回收的运转嵩明县指定的建筑垃圾处置场处置。</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运营期</w:t>
                  </w: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废水防治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项目森林公园内已有完善的排水系统，排水系统采用雨污分流。雨水经过雨水管收集后外排，森林公园内产生的生活污水</w:t>
                  </w:r>
                  <w:r>
                    <w:rPr>
                      <w:rFonts w:hint="eastAsia" w:ascii="Times New Roman" w:eastAsia="宋体"/>
                      <w:color w:val="auto"/>
                      <w:sz w:val="21"/>
                      <w:szCs w:val="21"/>
                      <w:highlight w:val="none"/>
                      <w:lang w:val="en-US" w:eastAsia="zh-CN"/>
                    </w:rPr>
                    <w:t>经过各家的化粪池处理</w:t>
                  </w:r>
                  <w:r>
                    <w:rPr>
                      <w:rFonts w:hint="eastAsia" w:eastAsia="宋体"/>
                      <w:color w:val="auto"/>
                      <w:sz w:val="21"/>
                      <w:szCs w:val="21"/>
                      <w:highlight w:val="none"/>
                      <w:lang w:val="en-US" w:eastAsia="zh-CN"/>
                    </w:rPr>
                    <w:t>达到《污水排入城镇下水道水质标准》（GB/T31962-2015）表1中A级标准</w:t>
                  </w:r>
                  <w:r>
                    <w:rPr>
                      <w:rFonts w:hint="eastAsia" w:ascii="Times New Roman" w:eastAsia="宋体"/>
                      <w:color w:val="auto"/>
                      <w:sz w:val="21"/>
                      <w:szCs w:val="21"/>
                      <w:highlight w:val="none"/>
                      <w:lang w:val="en-US" w:eastAsia="zh-CN"/>
                    </w:rPr>
                    <w:t>后进入市政污水收集管网。</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废气防治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项目产生的废气主要是卫生间的臭味及汽车尾气，通过卫生管理及喷洒除臭剂等处理恶臭，汽车尾气通过自然扩撒。</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噪声防治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主要是交通噪声和人群噪声，在道路旁设置禁止鸣笛标志和限速标志；在公共场所设置禁止大声喧哗的标志</w:t>
                  </w:r>
                  <w:r>
                    <w:rPr>
                      <w:rFonts w:hint="default" w:eastAsia="宋体"/>
                      <w:color w:val="auto"/>
                      <w:sz w:val="21"/>
                      <w:szCs w:val="21"/>
                      <w:highlight w:val="none"/>
                      <w:lang w:val="en-US" w:eastAsia="zh-CN"/>
                    </w:rPr>
                    <w:t>。</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kern w:val="2"/>
                      <w:sz w:val="21"/>
                      <w:szCs w:val="21"/>
                      <w:highlight w:val="none"/>
                      <w:lang w:val="en-US" w:eastAsia="zh-CN" w:bidi="ar-SA"/>
                    </w:rPr>
                  </w:pPr>
                  <w:r>
                    <w:rPr>
                      <w:rFonts w:hint="eastAsia" w:ascii="Times New Roman" w:eastAsia="宋体"/>
                      <w:color w:val="auto"/>
                      <w:sz w:val="21"/>
                      <w:szCs w:val="21"/>
                      <w:highlight w:val="none"/>
                      <w:lang w:val="en-US" w:eastAsia="zh-CN"/>
                    </w:rPr>
                    <w:t>固废防治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在公园内</w:t>
                  </w:r>
                  <w:r>
                    <w:rPr>
                      <w:rFonts w:hint="default" w:eastAsia="宋体"/>
                      <w:color w:val="auto"/>
                      <w:sz w:val="21"/>
                      <w:szCs w:val="21"/>
                      <w:highlight w:val="none"/>
                      <w:lang w:val="en-US" w:eastAsia="zh-CN"/>
                    </w:rPr>
                    <w:t>分散</w:t>
                  </w:r>
                  <w:r>
                    <w:rPr>
                      <w:rFonts w:hint="eastAsia" w:eastAsia="宋体"/>
                      <w:color w:val="auto"/>
                      <w:sz w:val="21"/>
                      <w:szCs w:val="21"/>
                      <w:highlight w:val="none"/>
                      <w:lang w:val="en-US" w:eastAsia="zh-CN"/>
                    </w:rPr>
                    <w:t>设置若干</w:t>
                  </w:r>
                  <w:r>
                    <w:rPr>
                      <w:rFonts w:hint="default" w:eastAsia="宋体"/>
                      <w:color w:val="auto"/>
                      <w:sz w:val="21"/>
                      <w:szCs w:val="21"/>
                      <w:highlight w:val="none"/>
                      <w:lang w:val="en-US" w:eastAsia="zh-CN"/>
                    </w:rPr>
                    <w:t>生活垃圾收集桶，生活垃圾收集后送至</w:t>
                  </w:r>
                  <w:r>
                    <w:rPr>
                      <w:rFonts w:hint="eastAsia" w:eastAsia="宋体"/>
                      <w:color w:val="auto"/>
                      <w:sz w:val="21"/>
                      <w:szCs w:val="21"/>
                      <w:highlight w:val="none"/>
                      <w:lang w:val="en-US" w:eastAsia="zh-CN"/>
                    </w:rPr>
                    <w:t>环卫部门制定堆放地点</w:t>
                  </w:r>
                  <w:r>
                    <w:rPr>
                      <w:rFonts w:hint="default" w:eastAsia="宋体"/>
                      <w:color w:val="auto"/>
                      <w:sz w:val="21"/>
                      <w:szCs w:val="21"/>
                      <w:highlight w:val="none"/>
                      <w:lang w:val="en-US" w:eastAsia="zh-CN"/>
                    </w:rPr>
                    <w:t>，委托环卫部门定期清运处置。</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生态保护</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加强游客生态环境保护意识，树立警示牌，做好防火工作，加大垃圾桶投放密度，防止游客丢弃废物，增加清扫密度。进出车辆禁止鸣笛。</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水土保持</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科学管理人工种植的公园绿化，防止植被枯死，对与枯死植被做到及时清理及时补种。做好宣传和管理，防止游客对自然植被和土壤造成破坏。</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eastAsia="宋体"/>
                      <w:color w:val="auto"/>
                      <w:sz w:val="21"/>
                      <w:szCs w:val="21"/>
                      <w:highlight w:val="none"/>
                      <w:lang w:eastAsia="zh-CN"/>
                    </w:rPr>
                  </w:pPr>
                </w:p>
              </w:tc>
              <w:tc>
                <w:tcPr>
                  <w:tcW w:w="22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p>
              </w:tc>
              <w:tc>
                <w:tcPr>
                  <w:tcW w:w="61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eastAsia" w:ascii="Times New Roman"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环境风险防治</w:t>
                  </w:r>
                </w:p>
              </w:tc>
              <w:tc>
                <w:tcPr>
                  <w:tcW w:w="34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做好消防安全宣传和管理，加强火灾监管防控措施，配置相应消防设施做好日常维护和管理，定期开展消防演练。</w:t>
                  </w:r>
                </w:p>
              </w:tc>
              <w:tc>
                <w:tcPr>
                  <w:tcW w:w="4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baseline"/>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环评要求</w:t>
                  </w:r>
                </w:p>
              </w:tc>
            </w:tr>
          </w:tbl>
          <w:p>
            <w:pPr>
              <w:pStyle w:val="159"/>
              <w:adjustRightInd w:val="0"/>
              <w:snapToGrid w:val="0"/>
              <w:spacing w:line="360" w:lineRule="auto"/>
              <w:ind w:firstLine="480"/>
              <w:rPr>
                <w:rFonts w:hAnsi="Times New Roman"/>
                <w:color w:val="auto"/>
                <w:kern w:val="0"/>
                <w:sz w:val="24"/>
              </w:rPr>
            </w:pPr>
          </w:p>
          <w:p>
            <w:pPr>
              <w:pStyle w:val="159"/>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hAnsi="Times New Roman"/>
                <w:b/>
                <w:bCs/>
                <w:color w:val="auto"/>
                <w:sz w:val="28"/>
                <w:szCs w:val="28"/>
              </w:rPr>
            </w:pPr>
            <w:r>
              <w:rPr>
                <w:rFonts w:hint="eastAsia" w:hAnsi="Times New Roman"/>
                <w:b/>
                <w:bCs/>
                <w:color w:val="auto"/>
                <w:sz w:val="28"/>
                <w:szCs w:val="28"/>
                <w:lang w:val="en-US" w:eastAsia="zh-CN"/>
              </w:rPr>
              <w:t>3、</w:t>
            </w:r>
            <w:r>
              <w:rPr>
                <w:rFonts w:hint="eastAsia" w:hAnsi="Times New Roman"/>
                <w:b/>
                <w:bCs/>
                <w:color w:val="auto"/>
                <w:sz w:val="28"/>
                <w:szCs w:val="28"/>
              </w:rPr>
              <w:t>项目组成</w:t>
            </w:r>
          </w:p>
          <w:p>
            <w:pPr>
              <w:pStyle w:val="159"/>
              <w:adjustRightInd w:val="0"/>
              <w:snapToGrid w:val="0"/>
              <w:spacing w:line="360" w:lineRule="auto"/>
              <w:ind w:firstLine="48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本项目主要建设内容为：</w:t>
            </w:r>
            <w:r>
              <w:rPr>
                <w:rFonts w:hint="eastAsia" w:hAnsi="Times New Roman"/>
                <w:color w:val="auto"/>
                <w:kern w:val="0"/>
                <w:sz w:val="24"/>
                <w:lang w:eastAsia="zh-CN"/>
              </w:rPr>
              <w:t>1.游客服务中心286平方米；2.旅游厕所52平方米；3.生态停车场372平方米，停车位37个；4.游步道3.2千米；5.传统民俗活动类展厅263平方米；6.多功能非遗展示中心120平方米；7.森林景区建设面积3200平方米；8.休闲娱乐设施建设232平方米</w:t>
            </w:r>
            <w:r>
              <w:rPr>
                <w:rFonts w:hint="eastAsia" w:ascii="Times New Roman" w:hAnsi="Times New Roman" w:eastAsia="宋体" w:cs="Times New Roman"/>
                <w:color w:val="auto"/>
                <w:kern w:val="0"/>
                <w:sz w:val="24"/>
                <w:lang w:val="en-US" w:eastAsia="zh-CN"/>
              </w:rPr>
              <w:t>。</w:t>
            </w:r>
          </w:p>
          <w:p>
            <w:pPr>
              <w:pStyle w:val="159"/>
              <w:adjustRightInd w:val="0"/>
              <w:snapToGrid w:val="0"/>
              <w:spacing w:line="360" w:lineRule="auto"/>
              <w:ind w:firstLine="480"/>
              <w:rPr>
                <w:rFonts w:hint="eastAsia" w:eastAsia="宋体"/>
                <w:color w:val="auto"/>
                <w:kern w:val="0"/>
                <w:sz w:val="24"/>
                <w:szCs w:val="24"/>
                <w:lang w:eastAsia="zh-CN"/>
              </w:rPr>
            </w:pPr>
            <w:r>
              <w:rPr>
                <w:rFonts w:hint="eastAsia"/>
                <w:color w:val="auto"/>
                <w:kern w:val="0"/>
                <w:sz w:val="24"/>
                <w:szCs w:val="24"/>
                <w:lang w:eastAsia="zh-CN"/>
              </w:rPr>
              <w:t>（</w:t>
            </w:r>
            <w:r>
              <w:rPr>
                <w:rFonts w:hint="eastAsia"/>
                <w:color w:val="auto"/>
                <w:kern w:val="0"/>
                <w:sz w:val="24"/>
                <w:szCs w:val="24"/>
                <w:lang w:val="en-US" w:eastAsia="zh-CN"/>
              </w:rPr>
              <w:t>1</w:t>
            </w:r>
            <w:r>
              <w:rPr>
                <w:rFonts w:hint="eastAsia"/>
                <w:color w:val="auto"/>
                <w:kern w:val="0"/>
                <w:sz w:val="24"/>
                <w:szCs w:val="24"/>
                <w:lang w:eastAsia="zh-CN"/>
              </w:rPr>
              <w:t>）</w:t>
            </w:r>
            <w:r>
              <w:rPr>
                <w:rFonts w:hint="eastAsia"/>
                <w:color w:val="auto"/>
                <w:kern w:val="0"/>
                <w:sz w:val="24"/>
                <w:szCs w:val="24"/>
              </w:rPr>
              <w:t>游客接待中心</w:t>
            </w:r>
          </w:p>
          <w:p>
            <w:pPr>
              <w:pStyle w:val="159"/>
              <w:adjustRightInd w:val="0"/>
              <w:snapToGrid w:val="0"/>
              <w:spacing w:line="360" w:lineRule="auto"/>
              <w:ind w:firstLine="480"/>
              <w:rPr>
                <w:rFonts w:hAnsi="Times New Roman"/>
                <w:color w:val="auto"/>
                <w:kern w:val="0"/>
                <w:sz w:val="24"/>
                <w:szCs w:val="24"/>
              </w:rPr>
            </w:pPr>
            <w:r>
              <w:rPr>
                <w:rFonts w:hint="eastAsia" w:eastAsia="宋体"/>
                <w:color w:val="auto"/>
                <w:sz w:val="24"/>
                <w:szCs w:val="24"/>
                <w:highlight w:val="none"/>
                <w:lang w:val="en-US" w:eastAsia="zh-CN"/>
              </w:rPr>
              <w:t>新建1栋游客接待中心，共1层，占地面积为</w:t>
            </w:r>
            <w:r>
              <w:rPr>
                <w:rFonts w:hint="eastAsia" w:hAnsi="Times New Roman"/>
                <w:color w:val="auto"/>
                <w:kern w:val="0"/>
                <w:sz w:val="24"/>
                <w:szCs w:val="24"/>
                <w:lang w:eastAsia="zh-CN"/>
              </w:rPr>
              <w:t>286</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。主要用途为：提供公园景点介绍、线路规划、交通指南、住宿餐饮推荐等详细信息，配备专业咨询人员和多媒体展示设备，并提供免费旅游地图和宣传资料。</w:t>
            </w:r>
          </w:p>
          <w:p>
            <w:pPr>
              <w:autoSpaceDE w:val="0"/>
              <w:autoSpaceDN w:val="0"/>
              <w:adjustRightInd w:val="0"/>
              <w:snapToGrid w:val="0"/>
              <w:spacing w:line="360" w:lineRule="auto"/>
              <w:ind w:firstLine="480" w:firstLineChars="200"/>
              <w:jc w:val="left"/>
              <w:rPr>
                <w:rFonts w:hint="eastAsia" w:ascii="Times New Roman" w:hAnsi="宋体" w:eastAsia="宋体" w:cs="Times New Roman"/>
                <w:color w:val="auto"/>
                <w:spacing w:val="-2"/>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2</w:t>
            </w:r>
            <w:r>
              <w:rPr>
                <w:rFonts w:hint="eastAsia" w:eastAsia="宋体"/>
                <w:color w:val="auto"/>
                <w:kern w:val="0"/>
                <w:sz w:val="24"/>
                <w:szCs w:val="24"/>
                <w:lang w:eastAsia="zh-CN"/>
              </w:rPr>
              <w:t>）</w:t>
            </w:r>
            <w:r>
              <w:rPr>
                <w:rFonts w:hint="eastAsia" w:hAnsi="Times New Roman"/>
                <w:color w:val="auto"/>
                <w:kern w:val="0"/>
                <w:sz w:val="24"/>
                <w:szCs w:val="24"/>
                <w:lang w:eastAsia="zh-CN"/>
              </w:rPr>
              <w:t>旅游厕所</w:t>
            </w:r>
          </w:p>
          <w:p>
            <w:pPr>
              <w:autoSpaceDE w:val="0"/>
              <w:autoSpaceDN w:val="0"/>
              <w:adjustRightInd w:val="0"/>
              <w:snapToGrid w:val="0"/>
              <w:spacing w:line="360" w:lineRule="auto"/>
              <w:ind w:firstLine="480" w:firstLineChars="200"/>
              <w:jc w:val="left"/>
              <w:rPr>
                <w:rFonts w:hint="default" w:ascii="Times New Roman" w:hAnsi="宋体" w:eastAsia="宋体" w:cs="Times New Roman"/>
                <w:color w:val="auto"/>
                <w:spacing w:val="-2"/>
                <w:sz w:val="24"/>
                <w:szCs w:val="24"/>
                <w:lang w:val="en-US"/>
              </w:rPr>
            </w:pPr>
            <w:r>
              <w:rPr>
                <w:rFonts w:hint="eastAsia" w:ascii="Times New Roman" w:hAnsi="Times New Roman" w:eastAsia="宋体" w:cs="Times New Roman"/>
                <w:color w:val="auto"/>
                <w:kern w:val="0"/>
                <w:sz w:val="24"/>
                <w:szCs w:val="24"/>
                <w:lang w:val="en-US" w:eastAsia="zh-CN"/>
              </w:rPr>
              <w:t>登山步道建设2000米，共计3条步道，能环绕公园一圈。主要功能为：为徒步者开辟清晰、稳定的行走路径，避免游客随意踩踏造成迷路或陷入危险区域，是登山活动最基本的保障，通过主步道与支线的科学布局，合理引导游客流向，分散客流压力，避免景区核心区过度拥挤。</w:t>
            </w:r>
            <w:r>
              <w:rPr>
                <w:rFonts w:hint="eastAsia" w:hAnsi="Times New Roman"/>
                <w:color w:val="auto"/>
                <w:kern w:val="0"/>
                <w:sz w:val="24"/>
                <w:szCs w:val="24"/>
                <w:lang w:eastAsia="zh-CN"/>
              </w:rPr>
              <w:t>52平方米</w:t>
            </w:r>
          </w:p>
          <w:p>
            <w:pPr>
              <w:pStyle w:val="159"/>
              <w:adjustRightInd w:val="0"/>
              <w:snapToGrid w:val="0"/>
              <w:spacing w:line="360" w:lineRule="auto"/>
              <w:ind w:firstLine="480"/>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3</w:t>
            </w:r>
            <w:r>
              <w:rPr>
                <w:rFonts w:hint="eastAsia"/>
                <w:color w:val="auto"/>
                <w:kern w:val="0"/>
                <w:sz w:val="24"/>
                <w:szCs w:val="24"/>
                <w:lang w:eastAsia="zh-CN"/>
              </w:rPr>
              <w:t>）</w:t>
            </w:r>
            <w:r>
              <w:rPr>
                <w:rFonts w:hint="eastAsia" w:hAnsi="Times New Roman"/>
                <w:color w:val="auto"/>
                <w:kern w:val="0"/>
                <w:sz w:val="24"/>
                <w:szCs w:val="24"/>
                <w:lang w:eastAsia="zh-CN"/>
              </w:rPr>
              <w:t>生态停车场</w:t>
            </w:r>
          </w:p>
          <w:p>
            <w:pPr>
              <w:autoSpaceDE w:val="0"/>
              <w:autoSpaceDN w:val="0"/>
              <w:adjustRightInd w:val="0"/>
              <w:snapToGrid w:val="0"/>
              <w:spacing w:line="360" w:lineRule="auto"/>
              <w:ind w:firstLine="480" w:firstLineChars="200"/>
              <w:jc w:val="left"/>
              <w:rPr>
                <w:rFonts w:hint="default" w:ascii="Times New Roman" w:hAnsi="宋体" w:eastAsia="宋体" w:cs="Times New Roman"/>
                <w:color w:val="auto"/>
                <w:spacing w:val="-2"/>
                <w:sz w:val="24"/>
                <w:szCs w:val="24"/>
                <w:lang w:val="en-US"/>
              </w:rPr>
            </w:pPr>
            <w:r>
              <w:rPr>
                <w:rFonts w:hint="eastAsia" w:ascii="Times New Roman" w:eastAsia="宋体"/>
                <w:color w:val="auto"/>
                <w:sz w:val="24"/>
                <w:szCs w:val="24"/>
                <w:highlight w:val="none"/>
                <w:lang w:val="en-US" w:eastAsia="zh-CN"/>
              </w:rPr>
              <w:t>共建设</w:t>
            </w:r>
            <w:r>
              <w:rPr>
                <w:rFonts w:hint="default" w:ascii="Times New Roman" w:eastAsia="宋体"/>
                <w:color w:val="auto"/>
                <w:sz w:val="24"/>
                <w:szCs w:val="24"/>
                <w:highlight w:val="none"/>
                <w:lang w:val="en-US" w:eastAsia="zh-CN"/>
              </w:rPr>
              <w:t>污水</w:t>
            </w:r>
            <w:r>
              <w:rPr>
                <w:rFonts w:hint="eastAsia" w:ascii="Times New Roman" w:eastAsia="宋体"/>
                <w:color w:val="auto"/>
                <w:sz w:val="24"/>
                <w:szCs w:val="24"/>
                <w:highlight w:val="none"/>
                <w:lang w:val="en-US" w:eastAsia="zh-CN"/>
              </w:rPr>
              <w:t>收集</w:t>
            </w:r>
            <w:r>
              <w:rPr>
                <w:rFonts w:hint="default" w:ascii="Times New Roman" w:eastAsia="宋体"/>
                <w:color w:val="auto"/>
                <w:sz w:val="24"/>
                <w:szCs w:val="24"/>
                <w:highlight w:val="none"/>
                <w:lang w:val="en-US" w:eastAsia="zh-CN"/>
              </w:rPr>
              <w:t>管网3000</w:t>
            </w:r>
            <w:r>
              <w:rPr>
                <w:rFonts w:hint="eastAsia" w:ascii="Times New Roman" w:eastAsia="宋体"/>
                <w:color w:val="auto"/>
                <w:sz w:val="24"/>
                <w:szCs w:val="24"/>
                <w:highlight w:val="none"/>
                <w:lang w:val="en-US" w:eastAsia="zh-CN"/>
              </w:rPr>
              <w:t>m。用于收集望风屏公园内村民及公厕的生活污水，生活污水经过各家的化粪池处理</w:t>
            </w:r>
            <w:r>
              <w:rPr>
                <w:rFonts w:hint="eastAsia" w:eastAsia="宋体"/>
                <w:color w:val="auto"/>
                <w:sz w:val="24"/>
                <w:szCs w:val="24"/>
                <w:highlight w:val="none"/>
                <w:lang w:val="en-US" w:eastAsia="zh-CN"/>
              </w:rPr>
              <w:t>达到《污水排入城镇下水道水质标准》（GB/T31962-2015）表1中A级标准</w:t>
            </w:r>
            <w:r>
              <w:rPr>
                <w:rFonts w:hint="eastAsia" w:ascii="Times New Roman" w:eastAsia="宋体"/>
                <w:color w:val="auto"/>
                <w:sz w:val="24"/>
                <w:szCs w:val="24"/>
                <w:highlight w:val="none"/>
                <w:lang w:val="en-US" w:eastAsia="zh-CN"/>
              </w:rPr>
              <w:t>后排入山脚村市政污水收集管网，排入嵩明县污水处理厂处理，山脚村已建成完善的市政污水收集管网。</w:t>
            </w:r>
          </w:p>
          <w:p>
            <w:pPr>
              <w:autoSpaceDE w:val="0"/>
              <w:autoSpaceDN w:val="0"/>
              <w:adjustRightInd w:val="0"/>
              <w:snapToGrid w:val="0"/>
              <w:spacing w:line="360" w:lineRule="auto"/>
              <w:ind w:firstLine="480" w:firstLineChars="200"/>
              <w:jc w:val="left"/>
              <w:rPr>
                <w:rFonts w:hint="eastAsia" w:ascii="Times New Roman" w:hAnsi="宋体" w:eastAsia="宋体" w:cs="Times New Roman"/>
                <w:color w:val="auto"/>
                <w:spacing w:val="-2"/>
                <w:sz w:val="24"/>
                <w:szCs w:val="24"/>
              </w:rPr>
            </w:pPr>
            <w:r>
              <w:rPr>
                <w:rFonts w:hint="eastAsia"/>
                <w:color w:val="auto"/>
                <w:kern w:val="0"/>
                <w:sz w:val="24"/>
                <w:szCs w:val="24"/>
                <w:lang w:eastAsia="zh-CN"/>
              </w:rPr>
              <w:t>（</w:t>
            </w:r>
            <w:r>
              <w:rPr>
                <w:rFonts w:hint="eastAsia"/>
                <w:color w:val="auto"/>
                <w:kern w:val="0"/>
                <w:sz w:val="24"/>
                <w:szCs w:val="24"/>
                <w:lang w:val="en-US" w:eastAsia="zh-CN"/>
              </w:rPr>
              <w:t>4</w:t>
            </w:r>
            <w:r>
              <w:rPr>
                <w:rFonts w:hint="eastAsia"/>
                <w:color w:val="auto"/>
                <w:kern w:val="0"/>
                <w:sz w:val="24"/>
                <w:szCs w:val="24"/>
                <w:lang w:eastAsia="zh-CN"/>
              </w:rPr>
              <w:t>）</w:t>
            </w:r>
            <w:r>
              <w:rPr>
                <w:rFonts w:hint="eastAsia" w:hAnsi="Times New Roman"/>
                <w:color w:val="auto"/>
                <w:kern w:val="0"/>
                <w:sz w:val="24"/>
                <w:szCs w:val="24"/>
                <w:lang w:eastAsia="zh-CN"/>
              </w:rPr>
              <w:t>游步道</w:t>
            </w:r>
          </w:p>
          <w:p>
            <w:pPr>
              <w:pStyle w:val="159"/>
              <w:adjustRightInd w:val="0"/>
              <w:snapToGrid w:val="0"/>
              <w:spacing w:line="360" w:lineRule="auto"/>
              <w:ind w:firstLine="480"/>
              <w:rPr>
                <w:rFonts w:hint="eastAsia"/>
                <w:color w:val="auto"/>
                <w:kern w:val="0"/>
                <w:sz w:val="24"/>
                <w:szCs w:val="24"/>
              </w:rPr>
            </w:pPr>
            <w:r>
              <w:rPr>
                <w:rFonts w:hint="eastAsia" w:ascii="Times New Roman" w:hAnsi="Times New Roman" w:eastAsia="宋体" w:cs="Times New Roman"/>
                <w:color w:val="auto"/>
                <w:kern w:val="0"/>
                <w:sz w:val="24"/>
                <w:szCs w:val="24"/>
                <w:lang w:val="en-US" w:eastAsia="zh-CN"/>
              </w:rPr>
              <w:t>登山步道建设2000米，共计3条步道，能环绕公园一圈。主要功能为：为徒步者开辟清晰、稳定的行走路径，避免游客随意踩踏造成迷路或陷入危险区域，是登山活动最基本的保障，通过主步道与支线的科学布局，合理引导游客流向，分散客流压力，避免景区核心区过度拥挤。</w:t>
            </w:r>
            <w:r>
              <w:rPr>
                <w:rFonts w:hint="eastAsia"/>
                <w:color w:val="auto"/>
                <w:kern w:val="0"/>
                <w:sz w:val="24"/>
                <w:szCs w:val="24"/>
                <w:lang w:val="en-US" w:eastAsia="zh-CN"/>
              </w:rPr>
              <w:t>普沙河田园综合体</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eastAsia="宋体"/>
                <w:color w:val="auto"/>
                <w:sz w:val="24"/>
                <w:szCs w:val="24"/>
                <w:highlight w:val="none"/>
                <w:lang w:val="en-US" w:eastAsia="zh-CN"/>
              </w:rPr>
              <w:t>占地面积16310m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，主要进行荷花种植。</w:t>
            </w:r>
            <w:r>
              <w:rPr>
                <w:rFonts w:hint="eastAsia" w:ascii="Times New Roman" w:hAnsi="Times New Roman" w:eastAsia="宋体" w:cs="Times New Roman"/>
                <w:color w:val="auto"/>
                <w:kern w:val="0"/>
                <w:sz w:val="24"/>
                <w:szCs w:val="24"/>
                <w:lang w:val="en-US" w:eastAsia="zh-CN"/>
              </w:rPr>
              <w:t>主要功能为：发展设施农业、智慧农业、循环农业，提高土地产出率和农产品质量，保留乡村风貌同时提升居住品质。</w:t>
            </w:r>
          </w:p>
          <w:p>
            <w:pPr>
              <w:pStyle w:val="159"/>
              <w:adjustRightInd w:val="0"/>
              <w:snapToGrid w:val="0"/>
              <w:spacing w:line="360" w:lineRule="auto"/>
              <w:ind w:firstLine="480"/>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5</w:t>
            </w:r>
            <w:r>
              <w:rPr>
                <w:rFonts w:hint="eastAsia"/>
                <w:color w:val="auto"/>
                <w:kern w:val="0"/>
                <w:sz w:val="24"/>
                <w:szCs w:val="24"/>
                <w:lang w:eastAsia="zh-CN"/>
              </w:rPr>
              <w:t>）</w:t>
            </w:r>
            <w:r>
              <w:rPr>
                <w:rFonts w:hint="eastAsia" w:hAnsi="Times New Roman"/>
                <w:color w:val="auto"/>
                <w:kern w:val="0"/>
                <w:sz w:val="24"/>
                <w:szCs w:val="24"/>
                <w:lang w:eastAsia="zh-CN"/>
              </w:rPr>
              <w:t>传统民俗活动类展厅</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eastAsia="宋体"/>
                <w:color w:val="auto"/>
                <w:sz w:val="24"/>
                <w:szCs w:val="24"/>
                <w:highlight w:val="none"/>
                <w:lang w:val="en-US" w:eastAsia="zh-CN"/>
              </w:rPr>
              <w:t>占地面积16310m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，主要进行荷花种植。</w:t>
            </w:r>
            <w:r>
              <w:rPr>
                <w:rFonts w:hint="eastAsia" w:ascii="Times New Roman" w:hAnsi="Times New Roman" w:eastAsia="宋体" w:cs="Times New Roman"/>
                <w:color w:val="auto"/>
                <w:kern w:val="0"/>
                <w:sz w:val="24"/>
                <w:szCs w:val="24"/>
                <w:lang w:val="en-US" w:eastAsia="zh-CN"/>
              </w:rPr>
              <w:t>主要功能为：发展设施农业、智慧农业、循环农业，提高土地产出率和农产品质量，保留乡村风貌同时提升居住品质。</w:t>
            </w:r>
          </w:p>
          <w:p>
            <w:pPr>
              <w:pStyle w:val="159"/>
              <w:adjustRightInd w:val="0"/>
              <w:snapToGrid w:val="0"/>
              <w:spacing w:line="360" w:lineRule="auto"/>
              <w:ind w:firstLine="480"/>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6</w:t>
            </w:r>
            <w:r>
              <w:rPr>
                <w:rFonts w:hint="eastAsia"/>
                <w:color w:val="auto"/>
                <w:kern w:val="0"/>
                <w:sz w:val="24"/>
                <w:szCs w:val="24"/>
                <w:lang w:eastAsia="zh-CN"/>
              </w:rPr>
              <w:t>）</w:t>
            </w:r>
            <w:r>
              <w:rPr>
                <w:rFonts w:hint="eastAsia" w:hAnsi="Times New Roman"/>
                <w:color w:val="auto"/>
                <w:kern w:val="0"/>
                <w:sz w:val="24"/>
                <w:szCs w:val="24"/>
                <w:lang w:eastAsia="zh-CN"/>
              </w:rPr>
              <w:t>多功能非遗展示中心</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eastAsia="宋体"/>
                <w:color w:val="auto"/>
                <w:sz w:val="24"/>
                <w:szCs w:val="24"/>
                <w:highlight w:val="none"/>
                <w:lang w:val="en-US" w:eastAsia="zh-CN"/>
              </w:rPr>
              <w:t>占地面积16310m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，主要进行荷花种植。</w:t>
            </w:r>
            <w:r>
              <w:rPr>
                <w:rFonts w:hint="eastAsia" w:ascii="Times New Roman" w:hAnsi="Times New Roman" w:eastAsia="宋体" w:cs="Times New Roman"/>
                <w:color w:val="auto"/>
                <w:kern w:val="0"/>
                <w:sz w:val="24"/>
                <w:szCs w:val="24"/>
                <w:lang w:val="en-US" w:eastAsia="zh-CN"/>
              </w:rPr>
              <w:t>主要功能为：发展设施农业、智慧农业、循环农业，提高土地产出率和农产品质量，保留乡村风貌同时提升居住品质。</w:t>
            </w:r>
          </w:p>
          <w:p>
            <w:pPr>
              <w:pStyle w:val="159"/>
              <w:adjustRightInd w:val="0"/>
              <w:snapToGrid w:val="0"/>
              <w:spacing w:line="360" w:lineRule="auto"/>
              <w:ind w:firstLine="480"/>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7</w:t>
            </w:r>
            <w:r>
              <w:rPr>
                <w:rFonts w:hint="eastAsia"/>
                <w:color w:val="auto"/>
                <w:kern w:val="0"/>
                <w:sz w:val="24"/>
                <w:szCs w:val="24"/>
                <w:lang w:eastAsia="zh-CN"/>
              </w:rPr>
              <w:t>）</w:t>
            </w:r>
            <w:r>
              <w:rPr>
                <w:rFonts w:hint="eastAsia" w:hAnsi="Times New Roman"/>
                <w:color w:val="auto"/>
                <w:kern w:val="0"/>
                <w:sz w:val="24"/>
                <w:szCs w:val="24"/>
                <w:lang w:eastAsia="zh-CN"/>
              </w:rPr>
              <w:t>森林景区建设</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eastAsia="宋体"/>
                <w:color w:val="auto"/>
                <w:sz w:val="24"/>
                <w:szCs w:val="24"/>
                <w:highlight w:val="none"/>
                <w:lang w:val="en-US" w:eastAsia="zh-CN"/>
              </w:rPr>
              <w:t>占地面积16310m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，主要进行荷花种植。</w:t>
            </w:r>
            <w:r>
              <w:rPr>
                <w:rFonts w:hint="eastAsia" w:ascii="Times New Roman" w:hAnsi="Times New Roman" w:eastAsia="宋体" w:cs="Times New Roman"/>
                <w:color w:val="auto"/>
                <w:kern w:val="0"/>
                <w:sz w:val="24"/>
                <w:szCs w:val="24"/>
                <w:lang w:val="en-US" w:eastAsia="zh-CN"/>
              </w:rPr>
              <w:t>主要功能为：发展设施农业、智慧农业、循环农业，提高土地产出率和农产品质量，保留乡村风貌同时提升居住品质。</w:t>
            </w:r>
          </w:p>
          <w:p>
            <w:pPr>
              <w:pStyle w:val="159"/>
              <w:adjustRightInd w:val="0"/>
              <w:snapToGrid w:val="0"/>
              <w:spacing w:line="360" w:lineRule="auto"/>
              <w:ind w:firstLine="480"/>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8</w:t>
            </w:r>
            <w:r>
              <w:rPr>
                <w:rFonts w:hint="eastAsia"/>
                <w:color w:val="auto"/>
                <w:kern w:val="0"/>
                <w:sz w:val="24"/>
                <w:szCs w:val="24"/>
                <w:lang w:eastAsia="zh-CN"/>
              </w:rPr>
              <w:t>）</w:t>
            </w:r>
            <w:r>
              <w:rPr>
                <w:rFonts w:hint="eastAsia" w:hAnsi="Times New Roman"/>
                <w:color w:val="auto"/>
                <w:kern w:val="0"/>
                <w:sz w:val="24"/>
                <w:szCs w:val="24"/>
                <w:lang w:eastAsia="zh-CN"/>
              </w:rPr>
              <w:t>休闲娱乐设施</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eastAsia="宋体"/>
                <w:color w:val="auto"/>
                <w:sz w:val="24"/>
                <w:szCs w:val="24"/>
                <w:highlight w:val="none"/>
                <w:lang w:val="en-US" w:eastAsia="zh-CN"/>
              </w:rPr>
              <w:t>占地面积16310m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，主要进行荷花种植。</w:t>
            </w:r>
            <w:r>
              <w:rPr>
                <w:rFonts w:hint="eastAsia" w:ascii="Times New Roman" w:hAnsi="Times New Roman" w:eastAsia="宋体" w:cs="Times New Roman"/>
                <w:color w:val="auto"/>
                <w:kern w:val="0"/>
                <w:sz w:val="24"/>
                <w:szCs w:val="24"/>
                <w:lang w:val="en-US" w:eastAsia="zh-CN"/>
              </w:rPr>
              <w:t>主要功能为：发展设施农业、智慧农业、循环农业，提高土地产出率和农产品质量，保留乡村风貌同时提升居住品质。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2" w:firstLineChars="200"/>
              <w:jc w:val="left"/>
              <w:textAlignment w:val="auto"/>
              <w:rPr>
                <w:rFonts w:hint="eastAsia" w:hAnsi="Times New Roman"/>
                <w:color w:val="auto"/>
              </w:rPr>
            </w:pPr>
            <w:r>
              <w:rPr>
                <w:rFonts w:hint="eastAsia" w:ascii="Times New Roman" w:hAnsi="Times New Roman" w:eastAsia="宋体" w:cs="Times New Roman"/>
                <w:b/>
                <w:color w:val="auto"/>
                <w:kern w:val="0"/>
                <w:sz w:val="28"/>
                <w:szCs w:val="28"/>
                <w:lang w:val="en-US" w:eastAsia="zh-CN"/>
              </w:rPr>
              <w:t>4、</w:t>
            </w:r>
            <w:r>
              <w:rPr>
                <w:rFonts w:hint="eastAsia" w:ascii="Times New Roman" w:hAnsi="Times New Roman" w:eastAsia="宋体" w:cs="Times New Roman"/>
                <w:b/>
                <w:color w:val="auto"/>
                <w:kern w:val="0"/>
                <w:sz w:val="28"/>
                <w:szCs w:val="28"/>
              </w:rPr>
              <w:t>劳动定员</w:t>
            </w:r>
          </w:p>
          <w:p>
            <w:pPr>
              <w:pStyle w:val="159"/>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宋体" w:eastAsia="宋体" w:cs="Times New Roman"/>
                <w:color w:val="auto"/>
                <w:spacing w:val="-2"/>
                <w:kern w:val="2"/>
                <w:sz w:val="24"/>
                <w:szCs w:val="24"/>
                <w:lang w:val="en-US" w:eastAsia="zh-CN" w:bidi="ar-SA"/>
              </w:rPr>
            </w:pPr>
            <w:r>
              <w:rPr>
                <w:rFonts w:hint="eastAsia" w:ascii="Times New Roman" w:hAnsi="宋体" w:eastAsia="宋体" w:cs="Times New Roman"/>
                <w:color w:val="auto"/>
                <w:spacing w:val="-2"/>
                <w:kern w:val="2"/>
                <w:sz w:val="24"/>
                <w:szCs w:val="24"/>
                <w:lang w:val="en-US" w:eastAsia="zh-CN" w:bidi="ar-SA"/>
              </w:rPr>
              <w:t>根据建设单位提供资料，本项目为森林公园建设项目，公园开放时间为全年开放，公园运营期管理人员合计为20人，均不在本项目食宿。</w:t>
            </w:r>
          </w:p>
          <w:p>
            <w:pPr>
              <w:pStyle w:val="159"/>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456" w:type="dxa"/>
            <w:noWrap w:val="0"/>
            <w:vAlign w:val="center"/>
          </w:tcPr>
          <w:p>
            <w:pPr>
              <w:adjustRightInd w:val="0"/>
              <w:snapToGrid w:val="0"/>
              <w:jc w:val="center"/>
              <w:rPr>
                <w:color w:val="auto"/>
                <w:kern w:val="0"/>
                <w:sz w:val="24"/>
              </w:rPr>
            </w:pPr>
            <w:r>
              <w:rPr>
                <w:color w:val="auto"/>
                <w:kern w:val="0"/>
                <w:sz w:val="24"/>
              </w:rPr>
              <w:t>总平面及现场布置</w:t>
            </w:r>
          </w:p>
        </w:tc>
        <w:tc>
          <w:tcPr>
            <w:tcW w:w="88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b/>
                <w:color w:val="auto"/>
                <w:kern w:val="0"/>
                <w:sz w:val="28"/>
                <w:szCs w:val="28"/>
              </w:rPr>
            </w:pPr>
            <w:r>
              <w:rPr>
                <w:rFonts w:hint="eastAsia" w:hAnsi="宋体"/>
                <w:b/>
                <w:color w:val="auto"/>
                <w:kern w:val="0"/>
                <w:sz w:val="28"/>
                <w:szCs w:val="28"/>
                <w:lang w:val="en-US" w:eastAsia="zh-CN"/>
              </w:rPr>
              <w:t>1、</w:t>
            </w:r>
            <w:r>
              <w:rPr>
                <w:rFonts w:hAnsi="宋体"/>
                <w:b/>
                <w:color w:val="auto"/>
                <w:kern w:val="0"/>
                <w:sz w:val="28"/>
                <w:szCs w:val="28"/>
              </w:rPr>
              <w:t>工程总平面布置</w:t>
            </w:r>
          </w:p>
          <w:p>
            <w:pPr>
              <w:autoSpaceDE w:val="0"/>
              <w:autoSpaceDN w:val="0"/>
              <w:adjustRightInd w:val="0"/>
              <w:snapToGrid w:val="0"/>
              <w:spacing w:line="360" w:lineRule="auto"/>
              <w:ind w:firstLine="480" w:firstLineChars="200"/>
              <w:jc w:val="left"/>
              <w:rPr>
                <w:rFonts w:hint="default" w:hAnsi="宋体" w:eastAsia="宋体"/>
                <w:color w:val="auto"/>
                <w:kern w:val="0"/>
                <w:sz w:val="24"/>
                <w:lang w:val="en-US" w:eastAsia="zh-CN"/>
              </w:rPr>
            </w:pPr>
            <w:r>
              <w:rPr>
                <w:rFonts w:hint="eastAsia" w:ascii="Times New Roman" w:hAnsi="宋体" w:eastAsia="宋体" w:cs="Times New Roman"/>
                <w:color w:val="auto"/>
                <w:kern w:val="0"/>
                <w:sz w:val="24"/>
                <w:lang w:val="en-US" w:eastAsia="zh-CN"/>
              </w:rPr>
              <w:t>项目游客接待中心位</w:t>
            </w:r>
            <w:r>
              <w:rPr>
                <w:rFonts w:hint="eastAsia" w:hAnsi="宋体"/>
                <w:color w:val="auto"/>
                <w:kern w:val="0"/>
                <w:sz w:val="24"/>
                <w:lang w:val="en-US" w:eastAsia="zh-CN"/>
              </w:rPr>
              <w:t>于项目区中部，</w:t>
            </w:r>
            <w:r>
              <w:rPr>
                <w:rFonts w:hint="eastAsia" w:hAnsi="宋体"/>
                <w:color w:val="auto"/>
                <w:kern w:val="0"/>
                <w:sz w:val="24"/>
              </w:rPr>
              <w:t>步道</w:t>
            </w:r>
            <w:r>
              <w:rPr>
                <w:rFonts w:hint="eastAsia" w:hAnsi="宋体"/>
                <w:color w:val="auto"/>
                <w:kern w:val="0"/>
                <w:sz w:val="24"/>
                <w:lang w:val="en-US" w:eastAsia="zh-CN"/>
              </w:rPr>
              <w:t>环绕了整个公园，</w:t>
            </w:r>
            <w:r>
              <w:rPr>
                <w:rFonts w:hint="eastAsia" w:hAnsi="宋体"/>
                <w:color w:val="auto"/>
                <w:kern w:val="0"/>
                <w:sz w:val="24"/>
              </w:rPr>
              <w:t>污水</w:t>
            </w:r>
            <w:r>
              <w:rPr>
                <w:rFonts w:hint="eastAsia" w:hAnsi="宋体"/>
                <w:color w:val="auto"/>
                <w:kern w:val="0"/>
                <w:sz w:val="24"/>
                <w:lang w:val="en-US" w:eastAsia="zh-CN"/>
              </w:rPr>
              <w:t>收集管网位于中部，顺道路两侧布置。</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b/>
                <w:color w:val="auto"/>
                <w:kern w:val="0"/>
                <w:sz w:val="28"/>
                <w:szCs w:val="28"/>
              </w:rPr>
            </w:pPr>
            <w:r>
              <w:rPr>
                <w:rFonts w:hint="eastAsia"/>
                <w:b/>
                <w:color w:val="auto"/>
                <w:kern w:val="0"/>
                <w:sz w:val="28"/>
                <w:szCs w:val="28"/>
                <w:lang w:val="en-US" w:eastAsia="zh-CN"/>
              </w:rPr>
              <w:t>2、</w:t>
            </w:r>
            <w:r>
              <w:rPr>
                <w:rFonts w:hint="eastAsia"/>
                <w:b/>
                <w:color w:val="auto"/>
                <w:kern w:val="0"/>
                <w:sz w:val="28"/>
                <w:szCs w:val="28"/>
              </w:rPr>
              <w:t>施工布置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hAnsi="宋体"/>
                <w:color w:val="auto"/>
                <w:kern w:val="0"/>
                <w:sz w:val="24"/>
                <w:lang w:val="en-US" w:eastAsia="zh-CN"/>
              </w:rPr>
            </w:pPr>
            <w:bookmarkStart w:id="9" w:name="OLE_LINK1"/>
            <w:r>
              <w:rPr>
                <w:rFonts w:hint="eastAsia" w:hAnsi="宋体"/>
                <w:color w:val="auto"/>
                <w:kern w:val="0"/>
                <w:sz w:val="24"/>
                <w:lang w:val="en-US" w:eastAsia="zh-CN"/>
              </w:rPr>
              <w:t>根据项目各点为建设情况，在建设地点上直接建设，不用设置材料堆场厂，施工场地设置在山脚社区居民委员会内部。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hAnsi="宋体"/>
                <w:color w:val="auto"/>
                <w:kern w:val="0"/>
                <w:sz w:val="24"/>
                <w:lang w:val="en-US" w:eastAsia="zh-CN"/>
              </w:rPr>
            </w:pPr>
            <w:r>
              <w:rPr>
                <w:rFonts w:hint="eastAsia" w:hAnsi="宋体"/>
                <w:color w:val="auto"/>
                <w:kern w:val="0"/>
                <w:sz w:val="24"/>
                <w:lang w:val="en-US" w:eastAsia="zh-CN"/>
              </w:rPr>
              <w:t>（1）</w:t>
            </w:r>
            <w:r>
              <w:rPr>
                <w:rFonts w:hint="default" w:hAnsi="宋体"/>
                <w:color w:val="auto"/>
                <w:kern w:val="0"/>
                <w:sz w:val="24"/>
                <w:lang w:val="en-US" w:eastAsia="zh-CN"/>
              </w:rPr>
              <w:t>游客接待中心</w:t>
            </w:r>
            <w:r>
              <w:rPr>
                <w:rFonts w:hint="eastAsia" w:hAnsi="宋体"/>
                <w:color w:val="auto"/>
                <w:kern w:val="0"/>
                <w:sz w:val="24"/>
                <w:lang w:val="en-US" w:eastAsia="zh-CN"/>
              </w:rPr>
              <w:t>建设</w:t>
            </w:r>
            <w:r>
              <w:rPr>
                <w:rFonts w:hint="eastAsia"/>
                <w:color w:val="auto"/>
                <w:kern w:val="0"/>
                <w:sz w:val="24"/>
                <w:szCs w:val="24"/>
                <w:lang w:eastAsia="zh-CN"/>
              </w:rPr>
              <w:t>、</w:t>
            </w:r>
            <w:r>
              <w:rPr>
                <w:rFonts w:hint="eastAsia" w:hAnsi="Times New Roman"/>
                <w:color w:val="auto"/>
                <w:kern w:val="0"/>
                <w:sz w:val="24"/>
                <w:lang w:eastAsia="zh-CN"/>
              </w:rPr>
              <w:t>传统民俗活动类展厅、.多功能非遗展示中心</w:t>
            </w:r>
          </w:p>
          <w:bookmarkEnd w:id="9"/>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color w:val="auto"/>
                <w:sz w:val="24"/>
                <w:szCs w:val="24"/>
                <w:lang w:eastAsia="zh-CN"/>
              </w:rPr>
            </w:pPr>
            <w:r>
              <w:rPr>
                <w:rFonts w:hint="eastAsia"/>
                <w:color w:val="auto"/>
                <w:sz w:val="24"/>
                <w:szCs w:val="24"/>
              </w:rPr>
              <w:t>根据景区等级和游客量功能配置与服务能力相匹配</w:t>
            </w:r>
            <w:r>
              <w:rPr>
                <w:rFonts w:hint="eastAsia"/>
                <w:color w:val="auto"/>
                <w:sz w:val="24"/>
                <w:szCs w:val="24"/>
                <w:lang w:eastAsia="zh-CN"/>
              </w:rPr>
              <w:t>，</w:t>
            </w:r>
            <w:r>
              <w:rPr>
                <w:rFonts w:hint="eastAsia"/>
                <w:color w:val="auto"/>
                <w:sz w:val="24"/>
                <w:szCs w:val="24"/>
                <w:lang w:val="en-US" w:eastAsia="zh-CN"/>
              </w:rPr>
              <w:t>建设位置</w:t>
            </w:r>
            <w:r>
              <w:rPr>
                <w:rFonts w:hint="eastAsia"/>
                <w:color w:val="auto"/>
                <w:sz w:val="24"/>
                <w:szCs w:val="24"/>
                <w:lang w:eastAsia="zh-CN"/>
              </w:rPr>
              <w:t>必须位于景区主入口或核心交通枢纽，确保可达性和标识性，建筑200m范围内需设置引导路标。</w:t>
            </w:r>
          </w:p>
          <w:p>
            <w:pPr>
              <w:keepNext w:val="0"/>
              <w:keepLines w:val="0"/>
              <w:pageBreakBefore w:val="0"/>
              <w:widowControl w:val="0"/>
              <w:kinsoku/>
              <w:wordWrap/>
              <w:overflowPunct/>
              <w:topLinePunct w:val="0"/>
              <w:bidi w:val="0"/>
              <w:adjustRightInd/>
              <w:snapToGrid/>
              <w:spacing w:line="360" w:lineRule="auto"/>
              <w:ind w:firstLine="481" w:firstLineChars="200"/>
              <w:jc w:val="left"/>
              <w:textAlignment w:val="auto"/>
              <w:rPr>
                <w:rFonts w:hint="eastAsia"/>
                <w:color w:val="auto"/>
                <w:sz w:val="24"/>
                <w:szCs w:val="24"/>
                <w:lang w:eastAsia="zh-CN"/>
              </w:rPr>
            </w:pPr>
            <w:r>
              <w:rPr>
                <w:rFonts w:hint="eastAsia"/>
                <w:b/>
                <w:bCs/>
                <w:color w:val="auto"/>
                <w:sz w:val="24"/>
                <w:szCs w:val="24"/>
                <w:lang w:eastAsia="zh-CN"/>
              </w:rPr>
              <w:t>风貌有机融合：</w:t>
            </w:r>
            <w:r>
              <w:rPr>
                <w:rFonts w:hint="eastAsia"/>
                <w:color w:val="auto"/>
                <w:sz w:val="24"/>
                <w:szCs w:val="24"/>
                <w:lang w:eastAsia="zh-CN"/>
              </w:rPr>
              <w:t>建筑外观（造型、色调、材质）必须突出地方特色，与景区自然及历史环境高度协调。</w:t>
            </w:r>
          </w:p>
          <w:p>
            <w:pPr>
              <w:keepNext w:val="0"/>
              <w:keepLines w:val="0"/>
              <w:pageBreakBefore w:val="0"/>
              <w:widowControl w:val="0"/>
              <w:kinsoku/>
              <w:wordWrap/>
              <w:overflowPunct/>
              <w:topLinePunct w:val="0"/>
              <w:bidi w:val="0"/>
              <w:adjustRightInd/>
              <w:snapToGrid/>
              <w:spacing w:line="360" w:lineRule="auto"/>
              <w:ind w:firstLine="481" w:firstLineChars="200"/>
              <w:jc w:val="left"/>
              <w:textAlignment w:val="auto"/>
              <w:rPr>
                <w:rFonts w:hint="default"/>
                <w:color w:val="auto"/>
                <w:sz w:val="24"/>
                <w:szCs w:val="24"/>
                <w:lang w:val="en-US" w:eastAsia="zh-CN"/>
              </w:rPr>
            </w:pPr>
            <w:r>
              <w:rPr>
                <w:rFonts w:hint="eastAsia"/>
                <w:b/>
                <w:bCs/>
                <w:color w:val="auto"/>
                <w:sz w:val="24"/>
                <w:szCs w:val="24"/>
                <w:lang w:eastAsia="zh-CN"/>
              </w:rPr>
              <w:t>主题文化表达：</w:t>
            </w:r>
            <w:r>
              <w:rPr>
                <w:rFonts w:hint="eastAsia"/>
                <w:color w:val="auto"/>
                <w:sz w:val="24"/>
                <w:szCs w:val="24"/>
                <w:lang w:eastAsia="zh-CN"/>
              </w:rPr>
              <w:t>设计需呼应景区主题，</w:t>
            </w:r>
            <w:r>
              <w:rPr>
                <w:rFonts w:hint="eastAsia"/>
                <w:color w:val="auto"/>
                <w:sz w:val="24"/>
                <w:szCs w:val="24"/>
                <w:lang w:val="en-US" w:eastAsia="zh-CN"/>
              </w:rPr>
              <w:t>需与</w:t>
            </w:r>
            <w:r>
              <w:rPr>
                <w:rFonts w:hint="eastAsia" w:ascii="Times New Roman" w:eastAsia="宋体"/>
                <w:color w:val="auto"/>
                <w:sz w:val="24"/>
                <w:szCs w:val="24"/>
                <w:highlight w:val="none"/>
                <w:lang w:val="en-US" w:eastAsia="zh-CN"/>
              </w:rPr>
              <w:t>望风屏公园的主体进行呼应，通过主建筑材料、颜色、相关的装修配饰。</w:t>
            </w:r>
          </w:p>
          <w:p>
            <w:pPr>
              <w:keepNext w:val="0"/>
              <w:keepLines w:val="0"/>
              <w:pageBreakBefore w:val="0"/>
              <w:widowControl w:val="0"/>
              <w:kinsoku/>
              <w:wordWrap/>
              <w:overflowPunct/>
              <w:topLinePunct w:val="0"/>
              <w:bidi w:val="0"/>
              <w:adjustRightInd/>
              <w:snapToGrid/>
              <w:spacing w:line="360" w:lineRule="auto"/>
              <w:ind w:firstLine="481" w:firstLineChars="200"/>
              <w:jc w:val="left"/>
              <w:textAlignment w:val="auto"/>
              <w:rPr>
                <w:rFonts w:hint="eastAsia"/>
                <w:color w:val="auto"/>
                <w:sz w:val="24"/>
                <w:szCs w:val="24"/>
                <w:lang w:eastAsia="zh-CN"/>
              </w:rPr>
            </w:pPr>
            <w:r>
              <w:rPr>
                <w:rFonts w:hint="eastAsia"/>
                <w:b/>
                <w:bCs/>
                <w:color w:val="auto"/>
                <w:sz w:val="24"/>
                <w:szCs w:val="24"/>
                <w:lang w:eastAsia="zh-CN"/>
              </w:rPr>
              <w:t>结构安全等级高：</w:t>
            </w:r>
            <w:r>
              <w:rPr>
                <w:rFonts w:hint="eastAsia"/>
                <w:color w:val="auto"/>
                <w:sz w:val="24"/>
                <w:szCs w:val="24"/>
                <w:lang w:eastAsia="zh-CN"/>
              </w:rPr>
              <w:t>建筑物设计使用年限50年，抗震设防烈度按7度设计，耐火等级地上二级。</w:t>
            </w:r>
          </w:p>
          <w:p>
            <w:pPr>
              <w:keepNext w:val="0"/>
              <w:keepLines w:val="0"/>
              <w:pageBreakBefore w:val="0"/>
              <w:widowControl w:val="0"/>
              <w:kinsoku/>
              <w:wordWrap/>
              <w:overflowPunct/>
              <w:topLinePunct w:val="0"/>
              <w:bidi w:val="0"/>
              <w:adjustRightInd/>
              <w:snapToGrid/>
              <w:spacing w:line="360" w:lineRule="auto"/>
              <w:ind w:firstLine="481" w:firstLineChars="200"/>
              <w:jc w:val="left"/>
              <w:textAlignment w:val="auto"/>
              <w:rPr>
                <w:rFonts w:hint="eastAsia"/>
                <w:color w:val="auto"/>
                <w:sz w:val="24"/>
                <w:szCs w:val="24"/>
                <w:lang w:eastAsia="zh-CN"/>
              </w:rPr>
            </w:pPr>
            <w:r>
              <w:rPr>
                <w:rFonts w:hint="eastAsia"/>
                <w:b/>
                <w:bCs/>
                <w:color w:val="auto"/>
                <w:sz w:val="24"/>
                <w:szCs w:val="24"/>
                <w:lang w:eastAsia="zh-CN"/>
              </w:rPr>
              <w:t>应急体系完善：</w:t>
            </w:r>
            <w:r>
              <w:rPr>
                <w:rFonts w:hint="eastAsia"/>
                <w:color w:val="auto"/>
                <w:sz w:val="24"/>
                <w:szCs w:val="24"/>
                <w:lang w:val="en-US" w:eastAsia="zh-CN"/>
              </w:rPr>
              <w:t>建筑物</w:t>
            </w:r>
            <w:r>
              <w:rPr>
                <w:rFonts w:hint="eastAsia"/>
                <w:color w:val="auto"/>
                <w:sz w:val="24"/>
                <w:szCs w:val="24"/>
                <w:lang w:eastAsia="zh-CN"/>
              </w:rPr>
              <w:t>设置应急逃生通道、AED除颤仪、急救箱，工作人员定期接受急救培训。</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hAnsi="宋体"/>
                <w:color w:val="auto"/>
                <w:kern w:val="0"/>
                <w:sz w:val="24"/>
                <w:lang w:val="en-US" w:eastAsia="zh-CN"/>
              </w:rPr>
            </w:pPr>
            <w:r>
              <w:rPr>
                <w:rFonts w:hint="eastAsia" w:hAnsi="宋体"/>
                <w:color w:val="auto"/>
                <w:kern w:val="0"/>
                <w:sz w:val="24"/>
                <w:lang w:val="en-US" w:eastAsia="zh-CN"/>
              </w:rPr>
              <w:t>（2）步道、</w:t>
            </w:r>
            <w:r>
              <w:rPr>
                <w:rFonts w:hint="eastAsia" w:hAnsi="Times New Roman"/>
                <w:color w:val="auto"/>
                <w:kern w:val="0"/>
                <w:sz w:val="24"/>
                <w:lang w:eastAsia="zh-CN"/>
              </w:rPr>
              <w:t>森林景区建</w:t>
            </w:r>
          </w:p>
          <w:p>
            <w:pPr>
              <w:keepNext w:val="0"/>
              <w:keepLines w:val="0"/>
              <w:pageBreakBefore w:val="0"/>
              <w:widowControl w:val="0"/>
              <w:kinsoku/>
              <w:wordWrap/>
              <w:overflowPunct/>
              <w:topLinePunct w:val="0"/>
              <w:bidi w:val="0"/>
              <w:adjustRightInd/>
              <w:snapToGrid/>
              <w:spacing w:line="360" w:lineRule="auto"/>
              <w:ind w:firstLine="481" w:firstLineChars="200"/>
              <w:jc w:val="left"/>
              <w:textAlignment w:val="auto"/>
              <w:rPr>
                <w:rFonts w:hint="eastAsia"/>
                <w:color w:val="auto"/>
                <w:sz w:val="24"/>
                <w:szCs w:val="24"/>
                <w:lang w:eastAsia="zh-CN"/>
              </w:rPr>
            </w:pPr>
            <w:r>
              <w:rPr>
                <w:rFonts w:hint="eastAsia"/>
                <w:b/>
                <w:bCs/>
                <w:color w:val="auto"/>
                <w:sz w:val="24"/>
                <w:szCs w:val="24"/>
                <w:lang w:eastAsia="zh-CN"/>
              </w:rPr>
              <w:t>低扰动施工：</w:t>
            </w:r>
            <w:r>
              <w:rPr>
                <w:rFonts w:hint="eastAsia"/>
                <w:color w:val="auto"/>
                <w:sz w:val="24"/>
                <w:szCs w:val="24"/>
                <w:lang w:eastAsia="zh-CN"/>
              </w:rPr>
              <w:t>采用生态施工法，最大限度保持原始地貌和植被，以</w:t>
            </w:r>
            <w:r>
              <w:rPr>
                <w:rFonts w:hint="eastAsia"/>
                <w:color w:val="auto"/>
                <w:sz w:val="24"/>
                <w:szCs w:val="24"/>
                <w:lang w:val="en-US" w:eastAsia="zh-CN"/>
              </w:rPr>
              <w:t>当地山体石材颜色</w:t>
            </w:r>
            <w:r>
              <w:rPr>
                <w:rFonts w:hint="eastAsia"/>
                <w:color w:val="auto"/>
                <w:sz w:val="24"/>
                <w:szCs w:val="24"/>
                <w:lang w:eastAsia="zh-CN"/>
              </w:rPr>
              <w:t>路面为主，</w:t>
            </w:r>
            <w:r>
              <w:rPr>
                <w:rFonts w:hint="eastAsia"/>
                <w:color w:val="auto"/>
                <w:sz w:val="24"/>
                <w:szCs w:val="24"/>
                <w:lang w:val="en-US" w:eastAsia="zh-CN"/>
              </w:rPr>
              <w:t>与环境相融，</w:t>
            </w:r>
            <w:r>
              <w:rPr>
                <w:rFonts w:hint="eastAsia"/>
                <w:color w:val="auto"/>
                <w:sz w:val="24"/>
                <w:szCs w:val="24"/>
                <w:lang w:eastAsia="zh-CN"/>
              </w:rPr>
              <w:t>减少人工设施痕迹。</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left"/>
              <w:textAlignment w:val="auto"/>
              <w:rPr>
                <w:rFonts w:hint="eastAsia"/>
                <w:color w:val="auto"/>
                <w:sz w:val="24"/>
                <w:szCs w:val="24"/>
                <w:lang w:eastAsia="zh-CN"/>
              </w:rPr>
            </w:pPr>
            <w:r>
              <w:rPr>
                <w:rFonts w:hint="eastAsia"/>
                <w:b/>
                <w:bCs/>
                <w:color w:val="auto"/>
                <w:sz w:val="24"/>
                <w:szCs w:val="24"/>
                <w:lang w:eastAsia="zh-CN"/>
              </w:rPr>
              <w:t>就地取材原则：</w:t>
            </w:r>
            <w:r>
              <w:rPr>
                <w:rFonts w:hint="eastAsia"/>
                <w:color w:val="auto"/>
                <w:sz w:val="24"/>
                <w:szCs w:val="24"/>
                <w:lang w:eastAsia="zh-CN"/>
              </w:rPr>
              <w:t>充分利用施工现场的地形与原有素材，如原地土石道、砾石道、木栈道等，砾石厚度一般不超过15厘米，既降低成本又融入自然。</w:t>
            </w:r>
          </w:p>
          <w:p>
            <w:pPr>
              <w:keepNext w:val="0"/>
              <w:keepLines w:val="0"/>
              <w:pageBreakBefore w:val="0"/>
              <w:widowControl w:val="0"/>
              <w:kinsoku/>
              <w:wordWrap/>
              <w:overflowPunct/>
              <w:topLinePunct w:val="0"/>
              <w:bidi w:val="0"/>
              <w:adjustRightInd/>
              <w:snapToGrid/>
              <w:spacing w:line="360" w:lineRule="auto"/>
              <w:ind w:firstLine="481" w:firstLineChars="200"/>
              <w:jc w:val="left"/>
              <w:textAlignment w:val="auto"/>
              <w:rPr>
                <w:rFonts w:hint="eastAsia"/>
                <w:color w:val="auto"/>
                <w:sz w:val="24"/>
                <w:szCs w:val="24"/>
                <w:lang w:eastAsia="zh-CN"/>
              </w:rPr>
            </w:pPr>
            <w:r>
              <w:rPr>
                <w:rFonts w:hint="eastAsia"/>
                <w:b/>
                <w:bCs/>
                <w:color w:val="auto"/>
                <w:sz w:val="24"/>
                <w:szCs w:val="24"/>
                <w:lang w:eastAsia="zh-CN"/>
              </w:rPr>
              <w:t>坡度严格控制：</w:t>
            </w:r>
            <w:r>
              <w:rPr>
                <w:rFonts w:hint="eastAsia"/>
                <w:color w:val="auto"/>
                <w:sz w:val="24"/>
                <w:szCs w:val="24"/>
                <w:lang w:eastAsia="zh-CN"/>
              </w:rPr>
              <w:t>单位距离（500米）内平均坡度以15°左右为宜，极限不超过25°；超过25°的路段必须设置台阶，确保行走舒适性与安全性。</w:t>
            </w:r>
          </w:p>
          <w:p>
            <w:pPr>
              <w:spacing w:line="360" w:lineRule="auto"/>
              <w:ind w:firstLine="480"/>
              <w:jc w:val="left"/>
              <w:rPr>
                <w:rFonts w:hint="eastAsia"/>
                <w:color w:val="auto"/>
                <w:sz w:val="24"/>
                <w:szCs w:val="24"/>
                <w:lang w:eastAsia="zh-CN"/>
              </w:rPr>
            </w:pPr>
            <w:r>
              <w:rPr>
                <w:rFonts w:hint="eastAsia"/>
                <w:b/>
                <w:bCs/>
                <w:color w:val="auto"/>
                <w:sz w:val="24"/>
                <w:szCs w:val="24"/>
                <w:lang w:eastAsia="zh-CN"/>
              </w:rPr>
              <w:t>路面宽度科学：</w:t>
            </w:r>
            <w:r>
              <w:rPr>
                <w:rFonts w:hint="eastAsia"/>
                <w:color w:val="auto"/>
                <w:sz w:val="24"/>
                <w:szCs w:val="24"/>
                <w:lang w:eastAsia="zh-CN"/>
              </w:rPr>
              <w:t>主步道宽度60-150厘米，两侧各留不小于20厘米的缓冲带，缓冲带表面需有植被覆盖，防止行人踏空。</w:t>
            </w:r>
          </w:p>
          <w:p>
            <w:pPr>
              <w:spacing w:line="360" w:lineRule="auto"/>
              <w:ind w:firstLine="480"/>
              <w:jc w:val="left"/>
              <w:rPr>
                <w:rFonts w:hint="eastAsia"/>
                <w:color w:val="auto"/>
                <w:sz w:val="24"/>
                <w:szCs w:val="24"/>
                <w:lang w:eastAsia="zh-CN"/>
              </w:rPr>
            </w:pPr>
            <w:r>
              <w:rPr>
                <w:rFonts w:hint="eastAsia"/>
                <w:b/>
                <w:bCs/>
                <w:color w:val="auto"/>
                <w:sz w:val="24"/>
                <w:szCs w:val="24"/>
                <w:lang w:eastAsia="zh-CN"/>
              </w:rPr>
              <w:t>多级防护体系：</w:t>
            </w:r>
            <w:r>
              <w:rPr>
                <w:rFonts w:hint="eastAsia"/>
                <w:color w:val="auto"/>
                <w:sz w:val="24"/>
                <w:szCs w:val="24"/>
                <w:lang w:eastAsia="zh-CN"/>
              </w:rPr>
              <w:t>在陡峭、转弯、湿滑等危险地段必须设置防护栏、扶手、防滑垫等物理防护设施，并配合安全警示标志；防护栏设计需符合EN 14122-3等国际标准，确保护栏高度、载荷和挠度达标。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hAnsi="宋体"/>
                <w:color w:val="auto"/>
                <w:kern w:val="0"/>
                <w:sz w:val="24"/>
                <w:lang w:val="en-US" w:eastAsia="zh-CN"/>
              </w:rPr>
            </w:pPr>
            <w:r>
              <w:rPr>
                <w:rFonts w:hint="eastAsia" w:hAnsi="宋体"/>
                <w:color w:val="auto"/>
                <w:kern w:val="0"/>
                <w:sz w:val="24"/>
                <w:lang w:val="en-US" w:eastAsia="zh-CN"/>
              </w:rPr>
              <w:t>（3）</w:t>
            </w:r>
            <w:r>
              <w:rPr>
                <w:rFonts w:hint="eastAsia" w:hAnsi="Times New Roman"/>
                <w:color w:val="auto"/>
                <w:kern w:val="0"/>
                <w:sz w:val="24"/>
                <w:lang w:eastAsia="zh-CN"/>
              </w:rPr>
              <w:t>生态停车场</w:t>
            </w:r>
            <w:r>
              <w:rPr>
                <w:rFonts w:hint="eastAsia"/>
                <w:color w:val="auto"/>
                <w:kern w:val="0"/>
                <w:sz w:val="24"/>
                <w:lang w:eastAsia="zh-CN"/>
              </w:rPr>
              <w:t>、</w:t>
            </w:r>
            <w:r>
              <w:rPr>
                <w:rFonts w:hint="eastAsia" w:hAnsi="Times New Roman"/>
                <w:color w:val="auto"/>
                <w:kern w:val="0"/>
                <w:sz w:val="24"/>
                <w:lang w:eastAsia="zh-CN"/>
              </w:rPr>
              <w:t>休闲娱乐设施</w:t>
            </w:r>
          </w:p>
          <w:p>
            <w:pPr>
              <w:spacing w:line="360" w:lineRule="auto"/>
              <w:ind w:firstLine="480"/>
              <w:jc w:val="left"/>
              <w:rPr>
                <w:rFonts w:hint="eastAsia"/>
                <w:b w:val="0"/>
                <w:bCs w:val="0"/>
                <w:color w:val="auto"/>
                <w:sz w:val="24"/>
                <w:szCs w:val="24"/>
                <w:lang w:eastAsia="zh-CN"/>
              </w:rPr>
            </w:pPr>
            <w:r>
              <w:rPr>
                <w:rFonts w:hint="eastAsia"/>
                <w:b/>
                <w:bCs/>
                <w:color w:val="auto"/>
                <w:sz w:val="24"/>
                <w:szCs w:val="24"/>
                <w:lang w:eastAsia="zh-CN"/>
              </w:rPr>
              <w:t>因地制宜，低扰动工法：</w:t>
            </w:r>
            <w:r>
              <w:rPr>
                <w:rFonts w:hint="eastAsia"/>
                <w:b w:val="0"/>
                <w:bCs w:val="0"/>
                <w:color w:val="auto"/>
                <w:sz w:val="24"/>
                <w:szCs w:val="24"/>
                <w:lang w:eastAsia="zh-CN"/>
              </w:rPr>
              <w:t>规划设计要求“越少地破坏田园自然环境就是更多地保护生态”。</w:t>
            </w:r>
          </w:p>
          <w:p>
            <w:pPr>
              <w:spacing w:line="360" w:lineRule="auto"/>
              <w:ind w:firstLine="480"/>
              <w:jc w:val="left"/>
              <w:rPr>
                <w:rFonts w:hint="eastAsia"/>
                <w:b w:val="0"/>
                <w:bCs w:val="0"/>
                <w:color w:val="auto"/>
                <w:sz w:val="24"/>
                <w:szCs w:val="24"/>
                <w:lang w:eastAsia="zh-CN"/>
              </w:rPr>
            </w:pPr>
            <w:r>
              <w:rPr>
                <w:rFonts w:hint="eastAsia"/>
                <w:b/>
                <w:bCs/>
                <w:color w:val="auto"/>
                <w:sz w:val="24"/>
                <w:szCs w:val="24"/>
                <w:lang w:eastAsia="zh-CN"/>
              </w:rPr>
              <w:t>乡土材料优先：</w:t>
            </w:r>
            <w:r>
              <w:rPr>
                <w:rFonts w:hint="eastAsia"/>
                <w:b w:val="0"/>
                <w:bCs w:val="0"/>
                <w:color w:val="auto"/>
                <w:sz w:val="24"/>
                <w:szCs w:val="24"/>
                <w:lang w:eastAsia="zh-CN"/>
              </w:rPr>
              <w:t>鼓励使用本地石材、木材、竹材等原生材料，施工便道尽量采用土质、砾石等松软路面，避免过度硬化，确保“与乡村环境相协调”。</w:t>
            </w:r>
          </w:p>
          <w:p>
            <w:pPr>
              <w:spacing w:line="360" w:lineRule="auto"/>
              <w:ind w:firstLine="480"/>
              <w:jc w:val="left"/>
              <w:rPr>
                <w:rFonts w:hint="eastAsia"/>
                <w:b w:val="0"/>
                <w:bCs w:val="0"/>
                <w:color w:val="auto"/>
                <w:sz w:val="24"/>
                <w:szCs w:val="24"/>
                <w:lang w:eastAsia="zh-CN"/>
              </w:rPr>
            </w:pPr>
            <w:r>
              <w:rPr>
                <w:rFonts w:hint="eastAsia"/>
                <w:b/>
                <w:bCs/>
                <w:color w:val="auto"/>
                <w:sz w:val="24"/>
                <w:szCs w:val="24"/>
                <w:lang w:eastAsia="zh-CN"/>
              </w:rPr>
              <w:t>群众参与规划：</w:t>
            </w:r>
            <w:r>
              <w:rPr>
                <w:rFonts w:hint="eastAsia"/>
                <w:b w:val="0"/>
                <w:bCs w:val="0"/>
                <w:color w:val="auto"/>
                <w:sz w:val="24"/>
                <w:szCs w:val="24"/>
                <w:lang w:eastAsia="zh-CN"/>
              </w:rPr>
              <w:t>广项目“通过召开村民大会、走访农户、实地踩点等方式，广泛征求村民的意见和建议，并将其充分融入到规划方案设计当中”，施工前已获得村民拥护，减少后期阻力。</w:t>
            </w:r>
          </w:p>
          <w:p>
            <w:pPr>
              <w:spacing w:line="360" w:lineRule="auto"/>
              <w:ind w:firstLine="480"/>
              <w:jc w:val="left"/>
              <w:rPr>
                <w:rFonts w:hint="eastAsia"/>
                <w:color w:val="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pPr>
              <w:adjustRightInd w:val="0"/>
              <w:snapToGrid w:val="0"/>
              <w:jc w:val="center"/>
              <w:rPr>
                <w:color w:val="auto"/>
                <w:kern w:val="0"/>
                <w:sz w:val="24"/>
              </w:rPr>
            </w:pPr>
            <w:r>
              <w:rPr>
                <w:color w:val="auto"/>
                <w:kern w:val="0"/>
                <w:sz w:val="24"/>
              </w:rPr>
              <w:t>施工方案</w:t>
            </w:r>
          </w:p>
        </w:tc>
        <w:tc>
          <w:tcPr>
            <w:tcW w:w="88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b/>
                <w:bCs/>
                <w:color w:val="auto"/>
                <w:kern w:val="0"/>
                <w:sz w:val="28"/>
                <w:szCs w:val="28"/>
              </w:rPr>
            </w:pPr>
            <w:r>
              <w:rPr>
                <w:rFonts w:hint="eastAsia"/>
                <w:b/>
                <w:bCs/>
                <w:color w:val="auto"/>
                <w:kern w:val="0"/>
                <w:sz w:val="28"/>
                <w:szCs w:val="28"/>
                <w:lang w:val="en-US" w:eastAsia="zh-CN"/>
              </w:rPr>
              <w:t>1、</w:t>
            </w:r>
            <w:r>
              <w:rPr>
                <w:b/>
                <w:bCs/>
                <w:color w:val="auto"/>
                <w:kern w:val="0"/>
                <w:sz w:val="28"/>
                <w:szCs w:val="28"/>
              </w:rPr>
              <w:t>施工工艺</w:t>
            </w:r>
          </w:p>
          <w:p>
            <w:pPr>
              <w:autoSpaceDE w:val="0"/>
              <w:autoSpaceDN w:val="0"/>
              <w:adjustRightInd w:val="0"/>
              <w:spacing w:line="360" w:lineRule="auto"/>
              <w:ind w:firstLine="481" w:firstLineChars="200"/>
              <w:jc w:val="left"/>
              <w:rPr>
                <w:rFonts w:hint="eastAsia" w:hAnsi="宋体"/>
                <w:b/>
                <w:bCs/>
                <w:color w:val="auto"/>
                <w:kern w:val="0"/>
                <w:sz w:val="24"/>
              </w:rPr>
            </w:pPr>
            <w:r>
              <w:rPr>
                <w:rFonts w:hint="eastAsia" w:hAnsi="宋体"/>
                <w:b/>
                <w:bCs/>
                <w:color w:val="auto"/>
                <w:kern w:val="0"/>
                <w:sz w:val="24"/>
              </w:rPr>
              <w:t>施工工艺简述：</w:t>
            </w:r>
          </w:p>
          <w:p>
            <w:pPr>
              <w:autoSpaceDE w:val="0"/>
              <w:autoSpaceDN w:val="0"/>
              <w:adjustRightInd w:val="0"/>
              <w:spacing w:line="360" w:lineRule="auto"/>
              <w:ind w:firstLine="480" w:firstLineChars="200"/>
              <w:jc w:val="left"/>
              <w:rPr>
                <w:rFonts w:hint="default" w:hAnsi="宋体"/>
                <w:color w:val="auto"/>
                <w:kern w:val="0"/>
                <w:sz w:val="24"/>
                <w:lang w:val="en-US" w:eastAsia="zh-CN"/>
              </w:rPr>
            </w:pPr>
            <w:r>
              <w:rPr>
                <w:rFonts w:hint="eastAsia" w:hAnsi="宋体"/>
                <w:color w:val="auto"/>
                <w:kern w:val="0"/>
                <w:sz w:val="24"/>
                <w:lang w:val="en-US" w:eastAsia="zh-CN"/>
              </w:rPr>
              <w:t>（1）基础开挖：游客接待中心进行基础开挖，浇筑基础，开挖的土石方进行回填及产地平整。</w:t>
            </w:r>
          </w:p>
          <w:p>
            <w:pPr>
              <w:autoSpaceDE w:val="0"/>
              <w:autoSpaceDN w:val="0"/>
              <w:adjustRightInd w:val="0"/>
              <w:spacing w:line="360" w:lineRule="auto"/>
              <w:ind w:firstLine="480" w:firstLineChars="200"/>
              <w:jc w:val="left"/>
              <w:rPr>
                <w:rFonts w:hint="eastAsia" w:hAnsi="宋体"/>
                <w:color w:val="auto"/>
                <w:kern w:val="0"/>
                <w:sz w:val="24"/>
                <w:lang w:val="en-US" w:eastAsia="zh-CN"/>
              </w:rPr>
            </w:pPr>
            <w:r>
              <w:rPr>
                <w:rFonts w:hint="eastAsia" w:hAnsi="宋体"/>
                <w:color w:val="auto"/>
                <w:kern w:val="0"/>
                <w:sz w:val="24"/>
                <w:lang w:val="en-US" w:eastAsia="zh-CN"/>
              </w:rPr>
              <w:t>（2）主体建筑物建设：游客接待中心、</w:t>
            </w:r>
            <w:r>
              <w:rPr>
                <w:rFonts w:hint="eastAsia" w:hAnsi="宋体"/>
                <w:color w:val="auto"/>
                <w:kern w:val="0"/>
                <w:sz w:val="24"/>
              </w:rPr>
              <w:t>步道</w:t>
            </w:r>
            <w:r>
              <w:rPr>
                <w:rFonts w:hint="eastAsia" w:hAnsi="宋体"/>
                <w:color w:val="auto"/>
                <w:kern w:val="0"/>
                <w:sz w:val="24"/>
                <w:lang w:val="en-US" w:eastAsia="zh-CN"/>
              </w:rPr>
              <w:t>、</w:t>
            </w:r>
            <w:r>
              <w:rPr>
                <w:rFonts w:hint="eastAsia" w:hAnsi="宋体"/>
                <w:color w:val="auto"/>
                <w:kern w:val="0"/>
                <w:sz w:val="24"/>
              </w:rPr>
              <w:t>污水</w:t>
            </w:r>
            <w:r>
              <w:rPr>
                <w:rFonts w:hint="eastAsia" w:hAnsi="宋体"/>
                <w:color w:val="auto"/>
                <w:kern w:val="0"/>
                <w:sz w:val="24"/>
                <w:lang w:val="en-US" w:eastAsia="zh-CN"/>
              </w:rPr>
              <w:t>收集管网、</w:t>
            </w:r>
            <w:r>
              <w:rPr>
                <w:rFonts w:hint="eastAsia" w:hAnsi="宋体"/>
                <w:color w:val="auto"/>
                <w:kern w:val="0"/>
                <w:sz w:val="24"/>
              </w:rPr>
              <w:t>普沙河田园综合体</w:t>
            </w:r>
            <w:r>
              <w:rPr>
                <w:rFonts w:hint="eastAsia" w:hAnsi="宋体"/>
                <w:color w:val="auto"/>
                <w:kern w:val="0"/>
                <w:sz w:val="24"/>
                <w:lang w:val="en-US" w:eastAsia="zh-CN"/>
              </w:rPr>
              <w:t>主体进行建设。</w:t>
            </w:r>
          </w:p>
          <w:p>
            <w:pPr>
              <w:autoSpaceDE w:val="0"/>
              <w:autoSpaceDN w:val="0"/>
              <w:adjustRightInd w:val="0"/>
              <w:spacing w:line="360" w:lineRule="auto"/>
              <w:ind w:firstLine="480" w:firstLineChars="200"/>
              <w:jc w:val="left"/>
              <w:rPr>
                <w:rFonts w:hint="default" w:hAnsi="宋体"/>
                <w:color w:val="auto"/>
                <w:kern w:val="0"/>
                <w:sz w:val="24"/>
                <w:lang w:val="en-US" w:eastAsia="zh-CN"/>
              </w:rPr>
            </w:pPr>
            <w:r>
              <w:rPr>
                <w:rFonts w:hint="eastAsia" w:hAnsi="宋体"/>
                <w:color w:val="auto"/>
                <w:kern w:val="0"/>
                <w:sz w:val="24"/>
                <w:lang w:val="en-US" w:eastAsia="zh-CN"/>
              </w:rPr>
              <w:t>（3）装修：对游客接待中装修工程，包括外部及内部配饰。并再给区域安装警示牌、宣传牌、路标、环保标识。</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2、施工组织</w:t>
            </w:r>
          </w:p>
          <w:p>
            <w:pPr>
              <w:autoSpaceDE w:val="0"/>
              <w:autoSpaceDN w:val="0"/>
              <w:adjustRightInd w:val="0"/>
              <w:spacing w:line="360" w:lineRule="auto"/>
              <w:ind w:firstLine="480" w:firstLineChars="200"/>
              <w:jc w:val="left"/>
              <w:rPr>
                <w:rFonts w:hint="eastAsia" w:hAnsi="宋体"/>
                <w:color w:val="auto"/>
                <w:sz w:val="24"/>
              </w:rPr>
            </w:pPr>
            <w:r>
              <w:rPr>
                <w:rFonts w:hint="eastAsia" w:hAnsi="宋体"/>
                <w:color w:val="auto"/>
                <w:sz w:val="24"/>
              </w:rPr>
              <w:t>（1）交通条件</w:t>
            </w:r>
          </w:p>
          <w:p>
            <w:pPr>
              <w:autoSpaceDE w:val="0"/>
              <w:autoSpaceDN w:val="0"/>
              <w:adjustRightInd w:val="0"/>
              <w:spacing w:line="360" w:lineRule="auto"/>
              <w:ind w:firstLine="480" w:firstLineChars="200"/>
              <w:jc w:val="left"/>
              <w:rPr>
                <w:rFonts w:hint="eastAsia" w:hAnsi="宋体"/>
                <w:color w:val="auto"/>
                <w:sz w:val="24"/>
              </w:rPr>
            </w:pPr>
            <w:r>
              <w:rPr>
                <w:rFonts w:hint="eastAsia" w:hAnsi="宋体"/>
                <w:color w:val="auto"/>
                <w:sz w:val="24"/>
              </w:rPr>
              <w:t>项目场址位于云南省</w:t>
            </w:r>
            <w:r>
              <w:rPr>
                <w:rFonts w:hint="eastAsia" w:hAnsi="宋体"/>
                <w:color w:val="auto"/>
                <w:sz w:val="24"/>
                <w:lang w:val="en-US" w:eastAsia="zh-CN"/>
              </w:rPr>
              <w:t>嵩明县山脚社区</w:t>
            </w:r>
            <w:r>
              <w:rPr>
                <w:rFonts w:hint="eastAsia" w:hAnsi="宋体"/>
                <w:color w:val="auto"/>
                <w:sz w:val="24"/>
              </w:rPr>
              <w:t>，场址附近交通十分方便，道路可满足大型设备的运输要求。</w:t>
            </w:r>
          </w:p>
          <w:p>
            <w:pPr>
              <w:autoSpaceDE w:val="0"/>
              <w:autoSpaceDN w:val="0"/>
              <w:adjustRightInd w:val="0"/>
              <w:spacing w:line="360" w:lineRule="auto"/>
              <w:ind w:firstLine="480" w:firstLineChars="200"/>
              <w:jc w:val="left"/>
              <w:rPr>
                <w:rFonts w:hint="eastAsia" w:hAnsi="宋体"/>
                <w:color w:val="auto"/>
                <w:sz w:val="24"/>
              </w:rPr>
            </w:pPr>
            <w:r>
              <w:rPr>
                <w:rFonts w:hint="eastAsia" w:hAnsi="宋体"/>
                <w:color w:val="auto"/>
                <w:sz w:val="24"/>
              </w:rPr>
              <w:t>（2）地形地势</w:t>
            </w:r>
          </w:p>
          <w:p>
            <w:pPr>
              <w:autoSpaceDE w:val="0"/>
              <w:autoSpaceDN w:val="0"/>
              <w:adjustRightInd w:val="0"/>
              <w:spacing w:line="360" w:lineRule="auto"/>
              <w:ind w:firstLine="480" w:firstLineChars="200"/>
              <w:jc w:val="left"/>
              <w:rPr>
                <w:rFonts w:hint="eastAsia" w:hAnsi="宋体"/>
                <w:color w:val="auto"/>
                <w:sz w:val="24"/>
              </w:rPr>
            </w:pPr>
            <w:r>
              <w:rPr>
                <w:rFonts w:hint="eastAsia" w:hAnsi="宋体"/>
                <w:color w:val="auto"/>
                <w:sz w:val="24"/>
              </w:rPr>
              <w:t>本工程场址区，地形较为开阔</w:t>
            </w:r>
            <w:r>
              <w:rPr>
                <w:rFonts w:hint="eastAsia" w:hAnsi="宋体"/>
                <w:color w:val="auto"/>
                <w:sz w:val="24"/>
                <w:lang w:eastAsia="zh-CN"/>
              </w:rPr>
              <w:t>，</w:t>
            </w:r>
            <w:r>
              <w:rPr>
                <w:rFonts w:hint="eastAsia" w:hAnsi="宋体"/>
                <w:color w:val="auto"/>
                <w:sz w:val="24"/>
              </w:rPr>
              <w:t>无遮挡，故施工场地条件较好。</w:t>
            </w:r>
          </w:p>
          <w:p>
            <w:pPr>
              <w:autoSpaceDE w:val="0"/>
              <w:autoSpaceDN w:val="0"/>
              <w:adjustRightInd w:val="0"/>
              <w:spacing w:line="360" w:lineRule="auto"/>
              <w:ind w:firstLine="480" w:firstLineChars="200"/>
              <w:jc w:val="left"/>
              <w:rPr>
                <w:rFonts w:hint="eastAsia" w:ascii="Times New Roman" w:hAnsi="宋体" w:eastAsia="宋体" w:cs="Times New Roman"/>
                <w:color w:val="auto"/>
                <w:sz w:val="24"/>
              </w:rPr>
            </w:pPr>
            <w:r>
              <w:rPr>
                <w:rFonts w:hint="eastAsia" w:hAnsi="宋体"/>
                <w:color w:val="auto"/>
                <w:sz w:val="24"/>
              </w:rPr>
              <w:t>（</w:t>
            </w:r>
            <w:r>
              <w:rPr>
                <w:rFonts w:hint="eastAsia" w:ascii="Times New Roman" w:hAnsi="宋体" w:eastAsia="宋体" w:cs="Times New Roman"/>
                <w:color w:val="auto"/>
                <w:sz w:val="24"/>
                <w:lang w:val="en-US" w:eastAsia="zh-CN"/>
              </w:rPr>
              <w:t>3</w:t>
            </w:r>
            <w:r>
              <w:rPr>
                <w:rFonts w:hint="eastAsia" w:ascii="Times New Roman" w:hAnsi="宋体" w:eastAsia="宋体" w:cs="Times New Roman"/>
                <w:color w:val="auto"/>
                <w:sz w:val="24"/>
              </w:rPr>
              <w:t>）施工建筑材料来源</w:t>
            </w:r>
          </w:p>
          <w:p>
            <w:pPr>
              <w:autoSpaceDE w:val="0"/>
              <w:autoSpaceDN w:val="0"/>
              <w:adjustRightInd w:val="0"/>
              <w:spacing w:line="360" w:lineRule="auto"/>
              <w:ind w:firstLine="480" w:firstLineChars="200"/>
              <w:jc w:val="left"/>
              <w:rPr>
                <w:rFonts w:hint="eastAsia" w:ascii="Times New Roman" w:hAnsi="宋体" w:eastAsia="宋体" w:cs="Times New Roman"/>
                <w:color w:val="auto"/>
                <w:sz w:val="24"/>
              </w:rPr>
            </w:pPr>
            <w:r>
              <w:rPr>
                <w:rFonts w:hint="eastAsia" w:ascii="Times New Roman" w:hAnsi="宋体" w:eastAsia="宋体" w:cs="Times New Roman"/>
                <w:color w:val="auto"/>
                <w:sz w:val="24"/>
              </w:rPr>
              <w:t>工程施工所需砂石料、木材、钢筋、钢材、水泥等从</w:t>
            </w:r>
            <w:r>
              <w:rPr>
                <w:rFonts w:hint="eastAsia" w:ascii="Times New Roman" w:hAnsi="宋体" w:eastAsia="宋体" w:cs="Times New Roman"/>
                <w:color w:val="auto"/>
                <w:sz w:val="24"/>
                <w:lang w:val="en-US" w:eastAsia="zh-CN"/>
              </w:rPr>
              <w:t>海口街道</w:t>
            </w:r>
            <w:r>
              <w:rPr>
                <w:rFonts w:hint="eastAsia" w:ascii="Times New Roman" w:hAnsi="宋体" w:eastAsia="宋体" w:cs="Times New Roman"/>
                <w:color w:val="auto"/>
                <w:sz w:val="24"/>
              </w:rPr>
              <w:t>采购，由汽车</w:t>
            </w:r>
            <w:r>
              <w:rPr>
                <w:rFonts w:hint="eastAsia" w:ascii="Times New Roman" w:hAnsi="宋体" w:eastAsia="宋体" w:cs="Times New Roman"/>
                <w:color w:val="auto"/>
                <w:sz w:val="24"/>
                <w:lang w:val="en-US" w:eastAsia="zh-CN"/>
              </w:rPr>
              <w:t>运至现场。</w:t>
            </w:r>
          </w:p>
          <w:p>
            <w:pPr>
              <w:autoSpaceDE w:val="0"/>
              <w:autoSpaceDN w:val="0"/>
              <w:adjustRightInd w:val="0"/>
              <w:spacing w:line="360" w:lineRule="auto"/>
              <w:ind w:firstLine="480" w:firstLineChars="200"/>
              <w:jc w:val="left"/>
              <w:rPr>
                <w:rFonts w:hint="eastAsia" w:ascii="Times New Roman" w:hAnsi="宋体" w:eastAsia="宋体" w:cs="Times New Roman"/>
                <w:color w:val="auto"/>
                <w:sz w:val="24"/>
              </w:rPr>
            </w:pPr>
            <w:r>
              <w:rPr>
                <w:rFonts w:hint="eastAsia" w:ascii="Times New Roman" w:hAnsi="宋体" w:eastAsia="宋体" w:cs="Times New Roman"/>
                <w:color w:val="auto"/>
                <w:sz w:val="24"/>
              </w:rPr>
              <w:t>（</w:t>
            </w:r>
            <w:r>
              <w:rPr>
                <w:rFonts w:hint="eastAsia" w:ascii="Times New Roman" w:hAnsi="宋体" w:eastAsia="宋体" w:cs="Times New Roman"/>
                <w:color w:val="auto"/>
                <w:sz w:val="24"/>
                <w:lang w:val="en-US" w:eastAsia="zh-CN"/>
              </w:rPr>
              <w:t>4</w:t>
            </w:r>
            <w:r>
              <w:rPr>
                <w:rFonts w:hint="eastAsia" w:ascii="Times New Roman" w:hAnsi="宋体" w:eastAsia="宋体" w:cs="Times New Roman"/>
                <w:color w:val="auto"/>
                <w:sz w:val="24"/>
              </w:rPr>
              <w:t>）施工用水</w:t>
            </w:r>
          </w:p>
          <w:p>
            <w:pPr>
              <w:autoSpaceDE w:val="0"/>
              <w:autoSpaceDN w:val="0"/>
              <w:adjustRightInd w:val="0"/>
              <w:spacing w:line="360" w:lineRule="auto"/>
              <w:ind w:firstLine="480" w:firstLineChars="200"/>
              <w:jc w:val="left"/>
              <w:rPr>
                <w:rFonts w:hint="eastAsia" w:ascii="Times New Roman" w:hAnsi="宋体" w:eastAsia="宋体" w:cs="Times New Roman"/>
                <w:color w:val="auto"/>
                <w:sz w:val="24"/>
              </w:rPr>
            </w:pPr>
            <w:r>
              <w:rPr>
                <w:rFonts w:hint="eastAsia" w:ascii="Times New Roman" w:hAnsi="宋体" w:eastAsia="宋体" w:cs="Times New Roman"/>
                <w:color w:val="auto"/>
                <w:sz w:val="24"/>
              </w:rPr>
              <w:t>本工程施工用水由建筑施工用水、施工机械用水</w:t>
            </w:r>
            <w:r>
              <w:rPr>
                <w:rFonts w:hint="eastAsia" w:ascii="Times New Roman" w:hAnsi="宋体" w:eastAsia="宋体" w:cs="Times New Roman"/>
                <w:color w:val="auto"/>
                <w:sz w:val="24"/>
                <w:lang w:val="en-US" w:eastAsia="zh-CN"/>
              </w:rPr>
              <w:t>和</w:t>
            </w:r>
            <w:r>
              <w:rPr>
                <w:rFonts w:hint="eastAsia" w:ascii="Times New Roman" w:hAnsi="宋体" w:eastAsia="宋体" w:cs="Times New Roman"/>
                <w:color w:val="auto"/>
                <w:sz w:val="24"/>
              </w:rPr>
              <w:t>生活用水等组成</w:t>
            </w:r>
            <w:r>
              <w:rPr>
                <w:rFonts w:hint="eastAsia" w:ascii="Times New Roman" w:hAnsi="宋体" w:eastAsia="宋体" w:cs="Times New Roman"/>
                <w:color w:val="auto"/>
                <w:sz w:val="24"/>
                <w:lang w:eastAsia="zh-CN"/>
              </w:rPr>
              <w:t>，</w:t>
            </w:r>
            <w:r>
              <w:rPr>
                <w:rFonts w:hint="eastAsia" w:ascii="Times New Roman" w:hAnsi="宋体" w:eastAsia="宋体" w:cs="Times New Roman"/>
                <w:color w:val="auto"/>
                <w:sz w:val="24"/>
              </w:rPr>
              <w:t>运行期间生产用水从场区附近村庄自来水管网取水，直饮水采用桶装矿泉水。</w:t>
            </w:r>
          </w:p>
          <w:p>
            <w:pPr>
              <w:autoSpaceDE w:val="0"/>
              <w:autoSpaceDN w:val="0"/>
              <w:adjustRightInd w:val="0"/>
              <w:spacing w:line="360" w:lineRule="auto"/>
              <w:ind w:firstLine="480" w:firstLineChars="200"/>
              <w:jc w:val="left"/>
              <w:rPr>
                <w:rFonts w:hint="eastAsia" w:ascii="Times New Roman" w:hAnsi="宋体" w:eastAsia="宋体" w:cs="Times New Roman"/>
                <w:color w:val="auto"/>
                <w:sz w:val="24"/>
              </w:rPr>
            </w:pPr>
            <w:r>
              <w:rPr>
                <w:rFonts w:hint="eastAsia" w:ascii="Times New Roman" w:hAnsi="宋体" w:eastAsia="宋体" w:cs="Times New Roman"/>
                <w:color w:val="auto"/>
                <w:sz w:val="24"/>
              </w:rPr>
              <w:t>（</w:t>
            </w:r>
            <w:r>
              <w:rPr>
                <w:rFonts w:hint="eastAsia" w:ascii="Times New Roman" w:hAnsi="宋体" w:eastAsia="宋体" w:cs="Times New Roman"/>
                <w:color w:val="auto"/>
                <w:sz w:val="24"/>
                <w:lang w:val="en-US" w:eastAsia="zh-CN"/>
              </w:rPr>
              <w:t>5</w:t>
            </w:r>
            <w:r>
              <w:rPr>
                <w:rFonts w:hint="eastAsia" w:ascii="Times New Roman" w:hAnsi="宋体" w:eastAsia="宋体" w:cs="Times New Roman"/>
                <w:color w:val="auto"/>
                <w:sz w:val="24"/>
              </w:rPr>
              <w:t>）施工用电及通讯</w:t>
            </w:r>
          </w:p>
          <w:p>
            <w:pPr>
              <w:autoSpaceDE w:val="0"/>
              <w:autoSpaceDN w:val="0"/>
              <w:adjustRightInd w:val="0"/>
              <w:spacing w:line="360" w:lineRule="auto"/>
              <w:ind w:firstLine="480" w:firstLineChars="200"/>
              <w:jc w:val="left"/>
              <w:rPr>
                <w:rFonts w:hint="eastAsia" w:ascii="Times New Roman" w:hAnsi="宋体" w:eastAsia="宋体" w:cs="Times New Roman"/>
                <w:color w:val="auto"/>
                <w:sz w:val="24"/>
              </w:rPr>
            </w:pPr>
            <w:r>
              <w:rPr>
                <w:rFonts w:hint="eastAsia" w:ascii="Times New Roman" w:hAnsi="宋体" w:eastAsia="宋体" w:cs="Times New Roman"/>
                <w:color w:val="auto"/>
                <w:sz w:val="24"/>
                <w:lang w:val="en-US" w:eastAsia="zh-CN"/>
              </w:rPr>
              <w:t>使用山脚社区的供电及通讯系统，能满足项目的需求。</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3、施工时序及建设周期</w:t>
            </w:r>
          </w:p>
          <w:p>
            <w:pPr>
              <w:adjustRightInd w:val="0"/>
              <w:snapToGrid w:val="0"/>
              <w:spacing w:line="360" w:lineRule="auto"/>
              <w:ind w:firstLine="480" w:firstLineChars="200"/>
              <w:rPr>
                <w:rFonts w:hint="eastAsia"/>
                <w:color w:val="auto"/>
                <w:kern w:val="0"/>
                <w:sz w:val="24"/>
              </w:rPr>
            </w:pPr>
            <w:r>
              <w:rPr>
                <w:rFonts w:hint="eastAsia"/>
                <w:color w:val="auto"/>
                <w:kern w:val="0"/>
                <w:sz w:val="24"/>
              </w:rPr>
              <w:t>本工程施工时序为：</w:t>
            </w:r>
          </w:p>
          <w:p>
            <w:pPr>
              <w:adjustRightInd w:val="0"/>
              <w:snapToGrid w:val="0"/>
              <w:spacing w:line="360" w:lineRule="auto"/>
              <w:ind w:firstLine="480" w:firstLineChars="200"/>
              <w:rPr>
                <w:rFonts w:hint="eastAsia"/>
                <w:color w:val="auto"/>
                <w:kern w:val="0"/>
                <w:sz w:val="24"/>
              </w:rPr>
            </w:pPr>
            <w:r>
              <w:rPr>
                <w:rFonts w:hint="eastAsia"/>
                <w:color w:val="auto"/>
                <w:kern w:val="0"/>
                <w:sz w:val="24"/>
              </w:rPr>
              <w:t>（1）基础施工；</w:t>
            </w:r>
          </w:p>
          <w:p>
            <w:pPr>
              <w:adjustRightInd w:val="0"/>
              <w:snapToGrid w:val="0"/>
              <w:spacing w:line="360" w:lineRule="auto"/>
              <w:ind w:firstLine="480" w:firstLineChars="200"/>
              <w:rPr>
                <w:rFonts w:hint="eastAsia"/>
                <w:color w:val="auto"/>
                <w:kern w:val="0"/>
                <w:sz w:val="24"/>
              </w:rPr>
            </w:pPr>
            <w:r>
              <w:rPr>
                <w:rFonts w:hint="eastAsia"/>
                <w:color w:val="auto"/>
                <w:kern w:val="0"/>
                <w:sz w:val="24"/>
              </w:rPr>
              <w:t>（2）</w:t>
            </w:r>
            <w:r>
              <w:rPr>
                <w:rFonts w:hint="eastAsia"/>
                <w:color w:val="auto"/>
                <w:kern w:val="0"/>
                <w:sz w:val="24"/>
                <w:lang w:val="en-US" w:eastAsia="zh-CN"/>
              </w:rPr>
              <w:t>主体施工</w:t>
            </w:r>
            <w:r>
              <w:rPr>
                <w:rFonts w:hint="eastAsia"/>
                <w:color w:val="auto"/>
                <w:kern w:val="0"/>
                <w:sz w:val="24"/>
              </w:rPr>
              <w:t>；</w:t>
            </w:r>
          </w:p>
          <w:p>
            <w:pPr>
              <w:adjustRightInd w:val="0"/>
              <w:snapToGrid w:val="0"/>
              <w:spacing w:line="360" w:lineRule="auto"/>
              <w:ind w:firstLine="480" w:firstLineChars="200"/>
              <w:rPr>
                <w:rFonts w:hint="eastAsia"/>
                <w:color w:val="auto"/>
                <w:kern w:val="0"/>
                <w:sz w:val="24"/>
                <w:lang w:eastAsia="zh-CN"/>
              </w:rPr>
            </w:pPr>
            <w:r>
              <w:rPr>
                <w:rFonts w:hint="eastAsia"/>
                <w:color w:val="auto"/>
                <w:kern w:val="0"/>
                <w:sz w:val="24"/>
              </w:rPr>
              <w:t>（3）</w:t>
            </w:r>
            <w:r>
              <w:rPr>
                <w:rFonts w:hint="eastAsia"/>
                <w:color w:val="auto"/>
                <w:kern w:val="0"/>
                <w:sz w:val="24"/>
                <w:lang w:val="en-US" w:eastAsia="zh-CN"/>
              </w:rPr>
              <w:t>装修</w:t>
            </w:r>
            <w:r>
              <w:rPr>
                <w:rFonts w:hint="eastAsia"/>
                <w:color w:val="auto"/>
                <w:kern w:val="0"/>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4、施工进度</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1</w:t>
            </w:r>
            <w:r>
              <w:rPr>
                <w:rFonts w:hint="eastAsia" w:ascii="Times New Roman" w:hAnsi="Times New Roman" w:eastAsia="宋体" w:cs="Times New Roman"/>
                <w:color w:val="auto"/>
                <w:kern w:val="0"/>
                <w:sz w:val="24"/>
                <w:lang w:val="en-US" w:eastAsia="zh-CN"/>
              </w:rPr>
              <w:t>）施工进度安排</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 xml:space="preserve">工程计划于 </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lang w:val="en-US" w:eastAsia="zh-CN"/>
              </w:rPr>
              <w:t xml:space="preserve"> </w:t>
            </w:r>
            <w:r>
              <w:rPr>
                <w:rFonts w:hint="eastAsia" w:ascii="Times New Roman" w:hAnsi="Times New Roman" w:eastAsia="宋体" w:cs="Times New Roman"/>
                <w:color w:val="auto"/>
                <w:kern w:val="0"/>
                <w:sz w:val="24"/>
                <w:lang w:val="en-US" w:eastAsia="zh-CN"/>
              </w:rPr>
              <w:t>年7月开工实施，</w:t>
            </w:r>
            <w:r>
              <w:rPr>
                <w:rFonts w:hint="default" w:ascii="Times New Roman" w:hAnsi="Times New Roman" w:eastAsia="宋体" w:cs="Times New Roman"/>
                <w:color w:val="auto"/>
                <w:kern w:val="0"/>
                <w:sz w:val="24"/>
                <w:lang w:val="en-US" w:eastAsia="zh-CN"/>
              </w:rPr>
              <w:t>202</w:t>
            </w:r>
            <w:r>
              <w:rPr>
                <w:rFonts w:hint="eastAsia" w:ascii="Times New Roman" w:hAnsi="Times New Roman" w:eastAsia="宋体" w:cs="Times New Roman"/>
                <w:color w:val="auto"/>
                <w:kern w:val="0"/>
                <w:sz w:val="24"/>
                <w:lang w:val="en-US" w:eastAsia="zh-CN"/>
              </w:rPr>
              <w:t xml:space="preserve">5年12月竣工投产试运行。其中土建施工时间约为 </w:t>
            </w:r>
            <w:r>
              <w:rPr>
                <w:rFonts w:hint="default" w:ascii="Times New Roman" w:hAnsi="Times New Roman" w:eastAsia="宋体" w:cs="Times New Roman"/>
                <w:color w:val="auto"/>
                <w:kern w:val="0"/>
                <w:sz w:val="24"/>
                <w:lang w:val="en-US" w:eastAsia="zh-CN"/>
              </w:rPr>
              <w:t xml:space="preserve">6 </w:t>
            </w:r>
            <w:r>
              <w:rPr>
                <w:rFonts w:hint="eastAsia" w:ascii="Times New Roman" w:hAnsi="Times New Roman" w:eastAsia="宋体" w:cs="Times New Roman"/>
                <w:color w:val="auto"/>
                <w:kern w:val="0"/>
                <w:sz w:val="24"/>
                <w:lang w:val="en-US" w:eastAsia="zh-CN"/>
              </w:rPr>
              <w:t xml:space="preserve">个月。 </w:t>
            </w:r>
          </w:p>
          <w:p>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2</w:t>
            </w:r>
            <w:r>
              <w:rPr>
                <w:rFonts w:hint="eastAsia" w:ascii="Times New Roman" w:hAnsi="Times New Roman" w:eastAsia="宋体" w:cs="Times New Roman"/>
                <w:color w:val="auto"/>
                <w:kern w:val="0"/>
                <w:sz w:val="24"/>
                <w:lang w:val="en-US" w:eastAsia="zh-CN"/>
              </w:rPr>
              <w:t>）施工人员食宿安排</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本项目施工期设置1个施工营地，施工人员每天共约30人。</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（3）运营期工艺流程</w:t>
            </w:r>
          </w:p>
          <w:p>
            <w:pPr>
              <w:pStyle w:val="1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项目运营期主要是接待来公园的游客，具体的接待流程为：接待游客→游览引导→服务响应→离园反馈。</w:t>
            </w:r>
          </w:p>
          <w:p>
            <w:pPr>
              <w:pStyle w:val="14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运营期产生的污染物主要是游客产生的生活废水、人群噪声、生活垃圾，以及卫生间产生的恶臭。</w:t>
            </w:r>
          </w:p>
          <w:p>
            <w:pPr>
              <w:pStyle w:val="149"/>
              <w:rPr>
                <w:rFonts w:hint="default"/>
                <w:color w:val="auto"/>
                <w:lang w:val="en-US" w:eastAsia="zh-CN"/>
              </w:rPr>
            </w:pPr>
          </w:p>
          <w:p>
            <w:pPr>
              <w:pStyle w:val="149"/>
              <w:rPr>
                <w:rFonts w:hint="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2" w:hRule="atLeast"/>
          <w:jc w:val="center"/>
        </w:trPr>
        <w:tc>
          <w:tcPr>
            <w:tcW w:w="456" w:type="dxa"/>
            <w:noWrap w:val="0"/>
            <w:vAlign w:val="center"/>
          </w:tcPr>
          <w:p>
            <w:pPr>
              <w:adjustRightInd w:val="0"/>
              <w:snapToGrid w:val="0"/>
              <w:jc w:val="center"/>
              <w:rPr>
                <w:color w:val="auto"/>
                <w:kern w:val="0"/>
                <w:sz w:val="24"/>
              </w:rPr>
            </w:pPr>
            <w:r>
              <w:rPr>
                <w:color w:val="auto"/>
                <w:kern w:val="0"/>
                <w:sz w:val="24"/>
              </w:rPr>
              <w:t>其他</w:t>
            </w:r>
          </w:p>
        </w:tc>
        <w:tc>
          <w:tcPr>
            <w:tcW w:w="8856" w:type="dxa"/>
            <w:noWrap w:val="0"/>
            <w:vAlign w:val="center"/>
          </w:tcPr>
          <w:p>
            <w:pPr>
              <w:pStyle w:val="126"/>
              <w:rPr>
                <w:rFonts w:hint="default" w:eastAsia="宋体"/>
                <w:color w:val="auto"/>
                <w:lang w:val="en-US" w:eastAsia="zh-CN"/>
              </w:rPr>
            </w:pPr>
            <w:r>
              <w:rPr>
                <w:rFonts w:hint="eastAsia" w:eastAsia="宋体"/>
                <w:color w:val="auto"/>
                <w:lang w:val="en-US" w:eastAsia="zh-CN"/>
              </w:rPr>
              <w:t>无</w:t>
            </w:r>
          </w:p>
          <w:p>
            <w:pPr>
              <w:pStyle w:val="126"/>
              <w:rPr>
                <w:rFonts w:hint="eastAsia"/>
                <w:color w:val="auto"/>
              </w:rPr>
            </w:pPr>
          </w:p>
        </w:tc>
      </w:tr>
    </w:tbl>
    <w:p>
      <w:pPr>
        <w:pStyle w:val="82"/>
        <w:jc w:val="center"/>
        <w:outlineLvl w:val="0"/>
        <w:rPr>
          <w:rFonts w:ascii="Times New Roman" w:hAnsi="Times New Roman"/>
          <w:snapToGrid w:val="0"/>
          <w:color w:val="auto"/>
          <w:sz w:val="30"/>
          <w:szCs w:val="30"/>
        </w:rPr>
      </w:pPr>
      <w:r>
        <w:rPr>
          <w:rFonts w:ascii="Times New Roman" w:hAnsi="Times New Roman"/>
          <w:b/>
          <w:bCs/>
          <w:color w:val="auto"/>
        </w:rPr>
        <w:br w:type="page"/>
      </w:r>
      <w:bookmarkStart w:id="10" w:name="_Toc83158210"/>
      <w:bookmarkStart w:id="11" w:name="_Toc83158375"/>
      <w:r>
        <w:rPr>
          <w:rFonts w:hint="eastAsia" w:ascii="黑体" w:hAnsi="黑体" w:eastAsia="黑体" w:cs="黑体"/>
          <w:snapToGrid w:val="0"/>
          <w:color w:val="auto"/>
          <w:sz w:val="30"/>
          <w:szCs w:val="30"/>
        </w:rPr>
        <w:t>三、生态环境现状、保护目标及评价标准</w:t>
      </w:r>
      <w:bookmarkEnd w:id="10"/>
      <w:bookmarkEnd w:id="11"/>
    </w:p>
    <w:tbl>
      <w:tblPr>
        <w:tblStyle w:val="89"/>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56" w:type="dxa"/>
            <w:noWrap w:val="0"/>
            <w:vAlign w:val="center"/>
          </w:tcPr>
          <w:p>
            <w:pPr>
              <w:adjustRightInd w:val="0"/>
              <w:snapToGrid w:val="0"/>
              <w:jc w:val="center"/>
              <w:rPr>
                <w:color w:val="auto"/>
                <w:kern w:val="0"/>
                <w:sz w:val="24"/>
              </w:rPr>
            </w:pPr>
            <w:r>
              <w:rPr>
                <w:color w:val="auto"/>
                <w:kern w:val="0"/>
                <w:sz w:val="24"/>
              </w:rPr>
              <w:t>生态环境现状</w:t>
            </w:r>
          </w:p>
        </w:tc>
        <w:tc>
          <w:tcPr>
            <w:tcW w:w="88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b/>
                <w:bCs/>
                <w:color w:val="auto"/>
                <w:sz w:val="28"/>
                <w:szCs w:val="28"/>
              </w:rPr>
            </w:pPr>
            <w:r>
              <w:rPr>
                <w:rFonts w:hint="eastAsia"/>
                <w:b/>
                <w:bCs/>
                <w:color w:val="auto"/>
                <w:sz w:val="28"/>
                <w:szCs w:val="28"/>
                <w:lang w:val="en-US" w:eastAsia="zh-CN"/>
              </w:rPr>
              <w:t>1、主体功能区规划情况</w:t>
            </w:r>
          </w:p>
          <w:p>
            <w:pPr>
              <w:autoSpaceDE w:val="0"/>
              <w:autoSpaceDN w:val="0"/>
              <w:adjustRightInd w:val="0"/>
              <w:snapToGrid w:val="0"/>
              <w:spacing w:line="360" w:lineRule="auto"/>
              <w:ind w:firstLine="480" w:firstLineChars="200"/>
              <w:rPr>
                <w:rFonts w:hint="eastAsia"/>
                <w:bCs/>
                <w:color w:val="auto"/>
                <w:kern w:val="0"/>
                <w:sz w:val="24"/>
              </w:rPr>
            </w:pPr>
            <w:r>
              <w:rPr>
                <w:rFonts w:hint="eastAsia"/>
                <w:bCs/>
                <w:color w:val="auto"/>
                <w:kern w:val="0"/>
                <w:sz w:val="24"/>
              </w:rPr>
              <w:t>云南省人民政府于2014年1月6日印发了《云南省主体功能区规划》</w:t>
            </w:r>
            <w:r>
              <w:rPr>
                <w:rFonts w:hint="eastAsia"/>
                <w:bCs/>
                <w:color w:val="auto"/>
                <w:kern w:val="0"/>
                <w:sz w:val="24"/>
                <w:lang w:eastAsia="zh-CN"/>
              </w:rPr>
              <w:t>。</w:t>
            </w:r>
            <w:r>
              <w:rPr>
                <w:rFonts w:hint="eastAsia"/>
                <w:bCs/>
                <w:color w:val="auto"/>
                <w:kern w:val="0"/>
                <w:sz w:val="24"/>
                <w:lang w:val="en-US" w:eastAsia="zh-CN"/>
              </w:rPr>
              <w:t>将项目占地位置与</w:t>
            </w:r>
            <w:r>
              <w:rPr>
                <w:rFonts w:hint="eastAsia"/>
                <w:bCs/>
                <w:color w:val="auto"/>
                <w:kern w:val="0"/>
                <w:sz w:val="24"/>
              </w:rPr>
              <w:t>规划</w:t>
            </w:r>
            <w:r>
              <w:rPr>
                <w:rFonts w:hint="eastAsia"/>
                <w:bCs/>
                <w:color w:val="auto"/>
                <w:kern w:val="0"/>
                <w:sz w:val="24"/>
                <w:lang w:val="en-US" w:eastAsia="zh-CN"/>
              </w:rPr>
              <w:t>图进行匹配</w:t>
            </w:r>
            <w:r>
              <w:rPr>
                <w:rFonts w:hint="eastAsia"/>
                <w:bCs/>
                <w:color w:val="auto"/>
                <w:kern w:val="0"/>
                <w:sz w:val="24"/>
              </w:rPr>
              <w:t>，</w:t>
            </w:r>
            <w:r>
              <w:rPr>
                <w:rFonts w:hint="eastAsia"/>
                <w:bCs/>
                <w:color w:val="auto"/>
                <w:kern w:val="0"/>
                <w:sz w:val="24"/>
                <w:lang w:val="en-US" w:eastAsia="zh-CN"/>
              </w:rPr>
              <w:t>本项目所在地位于“国家重点开发区域”</w:t>
            </w:r>
            <w:r>
              <w:rPr>
                <w:rFonts w:hint="eastAsia"/>
                <w:bCs/>
                <w:color w:val="auto"/>
                <w:kern w:val="0"/>
                <w:sz w:val="24"/>
              </w:rPr>
              <w:t>。</w:t>
            </w:r>
          </w:p>
          <w:p>
            <w:pPr>
              <w:keepNext w:val="0"/>
              <w:keepLines w:val="0"/>
              <w:pageBreakBefore w:val="0"/>
              <w:widowControl w:val="0"/>
              <w:kinsoku/>
              <w:wordWrap/>
              <w:overflowPunct/>
              <w:topLinePunct/>
              <w:autoSpaceDE w:val="0"/>
              <w:autoSpaceDN/>
              <w:bidi w:val="0"/>
              <w:adjustRightInd/>
              <w:snapToGrid/>
              <w:spacing w:line="360" w:lineRule="auto"/>
              <w:ind w:firstLine="481" w:firstLineChars="200"/>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b/>
                <w:bCs w:val="0"/>
                <w:color w:val="auto"/>
                <w:kern w:val="0"/>
                <w:sz w:val="24"/>
              </w:rPr>
              <w:t>国家重点开发区域的功能定位为</w:t>
            </w:r>
            <w:r>
              <w:rPr>
                <w:rFonts w:hint="eastAsia" w:ascii="Times New Roman" w:hAnsi="Times New Roman" w:eastAsia="宋体" w:cs="Times New Roman"/>
                <w:b/>
                <w:bCs w:val="0"/>
                <w:color w:val="auto"/>
                <w:kern w:val="0"/>
                <w:sz w:val="24"/>
                <w:lang w:eastAsia="zh-CN"/>
              </w:rPr>
              <w:t>：</w:t>
            </w:r>
            <w:r>
              <w:rPr>
                <w:rFonts w:hint="default" w:ascii="Times New Roman" w:hAnsi="Times New Roman" w:eastAsia="宋体" w:cs="Times New Roman"/>
                <w:bCs/>
                <w:color w:val="auto"/>
                <w:kern w:val="0"/>
                <w:sz w:val="24"/>
              </w:rPr>
              <w:t>我国面向西南开放重要桥头堡建设的核心区，连接东南亚、南亚国家的陆路交通枢纽，面向东南亚、南亚对外开放的重要门户</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rPr>
              <w:t>全国重要的烟草、旅游、文化、能源和商贸物流基地，以化工、有色冶炼加工、生物为重点的区域性资源深加工基地，承接产业转移基地和外向型特色优势产业基地</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rPr>
              <w:t>我国城市化发展格局中特色鲜明的高原生态宜居城市群</w:t>
            </w:r>
            <w:r>
              <w:rPr>
                <w:rFonts w:hint="eastAsia"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rPr>
              <w:t>全省跨越发展的引擎，我国西南地区重要的经济增长极。</w:t>
            </w:r>
          </w:p>
          <w:p>
            <w:pPr>
              <w:pStyle w:val="157"/>
              <w:snapToGrid/>
              <w:spacing w:line="360" w:lineRule="auto"/>
              <w:ind w:firstLine="481" w:firstLineChars="200"/>
              <w:jc w:val="left"/>
              <w:outlineLvl w:val="1"/>
              <w:rPr>
                <w:rFonts w:hint="eastAsia" w:ascii="Times New Roman" w:hAnsi="Times New Roman"/>
                <w:color w:val="auto"/>
                <w:sz w:val="24"/>
              </w:rPr>
            </w:pPr>
            <w:r>
              <w:rPr>
                <w:rFonts w:hint="eastAsia"/>
                <w:b/>
                <w:bCs w:val="0"/>
                <w:color w:val="auto"/>
                <w:kern w:val="0"/>
                <w:sz w:val="24"/>
                <w:lang w:val="en-US" w:eastAsia="zh-CN"/>
              </w:rPr>
              <w:t>相符性分析：</w:t>
            </w:r>
            <w:r>
              <w:rPr>
                <w:rFonts w:hint="eastAsia"/>
                <w:bCs/>
                <w:color w:val="auto"/>
                <w:kern w:val="0"/>
                <w:sz w:val="24"/>
                <w:lang w:val="en-US" w:eastAsia="zh-CN"/>
              </w:rPr>
              <w:t>本项目位于</w:t>
            </w:r>
            <w:r>
              <w:rPr>
                <w:rFonts w:hint="eastAsia"/>
                <w:color w:val="auto"/>
                <w:kern w:val="0"/>
                <w:sz w:val="24"/>
                <w:lang w:eastAsia="zh-CN"/>
              </w:rPr>
              <w:t>昆明市嵩明县嵩阳街道山脚社区，</w:t>
            </w:r>
            <w:r>
              <w:rPr>
                <w:rFonts w:hint="eastAsia"/>
                <w:color w:val="auto"/>
                <w:kern w:val="0"/>
                <w:sz w:val="24"/>
                <w:lang w:val="en-US" w:eastAsia="zh-CN"/>
              </w:rPr>
              <w:t>位于嵩明县城镇区，建设性质为森林公园项目。项目建设在</w:t>
            </w:r>
            <w:r>
              <w:rPr>
                <w:rFonts w:hint="eastAsia"/>
                <w:bCs/>
                <w:color w:val="auto"/>
                <w:kern w:val="0"/>
                <w:sz w:val="24"/>
              </w:rPr>
              <w:t>改善</w:t>
            </w:r>
            <w:r>
              <w:rPr>
                <w:rFonts w:hint="eastAsia"/>
                <w:bCs/>
                <w:color w:val="auto"/>
                <w:kern w:val="0"/>
                <w:sz w:val="24"/>
                <w:lang w:val="en-US" w:eastAsia="zh-CN"/>
              </w:rPr>
              <w:t>区域人居环境</w:t>
            </w:r>
            <w:r>
              <w:rPr>
                <w:rFonts w:hint="eastAsia"/>
                <w:bCs/>
                <w:color w:val="auto"/>
                <w:kern w:val="0"/>
                <w:sz w:val="24"/>
              </w:rPr>
              <w:t>方面能产生积极的社会效益</w:t>
            </w:r>
            <w:r>
              <w:rPr>
                <w:rFonts w:hint="eastAsia"/>
                <w:bCs/>
                <w:color w:val="auto"/>
                <w:kern w:val="0"/>
                <w:sz w:val="24"/>
                <w:lang w:eastAsia="zh-CN"/>
              </w:rPr>
              <w:t>，</w:t>
            </w:r>
            <w:r>
              <w:rPr>
                <w:rFonts w:hint="eastAsia"/>
                <w:bCs/>
                <w:color w:val="auto"/>
                <w:kern w:val="0"/>
                <w:sz w:val="24"/>
              </w:rPr>
              <w:t>项目与《云南省主体功能区规划》的要求相符合</w:t>
            </w:r>
            <w:r>
              <w:rPr>
                <w:rFonts w:hint="eastAsia"/>
                <w:bCs/>
                <w:color w:val="auto"/>
                <w:kern w:val="0"/>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b/>
                <w:bCs/>
                <w:color w:val="auto"/>
                <w:sz w:val="28"/>
                <w:szCs w:val="28"/>
              </w:rPr>
            </w:pPr>
            <w:r>
              <w:rPr>
                <w:rFonts w:hint="eastAsia"/>
                <w:b/>
                <w:bCs/>
                <w:color w:val="auto"/>
                <w:sz w:val="28"/>
                <w:szCs w:val="28"/>
                <w:lang w:val="en-US" w:eastAsia="zh-CN"/>
              </w:rPr>
              <w:t>2、生态功能区划情况</w:t>
            </w:r>
          </w:p>
          <w:p>
            <w:pPr>
              <w:widowControl/>
              <w:adjustRightInd w:val="0"/>
              <w:snapToGrid w:val="0"/>
              <w:spacing w:line="360" w:lineRule="auto"/>
              <w:ind w:firstLine="480" w:firstLineChars="200"/>
              <w:jc w:val="left"/>
              <w:rPr>
                <w:rFonts w:hint="eastAsia"/>
                <w:color w:val="auto"/>
                <w:kern w:val="0"/>
                <w:sz w:val="24"/>
                <w:lang w:val="en-US" w:eastAsia="zh-CN" w:bidi="ar"/>
              </w:rPr>
            </w:pPr>
            <w:r>
              <w:rPr>
                <w:color w:val="auto"/>
                <w:kern w:val="0"/>
                <w:sz w:val="24"/>
                <w:lang w:bidi="ar"/>
              </w:rPr>
              <w:t>云南省环境保护厅于2009年11月17日印发了《云南省生态功能区划》。</w:t>
            </w:r>
            <w:r>
              <w:rPr>
                <w:rFonts w:hint="eastAsia"/>
                <w:bCs/>
                <w:color w:val="auto"/>
                <w:kern w:val="0"/>
                <w:sz w:val="24"/>
                <w:lang w:val="en-US" w:eastAsia="zh-CN"/>
              </w:rPr>
              <w:t>将项目占地位置与</w:t>
            </w:r>
            <w:r>
              <w:rPr>
                <w:rFonts w:hint="eastAsia"/>
                <w:bCs/>
                <w:color w:val="auto"/>
                <w:kern w:val="0"/>
                <w:sz w:val="24"/>
              </w:rPr>
              <w:t>规划</w:t>
            </w:r>
            <w:r>
              <w:rPr>
                <w:rFonts w:hint="eastAsia"/>
                <w:bCs/>
                <w:color w:val="auto"/>
                <w:kern w:val="0"/>
                <w:sz w:val="24"/>
                <w:lang w:val="en-US" w:eastAsia="zh-CN"/>
              </w:rPr>
              <w:t>图进行匹配</w:t>
            </w:r>
            <w:r>
              <w:rPr>
                <w:color w:val="auto"/>
                <w:kern w:val="0"/>
                <w:sz w:val="24"/>
                <w:lang w:bidi="ar"/>
              </w:rPr>
              <w:t>，本工程所在</w:t>
            </w:r>
            <w:r>
              <w:rPr>
                <w:rFonts w:hint="eastAsia"/>
                <w:color w:val="auto"/>
                <w:kern w:val="0"/>
                <w:sz w:val="24"/>
                <w:lang w:val="en-US" w:eastAsia="zh-CN" w:bidi="ar"/>
              </w:rPr>
              <w:t>地位于Ⅲ1-10牛栏江上游丘原盆地水源涵养生态功能区。</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Ⅲ1-10牛栏江上游丘原盆地水源涵养生态功能区的区划内容为：</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（1）所在区域与面积：马龙县，嵩明、宜良、寻甸县的部分地区，面积4783.52平方公里。</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（2）主要生态特征：，以石灰岩丘原盆地地貌为主。降雨量1000-1200 毫米，植被主要为云南松林和半湿润常绿阔叶林，土壤类型主要是红壤。</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（3）主要生态环境问题：土地利用过度引起的土地退化。</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（4）生态环境敏感性：石漠化高度及中度敏感。</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（5）主要生态系统服务功能：牛栏江上游的水源涵养和生态农业建设。</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（6）保护措施与发展方向：山地封山育林，提高森林覆盖，谷盆地区调整农业结构，推行清洁生产，保护农田生态环境，防止区域石漠化。</w:t>
            </w:r>
          </w:p>
          <w:p>
            <w:pPr>
              <w:autoSpaceDE w:val="0"/>
              <w:autoSpaceDN w:val="0"/>
              <w:adjustRightInd w:val="0"/>
              <w:snapToGrid w:val="0"/>
              <w:spacing w:line="360" w:lineRule="auto"/>
              <w:ind w:firstLine="480" w:firstLineChars="200"/>
              <w:rPr>
                <w:color w:val="auto"/>
                <w:kern w:val="0"/>
                <w:sz w:val="24"/>
                <w:lang w:bidi="ar"/>
              </w:rPr>
            </w:pPr>
            <w:r>
              <w:rPr>
                <w:rFonts w:hint="eastAsia"/>
                <w:color w:val="auto"/>
                <w:kern w:val="0"/>
                <w:sz w:val="24"/>
                <w:lang w:val="en-US" w:eastAsia="zh-CN" w:bidi="ar"/>
              </w:rPr>
              <w:t>本项目施工期和运营期对该区域声环境、水环境、大气环境和生态环境的影响较小，</w:t>
            </w:r>
            <w:r>
              <w:rPr>
                <w:rFonts w:hint="eastAsia" w:ascii="Times New Roman" w:hAnsi="Times New Roman"/>
                <w:color w:val="auto"/>
                <w:sz w:val="24"/>
              </w:rPr>
              <w:t>其建设和运行不会对区域的水土资源和生态系统造成明显的不利影响，因此，项目与《云南省生态功能区划》不冲突</w:t>
            </w:r>
            <w:r>
              <w:rPr>
                <w:rFonts w:hint="eastAsia" w:ascii="Times New Roman" w:hAnsi="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b/>
                <w:bCs/>
                <w:color w:val="auto"/>
                <w:sz w:val="28"/>
                <w:szCs w:val="28"/>
              </w:rPr>
            </w:pPr>
            <w:r>
              <w:rPr>
                <w:rFonts w:hint="eastAsia"/>
                <w:b/>
                <w:bCs/>
                <w:color w:val="auto"/>
                <w:sz w:val="28"/>
                <w:szCs w:val="28"/>
                <w:lang w:val="en-US" w:eastAsia="zh-CN"/>
              </w:rPr>
              <w:t>3、土地利用现状</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项目区处于城市建成区边缘，</w:t>
            </w:r>
            <w:r>
              <w:rPr>
                <w:rFonts w:hint="eastAsia" w:ascii="Times New Roman" w:hAnsi="Times New Roman" w:eastAsia="宋体" w:cs="Times New Roman"/>
                <w:color w:val="auto"/>
                <w:sz w:val="24"/>
                <w:lang w:val="en-US" w:eastAsia="zh-CN"/>
              </w:rPr>
              <w:t>工程占地范围</w:t>
            </w:r>
            <w:r>
              <w:rPr>
                <w:rFonts w:hint="eastAsia" w:ascii="Times New Roman" w:hAnsi="Times New Roman" w:eastAsia="宋体" w:cs="Times New Roman"/>
                <w:color w:val="auto"/>
                <w:sz w:val="24"/>
              </w:rPr>
              <w:t>附近区域人类活动频繁，项目区域周边在建和已建建筑物较多，交通道路密集，区域内的动物极少，主要为鼠类、鸟类及昆虫等一些小型动物。</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b/>
                <w:bCs/>
                <w:color w:val="auto"/>
                <w:sz w:val="28"/>
                <w:szCs w:val="28"/>
              </w:rPr>
            </w:pPr>
            <w:r>
              <w:rPr>
                <w:rFonts w:hint="eastAsia"/>
                <w:b/>
                <w:bCs/>
                <w:color w:val="auto"/>
                <w:sz w:val="28"/>
                <w:szCs w:val="28"/>
                <w:lang w:val="en-US" w:eastAsia="zh-CN"/>
              </w:rPr>
              <w:t>4、</w:t>
            </w:r>
            <w:r>
              <w:rPr>
                <w:rFonts w:hint="eastAsia"/>
                <w:b/>
                <w:bCs/>
                <w:color w:val="auto"/>
                <w:sz w:val="28"/>
                <w:szCs w:val="28"/>
              </w:rPr>
              <w:t>生态环境</w:t>
            </w:r>
            <w:r>
              <w:rPr>
                <w:rFonts w:hint="eastAsia"/>
                <w:b/>
                <w:bCs/>
                <w:color w:val="auto"/>
                <w:sz w:val="28"/>
                <w:szCs w:val="28"/>
                <w:lang w:val="en-US" w:eastAsia="zh-CN"/>
              </w:rPr>
              <w:t>质量</w:t>
            </w:r>
            <w:r>
              <w:rPr>
                <w:rFonts w:hint="eastAsia"/>
                <w:b/>
                <w:bCs/>
                <w:color w:val="auto"/>
                <w:sz w:val="28"/>
                <w:szCs w:val="28"/>
              </w:rPr>
              <w:t>现状</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项目区处于城市建成区边缘，</w:t>
            </w:r>
            <w:r>
              <w:rPr>
                <w:rFonts w:hint="eastAsia" w:ascii="Times New Roman" w:hAnsi="Times New Roman" w:eastAsia="宋体" w:cs="Times New Roman"/>
                <w:color w:val="auto"/>
                <w:sz w:val="24"/>
                <w:lang w:val="en-US" w:eastAsia="zh-CN"/>
              </w:rPr>
              <w:t>工程占地范围</w:t>
            </w:r>
            <w:r>
              <w:rPr>
                <w:rFonts w:hint="eastAsia" w:ascii="Times New Roman" w:hAnsi="Times New Roman" w:eastAsia="宋体" w:cs="Times New Roman"/>
                <w:color w:val="auto"/>
                <w:sz w:val="24"/>
              </w:rPr>
              <w:t>附近区域人类活动频繁，项目区域周边在建和已建建筑物较多，交通道路密集，区域内的动物极少，主要为鼠类、鸟类及昆虫等一些小型动物。</w:t>
            </w:r>
          </w:p>
          <w:p>
            <w:pPr>
              <w:pStyle w:val="157"/>
              <w:snapToGrid/>
              <w:spacing w:line="360" w:lineRule="auto"/>
              <w:ind w:firstLine="481" w:firstLineChars="200"/>
              <w:jc w:val="left"/>
              <w:outlineLvl w:val="1"/>
              <w:rPr>
                <w:rFonts w:hint="eastAsia" w:ascii="Times New Roman" w:hAnsi="Times New Roman"/>
                <w:b/>
                <w:bCs/>
                <w:color w:val="auto"/>
                <w:sz w:val="24"/>
              </w:rPr>
            </w:pPr>
            <w:r>
              <w:rPr>
                <w:rFonts w:hint="eastAsia" w:ascii="Times New Roman" w:hAnsi="Times New Roman"/>
                <w:b/>
                <w:bCs/>
                <w:color w:val="auto"/>
                <w:sz w:val="24"/>
              </w:rPr>
              <w:t>（</w:t>
            </w:r>
            <w:r>
              <w:rPr>
                <w:rFonts w:hint="eastAsia" w:ascii="Times New Roman" w:hAnsi="Times New Roman"/>
                <w:b/>
                <w:bCs/>
                <w:color w:val="auto"/>
                <w:sz w:val="24"/>
                <w:lang w:val="en-US" w:eastAsia="zh-CN"/>
              </w:rPr>
              <w:t>一</w:t>
            </w:r>
            <w:r>
              <w:rPr>
                <w:rFonts w:hint="eastAsia" w:ascii="Times New Roman" w:hAnsi="Times New Roman"/>
                <w:b/>
                <w:bCs/>
                <w:color w:val="auto"/>
                <w:sz w:val="24"/>
              </w:rPr>
              <w:t>）植被现状</w:t>
            </w:r>
          </w:p>
          <w:p>
            <w:pPr>
              <w:pStyle w:val="157"/>
              <w:snapToGrid/>
              <w:spacing w:line="360" w:lineRule="auto"/>
              <w:ind w:firstLine="481" w:firstLineChars="200"/>
              <w:jc w:val="left"/>
              <w:outlineLvl w:val="1"/>
              <w:rPr>
                <w:rFonts w:hint="eastAsia" w:ascii="Times New Roman" w:hAnsi="Times New Roman"/>
                <w:b/>
                <w:bCs/>
                <w:color w:val="auto"/>
                <w:sz w:val="24"/>
              </w:rPr>
            </w:pPr>
            <w:r>
              <w:rPr>
                <w:rFonts w:hint="eastAsia" w:ascii="Times New Roman" w:hAnsi="Times New Roman"/>
                <w:b/>
                <w:bCs/>
                <w:color w:val="auto"/>
                <w:sz w:val="24"/>
              </w:rPr>
              <w:t>（</w:t>
            </w:r>
            <w:r>
              <w:rPr>
                <w:rFonts w:hint="eastAsia" w:ascii="Times New Roman" w:hAnsi="Times New Roman"/>
                <w:b/>
                <w:bCs/>
                <w:color w:val="auto"/>
                <w:sz w:val="24"/>
                <w:lang w:val="en-US" w:eastAsia="zh-CN"/>
              </w:rPr>
              <w:t>1</w:t>
            </w:r>
            <w:r>
              <w:rPr>
                <w:rFonts w:hint="eastAsia" w:ascii="Times New Roman" w:hAnsi="Times New Roman"/>
                <w:b/>
                <w:bCs/>
                <w:color w:val="auto"/>
                <w:sz w:val="24"/>
              </w:rPr>
              <w:t>）调查方法、范围和内容</w:t>
            </w:r>
          </w:p>
          <w:p>
            <w:pPr>
              <w:pStyle w:val="157"/>
              <w:snapToGrid/>
              <w:spacing w:line="360" w:lineRule="auto"/>
              <w:ind w:firstLine="480" w:firstLineChars="200"/>
              <w:jc w:val="left"/>
              <w:outlineLvl w:val="1"/>
              <w:rPr>
                <w:rFonts w:hint="eastAsia" w:ascii="Times New Roman" w:hAnsi="Times New Roman"/>
                <w:color w:val="auto"/>
                <w:sz w:val="24"/>
              </w:rPr>
            </w:pPr>
            <w:r>
              <w:rPr>
                <w:rFonts w:hint="eastAsia" w:ascii="Times New Roman" w:hAnsi="Times New Roman" w:eastAsia="宋体" w:cs="Times New Roman"/>
                <w:color w:val="auto"/>
                <w:sz w:val="24"/>
                <w:lang w:val="en-US" w:eastAsia="zh-CN"/>
              </w:rPr>
              <w:t>调查方法：实地考察了</w:t>
            </w:r>
            <w:r>
              <w:rPr>
                <w:rFonts w:hint="eastAsia" w:ascii="Times New Roman" w:hAnsi="Times New Roman"/>
                <w:color w:val="auto"/>
                <w:sz w:val="24"/>
              </w:rPr>
              <w:t>工程评价范围</w:t>
            </w:r>
            <w:r>
              <w:rPr>
                <w:rFonts w:hint="eastAsia" w:ascii="Times New Roman" w:hAnsi="Times New Roman" w:eastAsia="宋体" w:cs="Times New Roman"/>
                <w:color w:val="auto"/>
                <w:sz w:val="24"/>
                <w:lang w:val="en-US" w:eastAsia="zh-CN"/>
              </w:rPr>
              <w:t>内及周围的植被和植物；同时收集相关植物和植被调查的资料并咨询当地居民和林业部门等，了解当地植被的演变、（保护）植物的分布、植被状况等情况，并</w:t>
            </w:r>
            <w:r>
              <w:rPr>
                <w:rFonts w:hint="eastAsia" w:ascii="Times New Roman" w:hAnsi="Times New Roman"/>
                <w:color w:val="auto"/>
                <w:sz w:val="24"/>
              </w:rPr>
              <w:t>向当地相关部门收集该地区地方志、保护区科学考察报告和林业资源二类调查报告等地方资料；同时参考《云南植被》、《中国植被》、《云南森林》、《云南植物志》、《中国植物志》、《Flora of China》等文献中记录于该区域的资料，以及区域重大工程环评生态现状调查资料。</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调查范围：</w:t>
            </w:r>
            <w:r>
              <w:rPr>
                <w:rFonts w:hint="eastAsia" w:ascii="Times New Roman" w:hAnsi="Times New Roman"/>
                <w:color w:val="auto"/>
                <w:sz w:val="24"/>
              </w:rPr>
              <w:t>工程占地范围线内及外延300m</w:t>
            </w:r>
            <w:r>
              <w:rPr>
                <w:rFonts w:hint="eastAsia" w:ascii="Times New Roman" w:hAnsi="Times New Roman" w:eastAsia="宋体" w:cs="Times New Roman"/>
                <w:color w:val="auto"/>
                <w:sz w:val="24"/>
                <w:lang w:val="en-US" w:eastAsia="zh-CN"/>
              </w:rPr>
              <w:t>范围内的区域。</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调查内容：调查评价区内有代表性的植被类型和植物种类，区域可能存在的国家保护植物、云南省保护植物、狭域特有植物的种类和数量，并对评价区生态环境状况做出综合评价。</w:t>
            </w:r>
          </w:p>
          <w:p>
            <w:pPr>
              <w:pStyle w:val="157"/>
              <w:snapToGrid/>
              <w:spacing w:line="360" w:lineRule="auto"/>
              <w:ind w:firstLine="481" w:firstLineChars="200"/>
              <w:jc w:val="left"/>
              <w:outlineLvl w:val="1"/>
              <w:rPr>
                <w:rFonts w:hint="eastAsia" w:ascii="Times New Roman" w:hAnsi="Times New Roman"/>
                <w:b/>
                <w:bCs/>
                <w:color w:val="auto"/>
                <w:sz w:val="24"/>
              </w:rPr>
            </w:pPr>
            <w:r>
              <w:rPr>
                <w:rFonts w:hint="eastAsia" w:ascii="Times New Roman" w:hAnsi="Times New Roman"/>
                <w:b/>
                <w:bCs/>
                <w:color w:val="auto"/>
                <w:sz w:val="24"/>
              </w:rPr>
              <w:t>（</w:t>
            </w:r>
            <w:r>
              <w:rPr>
                <w:rFonts w:hint="eastAsia" w:ascii="Times New Roman" w:hAnsi="Times New Roman"/>
                <w:b/>
                <w:bCs/>
                <w:color w:val="auto"/>
                <w:sz w:val="24"/>
                <w:lang w:val="en-US" w:eastAsia="zh-CN"/>
              </w:rPr>
              <w:t>2</w:t>
            </w:r>
            <w:r>
              <w:rPr>
                <w:rFonts w:hint="eastAsia" w:ascii="Times New Roman" w:hAnsi="Times New Roman"/>
                <w:b/>
                <w:bCs/>
                <w:color w:val="auto"/>
                <w:sz w:val="24"/>
              </w:rPr>
              <w:t>）植被类型</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依据《中国植被》《云南植被》和《云南森林》等重要植被专著中采用的分类系统，遵循群落学</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 xml:space="preserve">生态学的分类原则，运用 </w:t>
            </w:r>
            <w:r>
              <w:rPr>
                <w:rFonts w:hint="default" w:ascii="Times New Roman" w:hAnsi="Times New Roman" w:eastAsia="宋体" w:cs="Times New Roman"/>
                <w:color w:val="auto"/>
                <w:sz w:val="24"/>
                <w:lang w:val="en-US" w:eastAsia="zh-CN"/>
              </w:rPr>
              <w:t xml:space="preserve">3 </w:t>
            </w:r>
            <w:r>
              <w:rPr>
                <w:rFonts w:hint="eastAsia" w:ascii="Times New Roman" w:hAnsi="Times New Roman" w:eastAsia="宋体" w:cs="Times New Roman"/>
                <w:color w:val="auto"/>
                <w:sz w:val="24"/>
                <w:lang w:val="en-US" w:eastAsia="zh-CN"/>
              </w:rPr>
              <w:t>个主级分类单位，即植被型（高级分类单位）、群系（中级分类单位）和群丛（低级分类单位），各级再设亚级或辅助单位。</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所在区域位于滇中高原中部，根据《中国植被》，该区域属于亚热带常绿阔叶林区域（II），西部（半湿润）常绿阔叶林亚区域（IIA），高原亚热带北部常绿阔叶林地带（IIAii），滇中、滇东高原半湿润常绿阔叶林、云南松林区（IIAii-1），滇中高原盆谷滇青冈林、元江栲林、云南松林亚区（IIAii-1a）。区域地带性植被为半湿润常绿阔叶林。受长期人为经济活动影响，评价区自然植被为背景化的暖温性针叶林，半湿润常绿阔叶林仅分布于大黄塘村西南部、多衣者东南部、桃花村南部等区域；人工植被主要为村庄周边的农田和园地，以及呈斑块状分布的人工林（蓝桉和银荆）。</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依据上述植被分类的依据与原则，结合实地调查及遥感卫星影像图判读，评价区的自然植被可分为 5 个植被型、5 个植被亚型和 5 个</w:t>
            </w:r>
            <w:r>
              <w:rPr>
                <w:rFonts w:hint="eastAsia" w:ascii="Times New Roman" w:hAnsi="Times New Roman"/>
                <w:color w:val="auto"/>
                <w:sz w:val="24"/>
              </w:rPr>
              <w:t>主要群系</w:t>
            </w:r>
            <w:r>
              <w:rPr>
                <w:rFonts w:hint="eastAsia" w:ascii="Times New Roman" w:hAnsi="Times New Roman" w:eastAsia="宋体" w:cs="Times New Roman"/>
                <w:color w:val="auto"/>
                <w:sz w:val="24"/>
                <w:lang w:val="en-US" w:eastAsia="zh-CN"/>
              </w:rPr>
              <w:t>。另外，评价区内还有蓝桉、银荆、果园等人工植被分布。</w:t>
            </w:r>
          </w:p>
          <w:p>
            <w:pPr>
              <w:pStyle w:val="157"/>
              <w:snapToGrid/>
              <w:spacing w:line="360" w:lineRule="auto"/>
              <w:ind w:firstLine="481" w:firstLineChars="200"/>
              <w:jc w:val="left"/>
              <w:outlineLvl w:val="1"/>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lang w:val="en-US" w:eastAsia="zh-CN"/>
              </w:rPr>
              <w:t>自然植被类型特点</w:t>
            </w:r>
          </w:p>
          <w:p>
            <w:pPr>
              <w:pStyle w:val="157"/>
              <w:snapToGrid/>
              <w:spacing w:line="360" w:lineRule="auto"/>
              <w:ind w:firstLine="481" w:firstLineChars="200"/>
              <w:jc w:val="left"/>
              <w:outlineLvl w:val="1"/>
              <w:rPr>
                <w:rFonts w:hint="default" w:ascii="Times New Roman" w:hAnsi="Times New Roman" w:eastAsia="宋体" w:cs="Times New Roman"/>
                <w:color w:val="auto"/>
                <w:sz w:val="24"/>
                <w:lang w:val="en-US" w:eastAsia="zh-CN"/>
              </w:rPr>
            </w:pPr>
            <w:r>
              <w:rPr>
                <w:rFonts w:hint="eastAsia" w:ascii="宋体" w:hAnsi="宋体" w:eastAsia="宋体" w:cs="宋体"/>
                <w:b/>
                <w:bCs/>
                <w:color w:val="auto"/>
                <w:sz w:val="24"/>
                <w:lang w:val="en-US" w:eastAsia="zh-CN"/>
              </w:rPr>
              <w:t>Ⅰ</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
                <w:bCs/>
                <w:color w:val="auto"/>
                <w:sz w:val="24"/>
                <w:lang w:val="en-US" w:eastAsia="zh-CN"/>
              </w:rPr>
              <w:t>暖温性稀树灌木草丛</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稀树灌木草丛是云南省分布十分广泛的一类植被类型，群落以草丛为主，其间散生灌木和乔木。灌木一般比较低矮，有时高度不及草丛，散生的乔木一般生长不良，不规则地在成片的草丛上散布着。目前所见的较大面积的稀树灌木草丛，都是在原有森林长期砍伐火烧下形成的一类次生性植被。</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群落的生态外貌，主要是稀树的生态和形态，及其所反映的气候生境，滇中高原的稀树灌木草丛为暖温性稀树灌木草丛。这一类稀树灌木草丛广泛分布在云南的中部、北部、西北部、东北部以及东南部的广大山地上，海拔大致在1800-2100m，它的原生植被为半湿润常绿阔叶林。然而植被演替上联系最为密切的为云南松林中分布于滇中和滇西北的亚群系。评价区暖温性稀树灌木草丛植被亚型</w:t>
            </w:r>
            <w:r>
              <w:rPr>
                <w:rFonts w:hint="eastAsia" w:ascii="Times New Roman" w:hAnsi="Times New Roman" w:eastAsia="宋体" w:cs="Times New Roman"/>
                <w:color w:val="auto"/>
                <w:sz w:val="24"/>
                <w:lang w:val="en-US" w:eastAsia="zh-CN"/>
              </w:rPr>
              <w:t>为</w:t>
            </w:r>
            <w:r>
              <w:rPr>
                <w:rFonts w:hint="default" w:ascii="Times New Roman" w:hAnsi="Times New Roman" w:eastAsia="宋体" w:cs="Times New Roman"/>
                <w:color w:val="auto"/>
                <w:sz w:val="24"/>
                <w:lang w:val="en-US" w:eastAsia="zh-CN"/>
              </w:rPr>
              <w:t>云南松、珍珠花的中草草丛群系。本群系主要分布于滇中高原海拔1500-2500m 山地，以昆明为中心，特别是周边各州县更为明显。它是半湿润常绿阔叶林和云南松林反复砍烧后形成的次生植被。</w:t>
            </w:r>
          </w:p>
          <w:p>
            <w:pPr>
              <w:pStyle w:val="157"/>
              <w:snapToGrid/>
              <w:spacing w:line="360" w:lineRule="auto"/>
              <w:ind w:firstLine="481" w:firstLineChars="200"/>
              <w:jc w:val="left"/>
              <w:outlineLvl w:val="1"/>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云南松、白健秆、刺芒野古草群落</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本群落在整个评价区均有分布，在土壤因冲刷而干旱贫瘠的地段这一群落普遍分布，在居民点附近的山地尤为多见，有的山丘常常成为无树的禾草草丛，即所谓的“荒草地”。群落以草丛为主要层，群落高 5m，盖度 50%-70%，群落具有以下特点：1）稀树以云南松等常绿针叶树为主，少见常绿阔叶树和落叶阔叶树；2）草丛以中草为主，也有低草和高草，除禾本科外，还有菊科、蔷薇科等，多数为中生植物而具耐旱的生态习性；3）灌木在草丛中分散生长，不构成优势，多具有阳性耐旱、萌发力强、耐牧、耐火等特性。稀树主要为云南松 </w:t>
            </w:r>
            <w:r>
              <w:rPr>
                <w:rFonts w:hint="default" w:ascii="Times New Roman" w:hAnsi="Times New Roman" w:eastAsia="宋体" w:cs="Times New Roman"/>
                <w:b w:val="0"/>
                <w:bCs w:val="0"/>
                <w:i/>
                <w:iCs/>
                <w:color w:val="auto"/>
                <w:sz w:val="24"/>
                <w:lang w:val="en-US" w:eastAsia="zh-CN"/>
              </w:rPr>
              <w:t>Pinus yunnanensis</w:t>
            </w:r>
            <w:r>
              <w:rPr>
                <w:rFonts w:hint="default" w:ascii="Times New Roman" w:hAnsi="Times New Roman" w:eastAsia="宋体" w:cs="Times New Roman"/>
                <w:color w:val="auto"/>
                <w:sz w:val="24"/>
                <w:lang w:val="en-US" w:eastAsia="zh-CN"/>
              </w:rPr>
              <w:t xml:space="preserve">，多扭曲，高度 3-5m 左右，盖度10%-20%。其它偶见云南油杉 </w:t>
            </w:r>
            <w:r>
              <w:rPr>
                <w:rFonts w:hint="default" w:ascii="Times New Roman" w:hAnsi="Times New Roman" w:eastAsia="宋体" w:cs="Times New Roman"/>
                <w:i/>
                <w:iCs/>
                <w:color w:val="auto"/>
                <w:sz w:val="24"/>
                <w:lang w:val="en-US" w:eastAsia="zh-CN"/>
              </w:rPr>
              <w:t>Keteleeria evelyniana</w:t>
            </w:r>
            <w:r>
              <w:rPr>
                <w:rFonts w:hint="default" w:ascii="Times New Roman" w:hAnsi="Times New Roman" w:eastAsia="宋体" w:cs="Times New Roman"/>
                <w:color w:val="auto"/>
                <w:sz w:val="24"/>
                <w:lang w:val="en-US" w:eastAsia="zh-CN"/>
              </w:rPr>
              <w:t xml:space="preserve">、旱冬瓜 </w:t>
            </w:r>
            <w:r>
              <w:rPr>
                <w:rFonts w:hint="default" w:ascii="Times New Roman" w:hAnsi="Times New Roman" w:eastAsia="宋体" w:cs="Times New Roman"/>
                <w:i/>
                <w:iCs/>
                <w:color w:val="auto"/>
                <w:sz w:val="24"/>
                <w:lang w:val="en-US" w:eastAsia="zh-CN"/>
              </w:rPr>
              <w:t>Alnus nepalensis</w:t>
            </w:r>
            <w:r>
              <w:rPr>
                <w:rFonts w:hint="default" w:ascii="Times New Roman" w:hAnsi="Times New Roman" w:eastAsia="宋体" w:cs="Times New Roman"/>
                <w:color w:val="auto"/>
                <w:sz w:val="24"/>
                <w:lang w:val="en-US" w:eastAsia="zh-CN"/>
              </w:rPr>
              <w:t xml:space="preserve">、麻栎 </w:t>
            </w:r>
            <w:r>
              <w:rPr>
                <w:rFonts w:hint="default" w:ascii="Times New Roman" w:hAnsi="Times New Roman" w:eastAsia="宋体" w:cs="Times New Roman"/>
                <w:i/>
                <w:iCs/>
                <w:color w:val="auto"/>
                <w:sz w:val="24"/>
                <w:lang w:val="en-US" w:eastAsia="zh-CN"/>
              </w:rPr>
              <w:t>Quercus acutissima</w:t>
            </w:r>
            <w:r>
              <w:rPr>
                <w:rFonts w:hint="default" w:ascii="Times New Roman" w:hAnsi="Times New Roman" w:eastAsia="宋体" w:cs="Times New Roman"/>
                <w:color w:val="auto"/>
                <w:sz w:val="24"/>
                <w:lang w:val="en-US" w:eastAsia="zh-CN"/>
              </w:rPr>
              <w:t xml:space="preserve">、栓皮栎 </w:t>
            </w:r>
            <w:r>
              <w:rPr>
                <w:rFonts w:hint="default" w:ascii="Times New Roman" w:hAnsi="Times New Roman" w:eastAsia="宋体" w:cs="Times New Roman"/>
                <w:i/>
                <w:iCs/>
                <w:color w:val="auto"/>
                <w:sz w:val="24"/>
                <w:lang w:val="en-US" w:eastAsia="zh-CN"/>
              </w:rPr>
              <w:t>Quercus variabilis</w:t>
            </w:r>
            <w:r>
              <w:rPr>
                <w:rFonts w:hint="default" w:ascii="Times New Roman" w:hAnsi="Times New Roman" w:eastAsia="宋体" w:cs="Times New Roman"/>
                <w:color w:val="auto"/>
                <w:sz w:val="24"/>
                <w:lang w:val="en-US" w:eastAsia="zh-CN"/>
              </w:rPr>
              <w:t xml:space="preserve">、银木荷 </w:t>
            </w:r>
            <w:r>
              <w:rPr>
                <w:rFonts w:hint="default" w:ascii="Times New Roman" w:hAnsi="Times New Roman" w:eastAsia="宋体" w:cs="Times New Roman"/>
                <w:i/>
                <w:iCs/>
                <w:color w:val="auto"/>
                <w:sz w:val="24"/>
                <w:lang w:val="en-US" w:eastAsia="zh-CN"/>
              </w:rPr>
              <w:t>Schima argentea</w:t>
            </w:r>
            <w:r>
              <w:rPr>
                <w:rFonts w:hint="default" w:ascii="Times New Roman" w:hAnsi="Times New Roman" w:eastAsia="宋体" w:cs="Times New Roman"/>
                <w:color w:val="auto"/>
                <w:sz w:val="24"/>
                <w:lang w:val="en-US" w:eastAsia="zh-CN"/>
              </w:rPr>
              <w:t xml:space="preserve">、茶梨 </w:t>
            </w:r>
            <w:r>
              <w:rPr>
                <w:rFonts w:hint="default" w:ascii="Times New Roman" w:hAnsi="Times New Roman" w:eastAsia="宋体" w:cs="Times New Roman"/>
                <w:i/>
                <w:iCs/>
                <w:color w:val="auto"/>
                <w:sz w:val="24"/>
                <w:lang w:val="en-US" w:eastAsia="zh-CN"/>
              </w:rPr>
              <w:t>Anneslea fragrans</w:t>
            </w:r>
            <w:r>
              <w:rPr>
                <w:rFonts w:hint="default" w:ascii="Times New Roman" w:hAnsi="Times New Roman" w:eastAsia="宋体" w:cs="Times New Roman"/>
                <w:color w:val="auto"/>
                <w:sz w:val="24"/>
                <w:lang w:val="en-US" w:eastAsia="zh-CN"/>
              </w:rPr>
              <w:t xml:space="preserve"> 等，以常绿栎类为稀树的情况极为少见。</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灌木稀少而不显著，常不成层，高度0.5-1.5m，盖度20%-30%左右，常见的有珍珠花</w:t>
            </w:r>
            <w:r>
              <w:rPr>
                <w:rFonts w:hint="default" w:ascii="Times New Roman" w:hAnsi="Times New Roman" w:eastAsia="宋体" w:cs="Times New Roman"/>
                <w:i/>
                <w:iCs/>
                <w:color w:val="auto"/>
                <w:sz w:val="24"/>
                <w:lang w:val="en-US" w:eastAsia="zh-CN"/>
              </w:rPr>
              <w:t>Lyonia ovalifolia</w:t>
            </w:r>
            <w:r>
              <w:rPr>
                <w:rFonts w:hint="default" w:ascii="Times New Roman" w:hAnsi="Times New Roman" w:eastAsia="宋体" w:cs="Times New Roman"/>
                <w:color w:val="auto"/>
                <w:sz w:val="24"/>
                <w:lang w:val="en-US" w:eastAsia="zh-CN"/>
              </w:rPr>
              <w:t>、矮杨梅</w:t>
            </w:r>
            <w:r>
              <w:rPr>
                <w:rFonts w:hint="default" w:ascii="Times New Roman" w:hAnsi="Times New Roman" w:eastAsia="宋体" w:cs="Times New Roman"/>
                <w:i/>
                <w:iCs/>
                <w:color w:val="auto"/>
                <w:sz w:val="24"/>
                <w:lang w:val="en-US" w:eastAsia="zh-CN"/>
              </w:rPr>
              <w:t>Myrica nana</w:t>
            </w:r>
            <w:r>
              <w:rPr>
                <w:rFonts w:hint="default" w:ascii="Times New Roman" w:hAnsi="Times New Roman" w:eastAsia="宋体" w:cs="Times New Roman"/>
                <w:color w:val="auto"/>
                <w:sz w:val="24"/>
                <w:lang w:val="en-US" w:eastAsia="zh-CN"/>
              </w:rPr>
              <w:t>、芒种花</w:t>
            </w:r>
            <w:r>
              <w:rPr>
                <w:rFonts w:hint="default" w:ascii="Times New Roman" w:hAnsi="Times New Roman" w:eastAsia="宋体" w:cs="Times New Roman"/>
                <w:i/>
                <w:iCs/>
                <w:color w:val="auto"/>
                <w:sz w:val="24"/>
                <w:lang w:val="en-US" w:eastAsia="zh-CN"/>
              </w:rPr>
              <w:t>Hypericumpatulum</w:t>
            </w:r>
            <w:r>
              <w:rPr>
                <w:rFonts w:hint="default" w:ascii="Times New Roman" w:hAnsi="Times New Roman" w:eastAsia="宋体" w:cs="Times New Roman"/>
                <w:color w:val="auto"/>
                <w:sz w:val="24"/>
                <w:lang w:val="en-US" w:eastAsia="zh-CN"/>
              </w:rPr>
              <w:t>、碎米花杜鹃</w:t>
            </w:r>
            <w:r>
              <w:rPr>
                <w:rFonts w:hint="default" w:ascii="Times New Roman" w:hAnsi="Times New Roman" w:eastAsia="宋体" w:cs="Times New Roman"/>
                <w:i/>
                <w:iCs/>
                <w:color w:val="auto"/>
                <w:sz w:val="24"/>
                <w:lang w:val="en-US" w:eastAsia="zh-CN"/>
              </w:rPr>
              <w:t>Rhododendron spiciferum</w:t>
            </w:r>
            <w:r>
              <w:rPr>
                <w:rFonts w:hint="default" w:ascii="Times New Roman" w:hAnsi="Times New Roman" w:eastAsia="宋体" w:cs="Times New Roman"/>
                <w:color w:val="auto"/>
                <w:sz w:val="24"/>
                <w:lang w:val="en-US" w:eastAsia="zh-CN"/>
              </w:rPr>
              <w:t>、羊耳菊</w:t>
            </w:r>
            <w:r>
              <w:rPr>
                <w:rFonts w:hint="default" w:ascii="Times New Roman" w:hAnsi="Times New Roman" w:eastAsia="宋体" w:cs="Times New Roman"/>
                <w:i/>
                <w:iCs/>
                <w:color w:val="auto"/>
                <w:sz w:val="24"/>
                <w:lang w:val="en-US" w:eastAsia="zh-CN"/>
              </w:rPr>
              <w:t>Inula cappa</w:t>
            </w:r>
            <w:r>
              <w:rPr>
                <w:rFonts w:hint="default" w:ascii="Times New Roman" w:hAnsi="Times New Roman" w:eastAsia="宋体" w:cs="Times New Roman"/>
                <w:color w:val="auto"/>
                <w:sz w:val="24"/>
                <w:lang w:val="en-US" w:eastAsia="zh-CN"/>
              </w:rPr>
              <w:t>、栽秧泡</w:t>
            </w:r>
            <w:r>
              <w:rPr>
                <w:rFonts w:hint="default" w:ascii="Times New Roman" w:hAnsi="Times New Roman" w:eastAsia="宋体" w:cs="Times New Roman"/>
                <w:i/>
                <w:iCs/>
                <w:color w:val="auto"/>
                <w:sz w:val="24"/>
                <w:lang w:val="en-US" w:eastAsia="zh-CN"/>
              </w:rPr>
              <w:t>Rubus ellipticus</w:t>
            </w:r>
            <w:r>
              <w:rPr>
                <w:rFonts w:hint="default" w:ascii="Times New Roman" w:hAnsi="Times New Roman" w:eastAsia="宋体" w:cs="Times New Roman"/>
                <w:color w:val="auto"/>
                <w:sz w:val="24"/>
                <w:lang w:val="en-US" w:eastAsia="zh-CN"/>
              </w:rPr>
              <w:t>、铁仔Myrsine africana、火棘</w:t>
            </w:r>
            <w:r>
              <w:rPr>
                <w:rFonts w:hint="default" w:ascii="Times New Roman" w:hAnsi="Times New Roman" w:eastAsia="宋体" w:cs="Times New Roman"/>
                <w:i/>
                <w:iCs/>
                <w:color w:val="auto"/>
                <w:sz w:val="24"/>
                <w:lang w:val="en-US" w:eastAsia="zh-CN"/>
              </w:rPr>
              <w:t>Pyracantha fortuneana</w:t>
            </w:r>
            <w:r>
              <w:rPr>
                <w:rFonts w:hint="default" w:ascii="Times New Roman" w:hAnsi="Times New Roman" w:eastAsia="宋体" w:cs="Times New Roman"/>
                <w:color w:val="auto"/>
                <w:sz w:val="24"/>
                <w:lang w:val="en-US" w:eastAsia="zh-CN"/>
              </w:rPr>
              <w:t>、牛筋条</w:t>
            </w:r>
            <w:r>
              <w:rPr>
                <w:rFonts w:hint="default" w:ascii="Times New Roman" w:hAnsi="Times New Roman" w:eastAsia="宋体" w:cs="Times New Roman"/>
                <w:i/>
                <w:iCs/>
                <w:color w:val="auto"/>
                <w:sz w:val="24"/>
                <w:lang w:val="en-US" w:eastAsia="zh-CN"/>
              </w:rPr>
              <w:t>Dichotomanthes tristaniicarpa</w:t>
            </w:r>
            <w:r>
              <w:rPr>
                <w:rFonts w:hint="default" w:ascii="Times New Roman" w:hAnsi="Times New Roman" w:eastAsia="宋体" w:cs="Times New Roman"/>
                <w:color w:val="auto"/>
                <w:sz w:val="24"/>
                <w:lang w:val="en-US" w:eastAsia="zh-CN"/>
              </w:rPr>
              <w:t xml:space="preserve"> 、沙针 </w:t>
            </w:r>
            <w:r>
              <w:rPr>
                <w:rFonts w:hint="default" w:ascii="Times New Roman" w:hAnsi="Times New Roman" w:eastAsia="宋体" w:cs="Times New Roman"/>
                <w:i/>
                <w:iCs/>
                <w:color w:val="auto"/>
                <w:sz w:val="24"/>
                <w:lang w:val="en-US" w:eastAsia="zh-CN"/>
              </w:rPr>
              <w:t>Osyris wightiana</w:t>
            </w:r>
            <w:r>
              <w:rPr>
                <w:rFonts w:hint="default" w:ascii="Times New Roman" w:hAnsi="Times New Roman" w:eastAsia="宋体" w:cs="Times New Roman"/>
                <w:color w:val="auto"/>
                <w:sz w:val="24"/>
                <w:lang w:val="en-US" w:eastAsia="zh-CN"/>
              </w:rPr>
              <w:t xml:space="preserve">、商陆 </w:t>
            </w:r>
            <w:r>
              <w:rPr>
                <w:rFonts w:hint="default" w:ascii="Times New Roman" w:hAnsi="Times New Roman" w:eastAsia="宋体" w:cs="Times New Roman"/>
                <w:i/>
                <w:iCs/>
                <w:color w:val="auto"/>
                <w:sz w:val="24"/>
                <w:lang w:val="en-US" w:eastAsia="zh-CN"/>
              </w:rPr>
              <w:t>Phytolaccaacinosa</w:t>
            </w:r>
            <w:r>
              <w:rPr>
                <w:rFonts w:hint="default" w:ascii="Times New Roman" w:hAnsi="Times New Roman" w:eastAsia="宋体" w:cs="Times New Roman"/>
                <w:color w:val="auto"/>
                <w:sz w:val="24"/>
                <w:lang w:val="en-US" w:eastAsia="zh-CN"/>
              </w:rPr>
              <w:t>、梨果仙人掌</w:t>
            </w:r>
            <w:r>
              <w:rPr>
                <w:rFonts w:hint="default" w:ascii="Times New Roman" w:hAnsi="Times New Roman" w:eastAsia="宋体" w:cs="Times New Roman"/>
                <w:i/>
                <w:iCs/>
                <w:color w:val="auto"/>
                <w:sz w:val="24"/>
                <w:lang w:val="en-US" w:eastAsia="zh-CN"/>
              </w:rPr>
              <w:t>Opuntia ficusindica</w:t>
            </w:r>
            <w:r>
              <w:rPr>
                <w:rFonts w:hint="default" w:ascii="Times New Roman" w:hAnsi="Times New Roman" w:eastAsia="宋体" w:cs="Times New Roman"/>
                <w:color w:val="auto"/>
                <w:sz w:val="24"/>
                <w:lang w:val="en-US" w:eastAsia="zh-CN"/>
              </w:rPr>
              <w:t>、茅莓</w:t>
            </w:r>
            <w:r>
              <w:rPr>
                <w:rFonts w:hint="default" w:ascii="Times New Roman" w:hAnsi="Times New Roman" w:eastAsia="宋体" w:cs="Times New Roman"/>
                <w:i/>
                <w:iCs/>
                <w:color w:val="auto"/>
                <w:sz w:val="24"/>
                <w:lang w:val="en-US" w:eastAsia="zh-CN"/>
              </w:rPr>
              <w:t>Rubus parvifolius</w:t>
            </w:r>
            <w:r>
              <w:rPr>
                <w:rFonts w:hint="default" w:ascii="Times New Roman" w:hAnsi="Times New Roman" w:eastAsia="宋体" w:cs="Times New Roman"/>
                <w:color w:val="auto"/>
                <w:sz w:val="24"/>
                <w:lang w:val="en-US" w:eastAsia="zh-CN"/>
              </w:rPr>
              <w:t>、炮仗杜鹃</w:t>
            </w:r>
            <w:r>
              <w:rPr>
                <w:rFonts w:hint="default" w:ascii="Times New Roman" w:hAnsi="Times New Roman" w:eastAsia="宋体" w:cs="Times New Roman"/>
                <w:i/>
                <w:iCs/>
                <w:color w:val="auto"/>
                <w:sz w:val="24"/>
                <w:lang w:val="en-US" w:eastAsia="zh-CN"/>
              </w:rPr>
              <w:t>Rhododendron spinuliferum</w:t>
            </w:r>
            <w:r>
              <w:rPr>
                <w:rFonts w:hint="default" w:ascii="Times New Roman" w:hAnsi="Times New Roman" w:eastAsia="宋体" w:cs="Times New Roman"/>
                <w:color w:val="auto"/>
                <w:sz w:val="24"/>
                <w:lang w:val="en-US" w:eastAsia="zh-CN"/>
              </w:rPr>
              <w:t>、小叶栒子</w:t>
            </w:r>
            <w:r>
              <w:rPr>
                <w:rFonts w:hint="default" w:ascii="Times New Roman" w:hAnsi="Times New Roman" w:eastAsia="宋体" w:cs="Times New Roman"/>
                <w:i/>
                <w:iCs/>
                <w:color w:val="auto"/>
                <w:sz w:val="24"/>
                <w:lang w:val="en-US" w:eastAsia="zh-CN"/>
              </w:rPr>
              <w:t>Cotoneaster microphyllus</w:t>
            </w:r>
            <w:r>
              <w:rPr>
                <w:rFonts w:hint="default" w:ascii="Times New Roman" w:hAnsi="Times New Roman" w:eastAsia="宋体" w:cs="Times New Roman"/>
                <w:color w:val="auto"/>
                <w:sz w:val="24"/>
                <w:lang w:val="en-US" w:eastAsia="zh-CN"/>
              </w:rPr>
              <w:t>等。</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草本层高 0.1-0.8m，盖度在 70%-85%左右，主要物种有白健秆 </w:t>
            </w:r>
            <w:r>
              <w:rPr>
                <w:rFonts w:hint="default" w:ascii="Times New Roman" w:hAnsi="Times New Roman" w:eastAsia="宋体" w:cs="Times New Roman"/>
                <w:i/>
                <w:iCs/>
                <w:color w:val="auto"/>
                <w:sz w:val="24"/>
                <w:lang w:val="en-US" w:eastAsia="zh-CN"/>
              </w:rPr>
              <w:t>Eulaliapallens</w:t>
            </w:r>
            <w:r>
              <w:rPr>
                <w:rFonts w:hint="default" w:ascii="Times New Roman" w:hAnsi="Times New Roman" w:eastAsia="宋体" w:cs="Times New Roman"/>
                <w:color w:val="auto"/>
                <w:sz w:val="24"/>
                <w:lang w:val="en-US" w:eastAsia="zh-CN"/>
              </w:rPr>
              <w:t xml:space="preserve">、刺芒野古草 </w:t>
            </w:r>
            <w:r>
              <w:rPr>
                <w:rFonts w:hint="default" w:ascii="Times New Roman" w:hAnsi="Times New Roman" w:eastAsia="宋体" w:cs="Times New Roman"/>
                <w:i/>
                <w:iCs/>
                <w:color w:val="auto"/>
                <w:sz w:val="24"/>
                <w:lang w:val="en-US" w:eastAsia="zh-CN"/>
              </w:rPr>
              <w:t>Arundinella setosa</w:t>
            </w:r>
            <w:r>
              <w:rPr>
                <w:rFonts w:hint="default" w:ascii="Times New Roman" w:hAnsi="Times New Roman" w:eastAsia="宋体" w:cs="Times New Roman"/>
                <w:color w:val="auto"/>
                <w:sz w:val="24"/>
                <w:lang w:val="en-US" w:eastAsia="zh-CN"/>
              </w:rPr>
              <w:t xml:space="preserve">、紫茎泽兰 </w:t>
            </w:r>
            <w:r>
              <w:rPr>
                <w:rFonts w:hint="default" w:ascii="Times New Roman" w:hAnsi="Times New Roman" w:eastAsia="宋体" w:cs="Times New Roman"/>
                <w:i/>
                <w:iCs/>
                <w:color w:val="auto"/>
                <w:sz w:val="24"/>
                <w:lang w:val="en-US" w:eastAsia="zh-CN"/>
              </w:rPr>
              <w:t>Eupatorium denophora</w:t>
            </w:r>
            <w:r>
              <w:rPr>
                <w:rFonts w:hint="default" w:ascii="Times New Roman" w:hAnsi="Times New Roman" w:eastAsia="宋体" w:cs="Times New Roman"/>
                <w:color w:val="auto"/>
                <w:sz w:val="24"/>
                <w:lang w:val="en-US" w:eastAsia="zh-CN"/>
              </w:rPr>
              <w:t xml:space="preserve">、鬼针草 Bidens pilosa 、苦卖菜 </w:t>
            </w:r>
            <w:r>
              <w:rPr>
                <w:rFonts w:hint="default" w:ascii="Times New Roman" w:hAnsi="Times New Roman" w:eastAsia="宋体" w:cs="Times New Roman"/>
                <w:i/>
                <w:iCs/>
                <w:color w:val="auto"/>
                <w:sz w:val="24"/>
                <w:lang w:val="en-US" w:eastAsia="zh-CN"/>
              </w:rPr>
              <w:t>Ixeris denticulata</w:t>
            </w:r>
            <w:r>
              <w:rPr>
                <w:rFonts w:hint="default" w:ascii="Times New Roman" w:hAnsi="Times New Roman" w:eastAsia="宋体" w:cs="Times New Roman"/>
                <w:color w:val="auto"/>
                <w:sz w:val="24"/>
                <w:lang w:val="en-US" w:eastAsia="zh-CN"/>
              </w:rPr>
              <w:t xml:space="preserve"> 、蒲公英 </w:t>
            </w:r>
            <w:r>
              <w:rPr>
                <w:rFonts w:hint="default" w:ascii="Times New Roman" w:hAnsi="Times New Roman" w:eastAsia="宋体" w:cs="Times New Roman"/>
                <w:i/>
                <w:iCs/>
                <w:color w:val="auto"/>
                <w:sz w:val="24"/>
                <w:lang w:val="en-US" w:eastAsia="zh-CN"/>
              </w:rPr>
              <w:t>Taraxacum mongolicum</w:t>
            </w:r>
            <w:r>
              <w:rPr>
                <w:rFonts w:hint="default" w:ascii="Times New Roman" w:hAnsi="Times New Roman" w:eastAsia="宋体" w:cs="Times New Roman"/>
                <w:color w:val="auto"/>
                <w:sz w:val="24"/>
                <w:lang w:val="en-US" w:eastAsia="zh-CN"/>
              </w:rPr>
              <w:t xml:space="preserve">、苦蒿 </w:t>
            </w:r>
            <w:r>
              <w:rPr>
                <w:rFonts w:hint="default" w:ascii="Times New Roman" w:hAnsi="Times New Roman" w:eastAsia="宋体" w:cs="Times New Roman"/>
                <w:i/>
                <w:iCs/>
                <w:color w:val="auto"/>
                <w:sz w:val="24"/>
                <w:lang w:val="en-US" w:eastAsia="zh-CN"/>
              </w:rPr>
              <w:t>Acroptilon repens</w:t>
            </w:r>
            <w:r>
              <w:rPr>
                <w:rFonts w:hint="default" w:ascii="Times New Roman" w:hAnsi="Times New Roman" w:eastAsia="宋体" w:cs="Times New Roman"/>
                <w:color w:val="auto"/>
                <w:sz w:val="24"/>
                <w:lang w:val="en-US" w:eastAsia="zh-CN"/>
              </w:rPr>
              <w:t>、穗序野古草</w:t>
            </w:r>
            <w:r>
              <w:rPr>
                <w:rFonts w:hint="default" w:ascii="Times New Roman" w:hAnsi="Times New Roman" w:eastAsia="宋体" w:cs="Times New Roman"/>
                <w:i/>
                <w:iCs/>
                <w:color w:val="auto"/>
                <w:sz w:val="24"/>
                <w:lang w:val="en-US" w:eastAsia="zh-CN"/>
              </w:rPr>
              <w:t xml:space="preserve"> Arundinella chenii</w:t>
            </w:r>
            <w:r>
              <w:rPr>
                <w:rFonts w:hint="default" w:ascii="Times New Roman" w:hAnsi="Times New Roman" w:eastAsia="宋体" w:cs="Times New Roman"/>
                <w:color w:val="auto"/>
                <w:sz w:val="24"/>
                <w:lang w:val="en-US" w:eastAsia="zh-CN"/>
              </w:rPr>
              <w:t xml:space="preserve">、毛蕨菜 </w:t>
            </w:r>
            <w:r>
              <w:rPr>
                <w:rFonts w:hint="default" w:ascii="Times New Roman" w:hAnsi="Times New Roman" w:eastAsia="宋体" w:cs="Times New Roman"/>
                <w:i/>
                <w:iCs/>
                <w:color w:val="auto"/>
                <w:sz w:val="24"/>
                <w:lang w:val="en-US" w:eastAsia="zh-CN"/>
              </w:rPr>
              <w:t>Pteridium revolutum</w:t>
            </w:r>
            <w:r>
              <w:rPr>
                <w:rFonts w:hint="default" w:ascii="Times New Roman" w:hAnsi="Times New Roman" w:eastAsia="宋体" w:cs="Times New Roman"/>
                <w:color w:val="auto"/>
                <w:sz w:val="24"/>
                <w:lang w:val="en-US" w:eastAsia="zh-CN"/>
              </w:rPr>
              <w:t xml:space="preserve">、白茅 </w:t>
            </w:r>
            <w:r>
              <w:rPr>
                <w:rFonts w:hint="default" w:ascii="Times New Roman" w:hAnsi="Times New Roman" w:eastAsia="宋体" w:cs="Times New Roman"/>
                <w:i/>
                <w:iCs/>
                <w:color w:val="auto"/>
                <w:sz w:val="24"/>
                <w:lang w:val="en-US" w:eastAsia="zh-CN"/>
              </w:rPr>
              <w:t>Imperata cylindica</w:t>
            </w:r>
            <w:r>
              <w:rPr>
                <w:rFonts w:hint="default" w:ascii="Times New Roman" w:hAnsi="Times New Roman" w:eastAsia="宋体" w:cs="Times New Roman"/>
                <w:color w:val="auto"/>
                <w:sz w:val="24"/>
                <w:lang w:val="en-US" w:eastAsia="zh-CN"/>
              </w:rPr>
              <w:t xml:space="preserve">、荩草 </w:t>
            </w:r>
            <w:r>
              <w:rPr>
                <w:rFonts w:hint="default" w:ascii="Times New Roman" w:hAnsi="Times New Roman" w:eastAsia="宋体" w:cs="Times New Roman"/>
                <w:i/>
                <w:iCs/>
                <w:color w:val="auto"/>
                <w:sz w:val="24"/>
                <w:lang w:val="en-US" w:eastAsia="zh-CN"/>
              </w:rPr>
              <w:t>Arthraxon hispidus</w:t>
            </w:r>
            <w:r>
              <w:rPr>
                <w:rFonts w:hint="default" w:ascii="Times New Roman" w:hAnsi="Times New Roman" w:eastAsia="宋体" w:cs="Times New Roman"/>
                <w:color w:val="auto"/>
                <w:sz w:val="24"/>
                <w:lang w:val="en-US" w:eastAsia="zh-CN"/>
              </w:rPr>
              <w:t xml:space="preserve">、截叶铁扫帚 </w:t>
            </w:r>
            <w:r>
              <w:rPr>
                <w:rFonts w:hint="default" w:ascii="Times New Roman" w:hAnsi="Times New Roman" w:eastAsia="宋体" w:cs="Times New Roman"/>
                <w:i/>
                <w:iCs/>
                <w:color w:val="auto"/>
                <w:sz w:val="24"/>
                <w:lang w:val="en-US" w:eastAsia="zh-CN"/>
              </w:rPr>
              <w:t>Lespedeza cuneata</w:t>
            </w:r>
            <w:r>
              <w:rPr>
                <w:rFonts w:hint="default" w:ascii="Times New Roman" w:hAnsi="Times New Roman" w:eastAsia="宋体" w:cs="Times New Roman"/>
                <w:color w:val="auto"/>
                <w:sz w:val="24"/>
                <w:lang w:val="en-US" w:eastAsia="zh-CN"/>
              </w:rPr>
              <w:t xml:space="preserve">、云南繁缕 </w:t>
            </w:r>
            <w:r>
              <w:rPr>
                <w:rFonts w:hint="default" w:ascii="Times New Roman" w:hAnsi="Times New Roman" w:eastAsia="宋体" w:cs="Times New Roman"/>
                <w:i/>
                <w:iCs/>
                <w:color w:val="auto"/>
                <w:sz w:val="24"/>
                <w:lang w:val="en-US" w:eastAsia="zh-CN"/>
              </w:rPr>
              <w:t>Stellaria yunnanensis</w:t>
            </w:r>
            <w:r>
              <w:rPr>
                <w:rFonts w:hint="default" w:ascii="Times New Roman" w:hAnsi="Times New Roman" w:eastAsia="宋体" w:cs="Times New Roman"/>
                <w:color w:val="auto"/>
                <w:sz w:val="24"/>
                <w:lang w:val="en-US" w:eastAsia="zh-CN"/>
              </w:rPr>
              <w:t>、草玉梅</w:t>
            </w:r>
            <w:r>
              <w:rPr>
                <w:rFonts w:hint="default" w:ascii="Times New Roman" w:hAnsi="Times New Roman" w:eastAsia="宋体" w:cs="Times New Roman"/>
                <w:i/>
                <w:iCs/>
                <w:color w:val="auto"/>
                <w:sz w:val="24"/>
                <w:lang w:val="en-US" w:eastAsia="zh-CN"/>
              </w:rPr>
              <w:t>Anemone rivularis</w:t>
            </w:r>
            <w:r>
              <w:rPr>
                <w:rFonts w:hint="default" w:ascii="Times New Roman" w:hAnsi="Times New Roman" w:eastAsia="宋体" w:cs="Times New Roman"/>
                <w:color w:val="auto"/>
                <w:sz w:val="24"/>
                <w:lang w:val="en-US" w:eastAsia="zh-CN"/>
              </w:rPr>
              <w:t xml:space="preserve">、黄毛草莓 </w:t>
            </w:r>
            <w:r>
              <w:rPr>
                <w:rFonts w:hint="default" w:ascii="Times New Roman" w:hAnsi="Times New Roman" w:eastAsia="宋体" w:cs="Times New Roman"/>
                <w:i/>
                <w:iCs/>
                <w:color w:val="auto"/>
                <w:sz w:val="24"/>
                <w:lang w:val="en-US" w:eastAsia="zh-CN"/>
              </w:rPr>
              <w:t>Fragaria nilgerrensis</w:t>
            </w:r>
            <w:r>
              <w:rPr>
                <w:rFonts w:hint="default" w:ascii="Times New Roman" w:hAnsi="Times New Roman" w:eastAsia="宋体" w:cs="Times New Roman"/>
                <w:color w:val="auto"/>
                <w:sz w:val="24"/>
                <w:lang w:val="en-US" w:eastAsia="zh-CN"/>
              </w:rPr>
              <w:t xml:space="preserve">、猪殃殃 </w:t>
            </w:r>
            <w:r>
              <w:rPr>
                <w:rFonts w:hint="default" w:ascii="Times New Roman" w:hAnsi="Times New Roman" w:eastAsia="宋体" w:cs="Times New Roman"/>
                <w:i/>
                <w:iCs/>
                <w:color w:val="auto"/>
                <w:sz w:val="24"/>
                <w:lang w:val="en-US" w:eastAsia="zh-CN"/>
              </w:rPr>
              <w:t>Galium aparine</w:t>
            </w:r>
            <w:r>
              <w:rPr>
                <w:rFonts w:hint="default" w:ascii="Times New Roman" w:hAnsi="Times New Roman" w:eastAsia="宋体" w:cs="Times New Roman"/>
                <w:color w:val="auto"/>
                <w:sz w:val="24"/>
                <w:lang w:val="en-US" w:eastAsia="zh-CN"/>
              </w:rPr>
              <w:t xml:space="preserve">、黄背草 </w:t>
            </w:r>
            <w:r>
              <w:rPr>
                <w:rFonts w:hint="default" w:ascii="Times New Roman" w:hAnsi="Times New Roman" w:eastAsia="宋体" w:cs="Times New Roman"/>
                <w:i/>
                <w:iCs/>
                <w:color w:val="auto"/>
                <w:sz w:val="24"/>
                <w:lang w:val="en-US" w:eastAsia="zh-CN"/>
              </w:rPr>
              <w:t>Themeda triandra</w:t>
            </w:r>
            <w:r>
              <w:rPr>
                <w:rFonts w:hint="default" w:ascii="Times New Roman" w:hAnsi="Times New Roman" w:eastAsia="宋体" w:cs="Times New Roman"/>
                <w:color w:val="auto"/>
                <w:sz w:val="24"/>
                <w:lang w:val="en-US" w:eastAsia="zh-CN"/>
              </w:rPr>
              <w:t xml:space="preserve">、尼泊尔老鹳草 </w:t>
            </w:r>
            <w:r>
              <w:rPr>
                <w:rFonts w:hint="default" w:ascii="Times New Roman" w:hAnsi="Times New Roman" w:eastAsia="宋体" w:cs="Times New Roman"/>
                <w:i/>
                <w:iCs/>
                <w:color w:val="auto"/>
                <w:sz w:val="24"/>
                <w:lang w:val="en-US" w:eastAsia="zh-CN"/>
              </w:rPr>
              <w:t>Geranium nepalense</w:t>
            </w:r>
            <w:r>
              <w:rPr>
                <w:rFonts w:hint="default" w:ascii="Times New Roman" w:hAnsi="Times New Roman" w:eastAsia="宋体" w:cs="Times New Roman"/>
                <w:color w:val="auto"/>
                <w:sz w:val="24"/>
                <w:lang w:val="en-US" w:eastAsia="zh-CN"/>
              </w:rPr>
              <w:t>、画眉草</w:t>
            </w:r>
            <w:r>
              <w:rPr>
                <w:rFonts w:hint="default" w:ascii="Times New Roman" w:hAnsi="Times New Roman" w:eastAsia="宋体" w:cs="Times New Roman"/>
                <w:i/>
                <w:iCs/>
                <w:color w:val="auto"/>
                <w:sz w:val="24"/>
                <w:lang w:val="en-US" w:eastAsia="zh-CN"/>
              </w:rPr>
              <w:t>Eragrostis pilosa</w:t>
            </w:r>
            <w:r>
              <w:rPr>
                <w:rFonts w:hint="default" w:ascii="Times New Roman" w:hAnsi="Times New Roman" w:eastAsia="宋体" w:cs="Times New Roman"/>
                <w:color w:val="auto"/>
                <w:sz w:val="24"/>
                <w:lang w:val="en-US" w:eastAsia="zh-CN"/>
              </w:rPr>
              <w:t xml:space="preserve">、香薷 </w:t>
            </w:r>
            <w:r>
              <w:rPr>
                <w:rFonts w:hint="default" w:ascii="Times New Roman" w:hAnsi="Times New Roman" w:eastAsia="宋体" w:cs="Times New Roman"/>
                <w:i/>
                <w:iCs/>
                <w:color w:val="auto"/>
                <w:sz w:val="24"/>
                <w:lang w:val="en-US" w:eastAsia="zh-CN"/>
              </w:rPr>
              <w:t>Elsholtzia ciliata</w:t>
            </w:r>
            <w:r>
              <w:rPr>
                <w:rFonts w:hint="default" w:ascii="Times New Roman" w:hAnsi="Times New Roman" w:eastAsia="宋体" w:cs="Times New Roman"/>
                <w:color w:val="auto"/>
                <w:sz w:val="24"/>
                <w:lang w:val="en-US" w:eastAsia="zh-CN"/>
              </w:rPr>
              <w:t xml:space="preserve">、翻白叶 </w:t>
            </w:r>
            <w:r>
              <w:rPr>
                <w:rFonts w:hint="default" w:ascii="Times New Roman" w:hAnsi="Times New Roman" w:eastAsia="宋体" w:cs="Times New Roman"/>
                <w:i/>
                <w:iCs/>
                <w:color w:val="auto"/>
                <w:sz w:val="24"/>
                <w:lang w:val="en-US" w:eastAsia="zh-CN"/>
              </w:rPr>
              <w:t>Potentilla discolor</w:t>
            </w:r>
            <w:r>
              <w:rPr>
                <w:rFonts w:hint="default" w:ascii="Times New Roman" w:hAnsi="Times New Roman" w:eastAsia="宋体" w:cs="Times New Roman"/>
                <w:color w:val="auto"/>
                <w:sz w:val="24"/>
                <w:lang w:val="en-US" w:eastAsia="zh-CN"/>
              </w:rPr>
              <w:t xml:space="preserve">、山珠半夏 </w:t>
            </w:r>
            <w:r>
              <w:rPr>
                <w:rFonts w:hint="default" w:ascii="Times New Roman" w:hAnsi="Times New Roman" w:eastAsia="宋体" w:cs="Times New Roman"/>
                <w:i/>
                <w:iCs/>
                <w:color w:val="auto"/>
                <w:sz w:val="24"/>
                <w:lang w:val="en-US" w:eastAsia="zh-CN"/>
              </w:rPr>
              <w:t>Arisaema yunnanense</w:t>
            </w:r>
            <w:r>
              <w:rPr>
                <w:rFonts w:hint="default" w:ascii="Times New Roman" w:hAnsi="Times New Roman" w:eastAsia="宋体" w:cs="Times New Roman"/>
                <w:color w:val="auto"/>
                <w:sz w:val="24"/>
                <w:lang w:val="en-US" w:eastAsia="zh-CN"/>
              </w:rPr>
              <w:t xml:space="preserve">、旱茅 </w:t>
            </w:r>
            <w:r>
              <w:rPr>
                <w:rFonts w:hint="default" w:ascii="Times New Roman" w:hAnsi="Times New Roman" w:eastAsia="宋体" w:cs="Times New Roman"/>
                <w:i/>
                <w:iCs/>
                <w:color w:val="auto"/>
                <w:sz w:val="24"/>
                <w:lang w:val="en-US" w:eastAsia="zh-CN"/>
              </w:rPr>
              <w:t>Eremopogon delavayi</w:t>
            </w:r>
            <w:r>
              <w:rPr>
                <w:rFonts w:hint="default" w:ascii="Times New Roman" w:hAnsi="Times New Roman" w:eastAsia="宋体" w:cs="Times New Roman"/>
                <w:color w:val="auto"/>
                <w:sz w:val="24"/>
                <w:lang w:val="en-US" w:eastAsia="zh-CN"/>
              </w:rPr>
              <w:t xml:space="preserve">、细柄草 </w:t>
            </w:r>
            <w:r>
              <w:rPr>
                <w:rFonts w:hint="default" w:ascii="Times New Roman" w:hAnsi="Times New Roman" w:eastAsia="宋体" w:cs="Times New Roman"/>
                <w:i/>
                <w:iCs/>
                <w:color w:val="auto"/>
                <w:sz w:val="24"/>
                <w:lang w:val="en-US" w:eastAsia="zh-CN"/>
              </w:rPr>
              <w:t>Capillipediumparviflorum</w:t>
            </w:r>
            <w:r>
              <w:rPr>
                <w:rFonts w:hint="default" w:ascii="Times New Roman" w:hAnsi="Times New Roman" w:eastAsia="宋体" w:cs="Times New Roman"/>
                <w:color w:val="auto"/>
                <w:sz w:val="24"/>
                <w:lang w:val="en-US" w:eastAsia="zh-CN"/>
              </w:rPr>
              <w:t xml:space="preserve">、四脉金茅 </w:t>
            </w:r>
            <w:r>
              <w:rPr>
                <w:rFonts w:hint="default" w:ascii="Times New Roman" w:hAnsi="Times New Roman" w:eastAsia="宋体" w:cs="Times New Roman"/>
                <w:i/>
                <w:iCs/>
                <w:color w:val="auto"/>
                <w:sz w:val="24"/>
                <w:lang w:val="en-US" w:eastAsia="zh-CN"/>
              </w:rPr>
              <w:t>Eulalia quadrinervis</w:t>
            </w:r>
            <w:r>
              <w:rPr>
                <w:rFonts w:hint="default" w:ascii="Times New Roman" w:hAnsi="Times New Roman" w:eastAsia="宋体" w:cs="Times New Roman"/>
                <w:color w:val="auto"/>
                <w:sz w:val="24"/>
                <w:lang w:val="en-US" w:eastAsia="zh-CN"/>
              </w:rPr>
              <w:t xml:space="preserve">、棕茅 </w:t>
            </w:r>
            <w:r>
              <w:rPr>
                <w:rFonts w:hint="default" w:ascii="Times New Roman" w:hAnsi="Times New Roman" w:eastAsia="宋体" w:cs="Times New Roman"/>
                <w:i/>
                <w:iCs/>
                <w:color w:val="auto"/>
                <w:sz w:val="24"/>
                <w:lang w:val="en-US" w:eastAsia="zh-CN"/>
              </w:rPr>
              <w:t>Eulalia phaeothrix</w:t>
            </w:r>
            <w:r>
              <w:rPr>
                <w:rFonts w:hint="default" w:ascii="Times New Roman" w:hAnsi="Times New Roman" w:eastAsia="宋体" w:cs="Times New Roman"/>
                <w:color w:val="auto"/>
                <w:sz w:val="24"/>
                <w:lang w:val="en-US" w:eastAsia="zh-CN"/>
              </w:rPr>
              <w:t xml:space="preserve">、马陆草 </w:t>
            </w:r>
            <w:r>
              <w:rPr>
                <w:rFonts w:hint="default" w:ascii="Times New Roman" w:hAnsi="Times New Roman" w:eastAsia="宋体" w:cs="Times New Roman"/>
                <w:i/>
                <w:iCs/>
                <w:color w:val="auto"/>
                <w:sz w:val="24"/>
                <w:lang w:val="en-US" w:eastAsia="zh-CN"/>
              </w:rPr>
              <w:t>Eremochloa zeylanica</w:t>
            </w:r>
            <w:r>
              <w:rPr>
                <w:rFonts w:hint="default" w:ascii="Times New Roman" w:hAnsi="Times New Roman" w:eastAsia="宋体" w:cs="Times New Roman"/>
                <w:color w:val="auto"/>
                <w:sz w:val="24"/>
                <w:lang w:val="en-US" w:eastAsia="zh-CN"/>
              </w:rPr>
              <w:t xml:space="preserve"> 、 云南知风草 </w:t>
            </w:r>
            <w:r>
              <w:rPr>
                <w:rFonts w:hint="default" w:ascii="Times New Roman" w:hAnsi="Times New Roman" w:eastAsia="宋体" w:cs="Times New Roman"/>
                <w:i/>
                <w:iCs/>
                <w:color w:val="auto"/>
                <w:sz w:val="24"/>
                <w:lang w:val="en-US" w:eastAsia="zh-CN"/>
              </w:rPr>
              <w:t>Eragrostis ferruginea</w:t>
            </w:r>
            <w:r>
              <w:rPr>
                <w:rFonts w:hint="default" w:ascii="Times New Roman" w:hAnsi="Times New Roman" w:eastAsia="宋体" w:cs="Times New Roman"/>
                <w:color w:val="auto"/>
                <w:sz w:val="24"/>
                <w:lang w:val="en-US" w:eastAsia="zh-CN"/>
              </w:rPr>
              <w:t xml:space="preserve"> 、土牛膝</w:t>
            </w:r>
            <w:r>
              <w:rPr>
                <w:rFonts w:hint="default" w:ascii="Times New Roman" w:hAnsi="Times New Roman" w:eastAsia="宋体" w:cs="Times New Roman"/>
                <w:i/>
                <w:iCs/>
                <w:color w:val="auto"/>
                <w:sz w:val="24"/>
                <w:lang w:val="en-US" w:eastAsia="zh-CN"/>
              </w:rPr>
              <w:t>Achyranthes aspera</w:t>
            </w:r>
            <w:r>
              <w:rPr>
                <w:rFonts w:hint="default" w:ascii="Times New Roman" w:hAnsi="Times New Roman" w:eastAsia="宋体" w:cs="Times New Roman"/>
                <w:color w:val="auto"/>
                <w:sz w:val="24"/>
                <w:lang w:val="en-US" w:eastAsia="zh-CN"/>
              </w:rPr>
              <w:t xml:space="preserve">、白草 </w:t>
            </w:r>
            <w:r>
              <w:rPr>
                <w:rFonts w:hint="default" w:ascii="Times New Roman" w:hAnsi="Times New Roman" w:eastAsia="宋体" w:cs="Times New Roman"/>
                <w:i/>
                <w:iCs/>
                <w:color w:val="auto"/>
                <w:sz w:val="24"/>
                <w:lang w:val="en-US" w:eastAsia="zh-CN"/>
              </w:rPr>
              <w:t>Pennisetum centrasiaticum</w:t>
            </w:r>
            <w:r>
              <w:rPr>
                <w:rFonts w:hint="default" w:ascii="Times New Roman" w:hAnsi="Times New Roman" w:eastAsia="宋体" w:cs="Times New Roman"/>
                <w:color w:val="auto"/>
                <w:sz w:val="24"/>
                <w:lang w:val="en-US" w:eastAsia="zh-CN"/>
              </w:rPr>
              <w:t>等。</w:t>
            </w:r>
          </w:p>
          <w:p>
            <w:pPr>
              <w:pStyle w:val="157"/>
              <w:snapToGrid/>
              <w:spacing w:line="360" w:lineRule="auto"/>
              <w:ind w:firstLine="481" w:firstLineChars="200"/>
              <w:jc w:val="left"/>
              <w:outlineLvl w:val="1"/>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Ⅱ</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暖温性针叶林</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暖温性针叶林在云南主要分布于云南亚热带北部区域，以滇中高原为主体。在本区内，暖温性针叶林广泛分布于评价区内各地，在评价区整个海拔梯度范围内都有分布，是评价区主要的自然植被类型。评价区的暖温性针叶林</w:t>
            </w:r>
            <w:r>
              <w:rPr>
                <w:rFonts w:hint="default" w:ascii="Times New Roman" w:hAnsi="Times New Roman" w:eastAsia="宋体" w:cs="Times New Roman"/>
                <w:color w:val="auto"/>
                <w:sz w:val="24"/>
                <w:lang w:val="en-US" w:eastAsia="zh-CN"/>
              </w:rPr>
              <w:t>亚型</w:t>
            </w:r>
            <w:r>
              <w:rPr>
                <w:rFonts w:hint="eastAsia" w:ascii="Times New Roman" w:hAnsi="Times New Roman" w:eastAsia="宋体" w:cs="Times New Roman"/>
                <w:color w:val="auto"/>
                <w:sz w:val="24"/>
                <w:lang w:val="en-US" w:eastAsia="zh-CN"/>
              </w:rPr>
              <w:t>为云南松林。</w:t>
            </w:r>
          </w:p>
          <w:p>
            <w:pPr>
              <w:pStyle w:val="157"/>
              <w:snapToGrid/>
              <w:spacing w:line="360" w:lineRule="auto"/>
              <w:ind w:firstLine="481" w:firstLineChars="200"/>
              <w:jc w:val="left"/>
              <w:outlineLvl w:val="1"/>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云南松林群落</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该群落通常在海拔1500~2800m，该群落面积最大，多呈大小斑块状及条状在评价区零星分布。群落高约6-9m，总盖度约 70%-85%，可以分为乔木层、灌木层和草本层。乔木层高约 6-9m，层盖度约 50%-70%，以云南松 </w:t>
            </w:r>
            <w:r>
              <w:rPr>
                <w:rFonts w:hint="default" w:ascii="Times New Roman" w:hAnsi="Times New Roman" w:eastAsia="宋体" w:cs="Times New Roman"/>
                <w:i/>
                <w:iCs/>
                <w:color w:val="auto"/>
                <w:sz w:val="24"/>
                <w:lang w:val="en-US" w:eastAsia="zh-CN"/>
              </w:rPr>
              <w:t>Pinus yunnanensis</w:t>
            </w:r>
            <w:r>
              <w:rPr>
                <w:rFonts w:hint="default" w:ascii="Times New Roman" w:hAnsi="Times New Roman" w:eastAsia="宋体" w:cs="Times New Roman"/>
                <w:color w:val="auto"/>
                <w:sz w:val="24"/>
                <w:lang w:val="en-US" w:eastAsia="zh-CN"/>
              </w:rPr>
              <w:t xml:space="preserve"> 为单优势种，另偶见华山松 </w:t>
            </w:r>
            <w:r>
              <w:rPr>
                <w:rFonts w:hint="default" w:ascii="Times New Roman" w:hAnsi="Times New Roman" w:eastAsia="宋体" w:cs="Times New Roman"/>
                <w:i/>
                <w:iCs/>
                <w:color w:val="auto"/>
                <w:sz w:val="24"/>
                <w:lang w:val="en-US" w:eastAsia="zh-CN"/>
              </w:rPr>
              <w:t>Pinus armandi</w:t>
            </w:r>
            <w:r>
              <w:rPr>
                <w:rFonts w:hint="default" w:ascii="Times New Roman" w:hAnsi="Times New Roman" w:eastAsia="宋体" w:cs="Times New Roman"/>
                <w:color w:val="auto"/>
                <w:sz w:val="24"/>
                <w:lang w:val="en-US" w:eastAsia="zh-CN"/>
              </w:rPr>
              <w:t xml:space="preserve">、黄毛青冈 </w:t>
            </w:r>
            <w:r>
              <w:rPr>
                <w:rFonts w:hint="default" w:ascii="Times New Roman" w:hAnsi="Times New Roman" w:eastAsia="宋体" w:cs="Times New Roman"/>
                <w:i/>
                <w:iCs/>
                <w:color w:val="auto"/>
                <w:sz w:val="24"/>
                <w:lang w:val="en-US" w:eastAsia="zh-CN"/>
              </w:rPr>
              <w:t>Cyclobalanopsis delavayi</w:t>
            </w:r>
            <w:r>
              <w:rPr>
                <w:rFonts w:hint="default" w:ascii="Times New Roman" w:hAnsi="Times New Roman" w:eastAsia="宋体" w:cs="Times New Roman"/>
                <w:color w:val="auto"/>
                <w:sz w:val="24"/>
                <w:lang w:val="en-US" w:eastAsia="zh-CN"/>
              </w:rPr>
              <w:t>、旱冬瓜</w:t>
            </w:r>
            <w:r>
              <w:rPr>
                <w:rFonts w:hint="default" w:ascii="Times New Roman" w:hAnsi="Times New Roman" w:eastAsia="宋体" w:cs="Times New Roman"/>
                <w:i/>
                <w:iCs/>
                <w:color w:val="auto"/>
                <w:sz w:val="24"/>
                <w:lang w:val="en-US" w:eastAsia="zh-CN"/>
              </w:rPr>
              <w:t>Alnus nepalensis</w:t>
            </w:r>
            <w:r>
              <w:rPr>
                <w:rFonts w:hint="default" w:ascii="Times New Roman" w:hAnsi="Times New Roman" w:eastAsia="宋体" w:cs="Times New Roman"/>
                <w:color w:val="auto"/>
                <w:sz w:val="24"/>
                <w:lang w:val="en-US" w:eastAsia="zh-CN"/>
              </w:rPr>
              <w:t xml:space="preserve"> 等。</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灌木层高约 1.5-3m，层盖度约 5%-30%，主要有碎米花 </w:t>
            </w:r>
            <w:r>
              <w:rPr>
                <w:rFonts w:hint="default" w:ascii="Times New Roman" w:hAnsi="Times New Roman" w:eastAsia="宋体" w:cs="Times New Roman"/>
                <w:i/>
                <w:iCs/>
                <w:color w:val="auto"/>
                <w:sz w:val="24"/>
                <w:lang w:val="en-US" w:eastAsia="zh-CN"/>
              </w:rPr>
              <w:t>Rhododendron spiciferum</w:t>
            </w:r>
            <w:r>
              <w:rPr>
                <w:rFonts w:hint="default" w:ascii="Times New Roman" w:hAnsi="Times New Roman" w:eastAsia="宋体" w:cs="Times New Roman"/>
                <w:color w:val="auto"/>
                <w:sz w:val="24"/>
                <w:lang w:val="en-US" w:eastAsia="zh-CN"/>
              </w:rPr>
              <w:t xml:space="preserve">、厚皮香 </w:t>
            </w:r>
            <w:r>
              <w:rPr>
                <w:rFonts w:hint="default" w:ascii="Times New Roman" w:hAnsi="Times New Roman" w:eastAsia="宋体" w:cs="Times New Roman"/>
                <w:i/>
                <w:iCs/>
                <w:color w:val="auto"/>
                <w:sz w:val="24"/>
                <w:lang w:val="en-US" w:eastAsia="zh-CN"/>
              </w:rPr>
              <w:t>Ternstroemia gymnanthera</w:t>
            </w:r>
            <w:r>
              <w:rPr>
                <w:rFonts w:hint="default" w:ascii="Times New Roman" w:hAnsi="Times New Roman" w:eastAsia="宋体" w:cs="Times New Roman"/>
                <w:color w:val="auto"/>
                <w:sz w:val="24"/>
                <w:lang w:val="en-US" w:eastAsia="zh-CN"/>
              </w:rPr>
              <w:t xml:space="preserve">、乌鸦果 </w:t>
            </w:r>
            <w:r>
              <w:rPr>
                <w:rFonts w:hint="default" w:ascii="Times New Roman" w:hAnsi="Times New Roman" w:eastAsia="宋体" w:cs="Times New Roman"/>
                <w:i/>
                <w:iCs/>
                <w:color w:val="auto"/>
                <w:sz w:val="24"/>
                <w:lang w:val="en-US" w:eastAsia="zh-CN"/>
              </w:rPr>
              <w:t>Vaccinium fragile</w:t>
            </w:r>
            <w:r>
              <w:rPr>
                <w:rFonts w:hint="default" w:ascii="Times New Roman" w:hAnsi="Times New Roman" w:eastAsia="宋体" w:cs="Times New Roman"/>
                <w:color w:val="auto"/>
                <w:sz w:val="24"/>
                <w:lang w:val="en-US" w:eastAsia="zh-CN"/>
              </w:rPr>
              <w:t xml:space="preserve">、米饭花 Lyonia ovalifolia、云南越桔 </w:t>
            </w:r>
            <w:r>
              <w:rPr>
                <w:rFonts w:hint="default" w:ascii="Times New Roman" w:hAnsi="Times New Roman" w:eastAsia="宋体" w:cs="Times New Roman"/>
                <w:i/>
                <w:iCs/>
                <w:color w:val="auto"/>
                <w:sz w:val="24"/>
                <w:lang w:val="en-US" w:eastAsia="zh-CN"/>
              </w:rPr>
              <w:t>Vaccinium duclouxii</w:t>
            </w:r>
            <w:r>
              <w:rPr>
                <w:rFonts w:hint="default" w:ascii="Times New Roman" w:hAnsi="Times New Roman" w:eastAsia="宋体" w:cs="Times New Roman"/>
                <w:color w:val="auto"/>
                <w:sz w:val="24"/>
                <w:lang w:val="en-US" w:eastAsia="zh-CN"/>
              </w:rPr>
              <w:t xml:space="preserve">、铁仔 </w:t>
            </w:r>
            <w:r>
              <w:rPr>
                <w:rFonts w:hint="default" w:ascii="Times New Roman" w:hAnsi="Times New Roman" w:eastAsia="宋体" w:cs="Times New Roman"/>
                <w:i/>
                <w:iCs/>
                <w:color w:val="auto"/>
                <w:sz w:val="24"/>
                <w:lang w:val="en-US" w:eastAsia="zh-CN"/>
              </w:rPr>
              <w:t>Myrsine</w:t>
            </w:r>
            <w:r>
              <w:rPr>
                <w:rFonts w:hint="eastAsia" w:ascii="Times New Roman" w:hAnsi="Times New Roman" w:eastAsia="宋体" w:cs="Times New Roman"/>
                <w:i/>
                <w:iCs/>
                <w:color w:val="auto"/>
                <w:sz w:val="24"/>
                <w:lang w:val="en-US" w:eastAsia="zh-CN"/>
              </w:rPr>
              <w:t xml:space="preserve"> </w:t>
            </w:r>
            <w:r>
              <w:rPr>
                <w:rFonts w:hint="default" w:ascii="Times New Roman" w:hAnsi="Times New Roman" w:eastAsia="宋体" w:cs="Times New Roman"/>
                <w:i/>
                <w:iCs/>
                <w:color w:val="auto"/>
                <w:sz w:val="24"/>
                <w:lang w:val="en-US" w:eastAsia="zh-CN"/>
              </w:rPr>
              <w:t>africana</w:t>
            </w:r>
            <w:r>
              <w:rPr>
                <w:rFonts w:hint="default" w:ascii="Times New Roman" w:hAnsi="Times New Roman" w:eastAsia="宋体" w:cs="Times New Roman"/>
                <w:color w:val="auto"/>
                <w:sz w:val="24"/>
                <w:lang w:val="en-US" w:eastAsia="zh-CN"/>
              </w:rPr>
              <w:t xml:space="preserve">、美丽马醉木 </w:t>
            </w:r>
            <w:r>
              <w:rPr>
                <w:rFonts w:hint="default" w:ascii="Times New Roman" w:hAnsi="Times New Roman" w:eastAsia="宋体" w:cs="Times New Roman"/>
                <w:i/>
                <w:iCs/>
                <w:color w:val="auto"/>
                <w:sz w:val="24"/>
                <w:lang w:val="en-US" w:eastAsia="zh-CN"/>
              </w:rPr>
              <w:t>Pieris formosa</w:t>
            </w:r>
            <w:r>
              <w:rPr>
                <w:rFonts w:hint="default" w:ascii="Times New Roman" w:hAnsi="Times New Roman" w:eastAsia="宋体" w:cs="Times New Roman"/>
                <w:color w:val="auto"/>
                <w:sz w:val="24"/>
                <w:lang w:val="en-US" w:eastAsia="zh-CN"/>
              </w:rPr>
              <w:t xml:space="preserve">、爆杖花 </w:t>
            </w:r>
            <w:r>
              <w:rPr>
                <w:rFonts w:hint="default" w:ascii="Times New Roman" w:hAnsi="Times New Roman" w:eastAsia="宋体" w:cs="Times New Roman"/>
                <w:i/>
                <w:iCs/>
                <w:color w:val="auto"/>
                <w:sz w:val="24"/>
                <w:lang w:val="en-US" w:eastAsia="zh-CN"/>
              </w:rPr>
              <w:t>Rhododendron spinuliferum</w:t>
            </w:r>
            <w:r>
              <w:rPr>
                <w:rFonts w:hint="default" w:ascii="Times New Roman" w:hAnsi="Times New Roman" w:eastAsia="宋体" w:cs="Times New Roman"/>
                <w:color w:val="auto"/>
                <w:sz w:val="24"/>
                <w:lang w:val="en-US" w:eastAsia="zh-CN"/>
              </w:rPr>
              <w:t xml:space="preserve">、细齿叶柃 </w:t>
            </w:r>
            <w:r>
              <w:rPr>
                <w:rFonts w:hint="default" w:ascii="Times New Roman" w:hAnsi="Times New Roman" w:eastAsia="宋体" w:cs="Times New Roman"/>
                <w:i/>
                <w:iCs/>
                <w:color w:val="auto"/>
                <w:sz w:val="24"/>
                <w:lang w:val="en-US" w:eastAsia="zh-CN"/>
              </w:rPr>
              <w:t>Eurya nitida</w:t>
            </w:r>
            <w:r>
              <w:rPr>
                <w:rFonts w:hint="default" w:ascii="Times New Roman" w:hAnsi="Times New Roman" w:eastAsia="宋体" w:cs="Times New Roman"/>
                <w:color w:val="auto"/>
                <w:sz w:val="24"/>
                <w:lang w:val="en-US" w:eastAsia="zh-CN"/>
              </w:rPr>
              <w:t xml:space="preserve">、野拔子 </w:t>
            </w:r>
            <w:r>
              <w:rPr>
                <w:rFonts w:hint="default" w:ascii="Times New Roman" w:hAnsi="Times New Roman" w:eastAsia="宋体" w:cs="Times New Roman"/>
                <w:i/>
                <w:iCs/>
                <w:color w:val="auto"/>
                <w:sz w:val="24"/>
                <w:lang w:val="en-US" w:eastAsia="zh-CN"/>
              </w:rPr>
              <w:t>Elsholtzia rugulosa</w:t>
            </w:r>
            <w:r>
              <w:rPr>
                <w:rFonts w:hint="default" w:ascii="Times New Roman" w:hAnsi="Times New Roman" w:eastAsia="宋体" w:cs="Times New Roman"/>
                <w:color w:val="auto"/>
                <w:sz w:val="24"/>
                <w:lang w:val="en-US" w:eastAsia="zh-CN"/>
              </w:rPr>
              <w:t xml:space="preserve">、沙针 </w:t>
            </w:r>
            <w:r>
              <w:rPr>
                <w:rFonts w:hint="default" w:ascii="Times New Roman" w:hAnsi="Times New Roman" w:eastAsia="宋体" w:cs="Times New Roman"/>
                <w:i/>
                <w:iCs/>
                <w:color w:val="auto"/>
                <w:sz w:val="24"/>
                <w:lang w:val="en-US" w:eastAsia="zh-CN"/>
              </w:rPr>
              <w:t>Osyris wightiana</w:t>
            </w:r>
            <w:r>
              <w:rPr>
                <w:rFonts w:hint="default" w:ascii="Times New Roman" w:hAnsi="Times New Roman" w:eastAsia="宋体" w:cs="Times New Roman"/>
                <w:color w:val="auto"/>
                <w:sz w:val="24"/>
                <w:lang w:val="en-US" w:eastAsia="zh-CN"/>
              </w:rPr>
              <w:t xml:space="preserve">、牛筋条 </w:t>
            </w:r>
            <w:r>
              <w:rPr>
                <w:rFonts w:hint="default" w:ascii="Times New Roman" w:hAnsi="Times New Roman" w:eastAsia="宋体" w:cs="Times New Roman"/>
                <w:i/>
                <w:iCs/>
                <w:color w:val="auto"/>
                <w:sz w:val="24"/>
                <w:lang w:val="en-US" w:eastAsia="zh-CN"/>
              </w:rPr>
              <w:t>Dichotomanthes</w:t>
            </w:r>
            <w:r>
              <w:rPr>
                <w:rFonts w:hint="default" w:ascii="Times New Roman" w:hAnsi="Times New Roman" w:eastAsia="宋体" w:cs="Times New Roman"/>
                <w:color w:val="auto"/>
                <w:sz w:val="24"/>
                <w:lang w:val="en-US" w:eastAsia="zh-CN"/>
              </w:rPr>
              <w:t xml:space="preserve"> tristaniaecarpa、网叶木蓝 </w:t>
            </w:r>
            <w:r>
              <w:rPr>
                <w:rFonts w:hint="default" w:ascii="Times New Roman" w:hAnsi="Times New Roman" w:eastAsia="宋体" w:cs="Times New Roman"/>
                <w:i/>
                <w:iCs/>
                <w:color w:val="auto"/>
                <w:sz w:val="24"/>
                <w:lang w:val="en-US" w:eastAsia="zh-CN"/>
              </w:rPr>
              <w:t>Indigofera reticulata</w:t>
            </w:r>
            <w:r>
              <w:rPr>
                <w:rFonts w:hint="default" w:ascii="Times New Roman" w:hAnsi="Times New Roman" w:eastAsia="宋体" w:cs="Times New Roman"/>
                <w:color w:val="auto"/>
                <w:sz w:val="24"/>
                <w:lang w:val="en-US" w:eastAsia="zh-CN"/>
              </w:rPr>
              <w:t xml:space="preserve">、川梨 </w:t>
            </w:r>
            <w:r>
              <w:rPr>
                <w:rFonts w:hint="default" w:ascii="Times New Roman" w:hAnsi="Times New Roman" w:eastAsia="宋体" w:cs="Times New Roman"/>
                <w:i/>
                <w:iCs/>
                <w:color w:val="auto"/>
                <w:sz w:val="24"/>
                <w:lang w:val="en-US" w:eastAsia="zh-CN"/>
              </w:rPr>
              <w:t>Pyrus pashia</w:t>
            </w:r>
            <w:r>
              <w:rPr>
                <w:rFonts w:hint="default" w:ascii="Times New Roman" w:hAnsi="Times New Roman" w:eastAsia="宋体" w:cs="Times New Roman"/>
                <w:color w:val="auto"/>
                <w:sz w:val="24"/>
                <w:lang w:val="en-US" w:eastAsia="zh-CN"/>
              </w:rPr>
              <w:t xml:space="preserve"> 等。</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草本层高约 0.4-1.2m，层盖度约 10%-40%，主要有四脉金茅 </w:t>
            </w:r>
            <w:r>
              <w:rPr>
                <w:rFonts w:hint="default" w:ascii="Times New Roman" w:hAnsi="Times New Roman" w:eastAsia="宋体" w:cs="Times New Roman"/>
                <w:i/>
                <w:iCs/>
                <w:color w:val="auto"/>
                <w:sz w:val="24"/>
                <w:lang w:val="en-US" w:eastAsia="zh-CN"/>
              </w:rPr>
              <w:t>Eulalia</w:t>
            </w:r>
            <w:r>
              <w:rPr>
                <w:rFonts w:hint="eastAsia" w:ascii="Times New Roman" w:hAnsi="Times New Roman" w:eastAsia="宋体" w:cs="Times New Roman"/>
                <w:i/>
                <w:iCs/>
                <w:color w:val="auto"/>
                <w:sz w:val="24"/>
                <w:lang w:val="en-US" w:eastAsia="zh-CN"/>
              </w:rPr>
              <w:t xml:space="preserve"> </w:t>
            </w:r>
            <w:r>
              <w:rPr>
                <w:rFonts w:hint="default" w:ascii="Times New Roman" w:hAnsi="Times New Roman" w:eastAsia="宋体" w:cs="Times New Roman"/>
                <w:i/>
                <w:iCs/>
                <w:color w:val="auto"/>
                <w:sz w:val="24"/>
                <w:lang w:val="en-US" w:eastAsia="zh-CN"/>
              </w:rPr>
              <w:t>quadrinervis</w:t>
            </w:r>
            <w:r>
              <w:rPr>
                <w:rFonts w:hint="default" w:ascii="Times New Roman" w:hAnsi="Times New Roman" w:eastAsia="宋体" w:cs="Times New Roman"/>
                <w:color w:val="auto"/>
                <w:sz w:val="24"/>
                <w:lang w:val="en-US" w:eastAsia="zh-CN"/>
              </w:rPr>
              <w:t xml:space="preserve">、密毛蕨 </w:t>
            </w:r>
            <w:r>
              <w:rPr>
                <w:rFonts w:hint="default" w:ascii="Times New Roman" w:hAnsi="Times New Roman" w:eastAsia="宋体" w:cs="Times New Roman"/>
                <w:i/>
                <w:iCs/>
                <w:color w:val="auto"/>
                <w:sz w:val="24"/>
                <w:lang w:val="en-US" w:eastAsia="zh-CN"/>
              </w:rPr>
              <w:t>Pteridium revolutum</w:t>
            </w:r>
            <w:r>
              <w:rPr>
                <w:rFonts w:hint="default" w:ascii="Times New Roman" w:hAnsi="Times New Roman" w:eastAsia="宋体" w:cs="Times New Roman"/>
                <w:color w:val="auto"/>
                <w:sz w:val="24"/>
                <w:lang w:val="en-US" w:eastAsia="zh-CN"/>
              </w:rPr>
              <w:t xml:space="preserve">、紫茎泽兰 </w:t>
            </w:r>
            <w:r>
              <w:rPr>
                <w:rFonts w:hint="default" w:ascii="Times New Roman" w:hAnsi="Times New Roman" w:eastAsia="宋体" w:cs="Times New Roman"/>
                <w:i/>
                <w:iCs/>
                <w:color w:val="auto"/>
                <w:sz w:val="24"/>
                <w:lang w:val="en-US" w:eastAsia="zh-CN"/>
              </w:rPr>
              <w:t>Ageratina adenophora</w:t>
            </w:r>
            <w:r>
              <w:rPr>
                <w:rFonts w:hint="default" w:ascii="Times New Roman" w:hAnsi="Times New Roman" w:eastAsia="宋体" w:cs="Times New Roman"/>
                <w:color w:val="auto"/>
                <w:sz w:val="24"/>
                <w:lang w:val="en-US" w:eastAsia="zh-CN"/>
              </w:rPr>
              <w:t xml:space="preserve">、羊耳菊 </w:t>
            </w:r>
            <w:r>
              <w:rPr>
                <w:rFonts w:hint="default" w:ascii="Times New Roman" w:hAnsi="Times New Roman" w:eastAsia="宋体" w:cs="Times New Roman"/>
                <w:i/>
                <w:iCs/>
                <w:color w:val="auto"/>
                <w:sz w:val="24"/>
                <w:lang w:val="en-US" w:eastAsia="zh-CN"/>
              </w:rPr>
              <w:t>Inula cappa</w:t>
            </w:r>
            <w:r>
              <w:rPr>
                <w:rFonts w:hint="default" w:ascii="Times New Roman" w:hAnsi="Times New Roman" w:eastAsia="宋体" w:cs="Times New Roman"/>
                <w:color w:val="auto"/>
                <w:sz w:val="24"/>
                <w:lang w:val="en-US" w:eastAsia="zh-CN"/>
              </w:rPr>
              <w:t>、火石花</w:t>
            </w:r>
            <w:r>
              <w:rPr>
                <w:rFonts w:hint="default" w:ascii="Times New Roman" w:hAnsi="Times New Roman" w:eastAsia="宋体" w:cs="Times New Roman"/>
                <w:i/>
                <w:iCs/>
                <w:color w:val="auto"/>
                <w:sz w:val="24"/>
                <w:lang w:val="en-US" w:eastAsia="zh-CN"/>
              </w:rPr>
              <w:t xml:space="preserve"> Gerbera delavayi</w:t>
            </w:r>
            <w:r>
              <w:rPr>
                <w:rFonts w:hint="default" w:ascii="Times New Roman" w:hAnsi="Times New Roman" w:eastAsia="宋体" w:cs="Times New Roman"/>
                <w:color w:val="auto"/>
                <w:sz w:val="24"/>
                <w:lang w:val="en-US" w:eastAsia="zh-CN"/>
              </w:rPr>
              <w:t xml:space="preserve">、小叶三点金 </w:t>
            </w:r>
            <w:r>
              <w:rPr>
                <w:rFonts w:hint="default" w:ascii="Times New Roman" w:hAnsi="Times New Roman" w:eastAsia="宋体" w:cs="Times New Roman"/>
                <w:i/>
                <w:iCs/>
                <w:color w:val="auto"/>
                <w:sz w:val="24"/>
                <w:lang w:val="en-US" w:eastAsia="zh-CN"/>
              </w:rPr>
              <w:t>Desmodium microphyllum</w:t>
            </w:r>
            <w:r>
              <w:rPr>
                <w:rFonts w:hint="default" w:ascii="Times New Roman" w:hAnsi="Times New Roman" w:eastAsia="宋体" w:cs="Times New Roman"/>
                <w:color w:val="auto"/>
                <w:sz w:val="24"/>
                <w:lang w:val="en-US" w:eastAsia="zh-CN"/>
              </w:rPr>
              <w:t xml:space="preserve">、刚莠竹 </w:t>
            </w:r>
            <w:r>
              <w:rPr>
                <w:rFonts w:hint="default" w:ascii="Times New Roman" w:hAnsi="Times New Roman" w:eastAsia="宋体" w:cs="Times New Roman"/>
                <w:i/>
                <w:iCs/>
                <w:color w:val="auto"/>
                <w:sz w:val="24"/>
                <w:lang w:val="en-US" w:eastAsia="zh-CN"/>
              </w:rPr>
              <w:t>Microstegium ciliatum</w:t>
            </w:r>
            <w:r>
              <w:rPr>
                <w:rFonts w:hint="default" w:ascii="Times New Roman" w:hAnsi="Times New Roman" w:eastAsia="宋体" w:cs="Times New Roman"/>
                <w:color w:val="auto"/>
                <w:sz w:val="24"/>
                <w:lang w:val="en-US" w:eastAsia="zh-CN"/>
              </w:rPr>
              <w:t xml:space="preserve">、黑足金粉蕨 </w:t>
            </w:r>
            <w:r>
              <w:rPr>
                <w:rFonts w:hint="default" w:ascii="Times New Roman" w:hAnsi="Times New Roman" w:eastAsia="宋体" w:cs="Times New Roman"/>
                <w:i/>
                <w:iCs/>
                <w:color w:val="auto"/>
                <w:sz w:val="24"/>
                <w:lang w:val="en-US" w:eastAsia="zh-CN"/>
              </w:rPr>
              <w:t>Onychium contiguum</w:t>
            </w:r>
            <w:r>
              <w:rPr>
                <w:rFonts w:hint="default" w:ascii="Times New Roman" w:hAnsi="Times New Roman" w:eastAsia="宋体" w:cs="Times New Roman"/>
                <w:color w:val="auto"/>
                <w:sz w:val="24"/>
                <w:lang w:val="en-US" w:eastAsia="zh-CN"/>
              </w:rPr>
              <w:t xml:space="preserve">、珠光香青 </w:t>
            </w:r>
            <w:r>
              <w:rPr>
                <w:rFonts w:hint="default" w:ascii="Times New Roman" w:hAnsi="Times New Roman" w:eastAsia="宋体" w:cs="Times New Roman"/>
                <w:i/>
                <w:iCs/>
                <w:color w:val="auto"/>
                <w:sz w:val="24"/>
                <w:lang w:val="en-US" w:eastAsia="zh-CN"/>
              </w:rPr>
              <w:t>Anaphalis margaritacea</w:t>
            </w:r>
            <w:r>
              <w:rPr>
                <w:rFonts w:hint="default" w:ascii="Times New Roman" w:hAnsi="Times New Roman" w:eastAsia="宋体" w:cs="Times New Roman"/>
                <w:color w:val="auto"/>
                <w:sz w:val="24"/>
                <w:lang w:val="en-US" w:eastAsia="zh-CN"/>
              </w:rPr>
              <w:t xml:space="preserve">、浆果薹草 </w:t>
            </w:r>
            <w:r>
              <w:rPr>
                <w:rFonts w:hint="default" w:ascii="Times New Roman" w:hAnsi="Times New Roman" w:eastAsia="宋体" w:cs="Times New Roman"/>
                <w:i/>
                <w:iCs/>
                <w:color w:val="auto"/>
                <w:sz w:val="24"/>
                <w:lang w:val="en-US" w:eastAsia="zh-CN"/>
              </w:rPr>
              <w:t>Carex baccans</w:t>
            </w:r>
            <w:r>
              <w:rPr>
                <w:rFonts w:hint="default" w:ascii="Times New Roman" w:hAnsi="Times New Roman" w:eastAsia="宋体" w:cs="Times New Roman"/>
                <w:color w:val="auto"/>
                <w:sz w:val="24"/>
                <w:lang w:val="en-US" w:eastAsia="zh-CN"/>
              </w:rPr>
              <w:t xml:space="preserve">、沿阶草 </w:t>
            </w:r>
            <w:r>
              <w:rPr>
                <w:rFonts w:hint="default" w:ascii="Times New Roman" w:hAnsi="Times New Roman" w:eastAsia="宋体" w:cs="Times New Roman"/>
                <w:i/>
                <w:iCs/>
                <w:color w:val="auto"/>
                <w:sz w:val="24"/>
                <w:lang w:val="en-US" w:eastAsia="zh-CN"/>
              </w:rPr>
              <w:t>Ophiopogon bodinieri</w:t>
            </w:r>
            <w:r>
              <w:rPr>
                <w:rFonts w:hint="default" w:ascii="Times New Roman" w:hAnsi="Times New Roman" w:eastAsia="宋体" w:cs="Times New Roman"/>
                <w:color w:val="auto"/>
                <w:sz w:val="24"/>
                <w:lang w:val="en-US" w:eastAsia="zh-CN"/>
              </w:rPr>
              <w:t xml:space="preserve">、刺芒野古草 </w:t>
            </w:r>
            <w:r>
              <w:rPr>
                <w:rFonts w:hint="default" w:ascii="Times New Roman" w:hAnsi="Times New Roman" w:eastAsia="宋体" w:cs="Times New Roman"/>
                <w:i/>
                <w:iCs/>
                <w:color w:val="auto"/>
                <w:sz w:val="24"/>
                <w:lang w:val="en-US" w:eastAsia="zh-CN"/>
              </w:rPr>
              <w:t>Arundinella setosa</w:t>
            </w:r>
            <w:r>
              <w:rPr>
                <w:rFonts w:hint="default" w:ascii="Times New Roman" w:hAnsi="Times New Roman" w:eastAsia="宋体" w:cs="Times New Roman"/>
                <w:color w:val="auto"/>
                <w:sz w:val="24"/>
                <w:lang w:val="en-US" w:eastAsia="zh-CN"/>
              </w:rPr>
              <w:t xml:space="preserve">、凤尾蕨 </w:t>
            </w:r>
            <w:r>
              <w:rPr>
                <w:rFonts w:hint="default" w:ascii="Times New Roman" w:hAnsi="Times New Roman" w:eastAsia="宋体" w:cs="Times New Roman"/>
                <w:i/>
                <w:iCs/>
                <w:color w:val="auto"/>
                <w:sz w:val="24"/>
                <w:lang w:val="en-US" w:eastAsia="zh-CN"/>
              </w:rPr>
              <w:t>Pteris</w:t>
            </w:r>
            <w:r>
              <w:rPr>
                <w:rFonts w:hint="eastAsia" w:ascii="Times New Roman" w:hAnsi="Times New Roman" w:eastAsia="宋体" w:cs="Times New Roman"/>
                <w:i/>
                <w:iCs/>
                <w:color w:val="auto"/>
                <w:sz w:val="24"/>
                <w:lang w:val="en-US" w:eastAsia="zh-CN"/>
              </w:rPr>
              <w:t xml:space="preserve"> </w:t>
            </w:r>
            <w:r>
              <w:rPr>
                <w:rFonts w:hint="default" w:ascii="Times New Roman" w:hAnsi="Times New Roman" w:eastAsia="宋体" w:cs="Times New Roman"/>
                <w:i/>
                <w:iCs/>
                <w:color w:val="auto"/>
                <w:sz w:val="24"/>
                <w:lang w:val="en-US" w:eastAsia="zh-CN"/>
              </w:rPr>
              <w:t>nervosa</w:t>
            </w:r>
            <w:r>
              <w:rPr>
                <w:rFonts w:hint="default" w:ascii="Times New Roman" w:hAnsi="Times New Roman" w:eastAsia="宋体" w:cs="Times New Roman"/>
                <w:color w:val="auto"/>
                <w:sz w:val="24"/>
                <w:lang w:val="en-US" w:eastAsia="zh-CN"/>
              </w:rPr>
              <w:t xml:space="preserve">、圆舌粘冠草 </w:t>
            </w:r>
            <w:r>
              <w:rPr>
                <w:rFonts w:hint="default" w:ascii="Times New Roman" w:hAnsi="Times New Roman" w:eastAsia="宋体" w:cs="Times New Roman"/>
                <w:i/>
                <w:iCs/>
                <w:color w:val="auto"/>
                <w:sz w:val="24"/>
                <w:lang w:val="en-US" w:eastAsia="zh-CN"/>
              </w:rPr>
              <w:t>Myriactis nepalensis</w:t>
            </w:r>
            <w:r>
              <w:rPr>
                <w:rFonts w:hint="default" w:ascii="Times New Roman" w:hAnsi="Times New Roman" w:eastAsia="宋体" w:cs="Times New Roman"/>
                <w:color w:val="auto"/>
                <w:sz w:val="24"/>
                <w:lang w:val="en-US" w:eastAsia="zh-CN"/>
              </w:rPr>
              <w:t xml:space="preserve">、白茅 </w:t>
            </w:r>
            <w:r>
              <w:rPr>
                <w:rFonts w:hint="default" w:ascii="Times New Roman" w:hAnsi="Times New Roman" w:eastAsia="宋体" w:cs="Times New Roman"/>
                <w:i/>
                <w:iCs/>
                <w:color w:val="auto"/>
                <w:sz w:val="24"/>
                <w:lang w:val="en-US" w:eastAsia="zh-CN"/>
              </w:rPr>
              <w:t>Imperata cylindrica var. major</w:t>
            </w:r>
            <w:r>
              <w:rPr>
                <w:rFonts w:hint="default" w:ascii="Times New Roman" w:hAnsi="Times New Roman" w:eastAsia="宋体" w:cs="Times New Roman"/>
                <w:color w:val="auto"/>
                <w:sz w:val="24"/>
                <w:lang w:val="en-US" w:eastAsia="zh-CN"/>
              </w:rPr>
              <w:t xml:space="preserve">、疏叶蹄盖蕨 </w:t>
            </w:r>
            <w:r>
              <w:rPr>
                <w:rFonts w:hint="default" w:ascii="Times New Roman" w:hAnsi="Times New Roman" w:eastAsia="宋体" w:cs="Times New Roman"/>
                <w:i/>
                <w:iCs/>
                <w:color w:val="auto"/>
                <w:sz w:val="24"/>
                <w:lang w:val="en-US" w:eastAsia="zh-CN"/>
              </w:rPr>
              <w:t>Athyrium dissitifolium</w:t>
            </w:r>
            <w:r>
              <w:rPr>
                <w:rFonts w:hint="default" w:ascii="Times New Roman" w:hAnsi="Times New Roman" w:eastAsia="宋体" w:cs="Times New Roman"/>
                <w:color w:val="auto"/>
                <w:sz w:val="24"/>
                <w:lang w:val="en-US" w:eastAsia="zh-CN"/>
              </w:rPr>
              <w:t xml:space="preserve"> 等。</w:t>
            </w:r>
          </w:p>
          <w:p>
            <w:pPr>
              <w:pStyle w:val="157"/>
              <w:snapToGrid/>
              <w:spacing w:line="360" w:lineRule="auto"/>
              <w:ind w:firstLine="481"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Ⅲ</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半湿润常绿阔叶林</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半湿润常绿阔叶林是这一地区的原生性植被类型，且具有很强的代表性，是云南省亚热带北部的地带性植被类型。其群落结构和组成有以下特点：1）组成乔木层的优势或共优树种主要是壳斗科，其中以青冈属、栲属、石栎属为主；2）树种一般具有明显的旱生特征，如叶片革质、稍硬，有时叶背具毛，树干多弯曲，树皮粗厚等。</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以黄毛青冈为优势的半湿润常绿阔叶林，在滇中高原各地一般都分布在1800-2500m 范围。由于人们长期砍伐，目前保留较原始状态的森林已很少见。黄毛青冈是一种较为喜阳耐旱的常绿树种，其叶子质硬而具密黄毛，树皮粗厚，旱生生态特征十分明显。多数为单株或小片分散生长。黄毛青冈残留在云南松林内，常分布于低山丘陵地区，这是在滇中高原十分普遍的现象。可见它对环境的要求接近云南松，虽不如后者适应性强，但它仍不失为滇中高原典型的树种之一。</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由于人类长期的人为经济活动影响，评价区原始状态的半湿润常绿阔叶林已很少见，评价区内的半湿润常绿阔叶林亚型为黄毛青冈林。</w:t>
            </w:r>
          </w:p>
          <w:p>
            <w:pPr>
              <w:pStyle w:val="157"/>
              <w:snapToGrid/>
              <w:spacing w:line="360" w:lineRule="auto"/>
              <w:ind w:firstLine="481"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黄毛青冈</w:t>
            </w:r>
            <w:r>
              <w:rPr>
                <w:rFonts w:hint="eastAsia" w:ascii="Times New Roman" w:hAnsi="Times New Roman" w:eastAsia="宋体" w:cs="Times New Roman"/>
                <w:b/>
                <w:bCs/>
                <w:color w:val="auto"/>
                <w:sz w:val="24"/>
                <w:lang w:val="en-US" w:eastAsia="zh-CN"/>
              </w:rPr>
              <w:t>林</w:t>
            </w:r>
            <w:r>
              <w:rPr>
                <w:rFonts w:hint="default" w:ascii="Times New Roman" w:hAnsi="Times New Roman" w:eastAsia="宋体" w:cs="Times New Roman"/>
                <w:b/>
                <w:bCs/>
                <w:color w:val="auto"/>
                <w:sz w:val="24"/>
                <w:lang w:val="en-US" w:eastAsia="zh-CN"/>
              </w:rPr>
              <w:t>群落</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该群落分布面积不大，多呈小斑块状在评价区零星分布，属原生林遭砍伐破坏后萌发形成的次生幼林。群落高约5-12m，总盖度约60%-85%，可以分为乔木层、灌木层、草本层。乔木层盖度约45%-70%，以黄毛青冈</w:t>
            </w:r>
            <w:r>
              <w:rPr>
                <w:rFonts w:hint="eastAsia" w:ascii="Times New Roman" w:hAnsi="Times New Roman" w:eastAsia="宋体" w:cs="Times New Roman"/>
                <w:i/>
                <w:iCs/>
                <w:color w:val="auto"/>
                <w:sz w:val="24"/>
                <w:lang w:val="en-US" w:eastAsia="zh-CN"/>
              </w:rPr>
              <w:t>Cyclobalanopsis delavayi</w:t>
            </w:r>
            <w:r>
              <w:rPr>
                <w:rFonts w:hint="eastAsia" w:ascii="Times New Roman" w:hAnsi="Times New Roman" w:eastAsia="宋体" w:cs="Times New Roman"/>
                <w:color w:val="auto"/>
                <w:sz w:val="24"/>
                <w:lang w:val="en-US" w:eastAsia="zh-CN"/>
              </w:rPr>
              <w:t xml:space="preserve">为优势种，另外伴生有少量云南松 </w:t>
            </w:r>
            <w:r>
              <w:rPr>
                <w:rFonts w:hint="eastAsia" w:ascii="Times New Roman" w:hAnsi="Times New Roman" w:eastAsia="宋体" w:cs="Times New Roman"/>
                <w:i/>
                <w:iCs/>
                <w:color w:val="auto"/>
                <w:sz w:val="24"/>
                <w:lang w:val="en-US" w:eastAsia="zh-CN"/>
              </w:rPr>
              <w:t>Pinus yunnanensis</w:t>
            </w:r>
            <w:r>
              <w:rPr>
                <w:rFonts w:hint="eastAsia" w:ascii="Times New Roman" w:hAnsi="Times New Roman" w:eastAsia="宋体" w:cs="Times New Roman"/>
                <w:color w:val="auto"/>
                <w:sz w:val="24"/>
                <w:lang w:val="en-US" w:eastAsia="zh-CN"/>
              </w:rPr>
              <w:t xml:space="preserve">、滇石栎 </w:t>
            </w:r>
            <w:r>
              <w:rPr>
                <w:rFonts w:hint="eastAsia" w:ascii="Times New Roman" w:hAnsi="Times New Roman" w:eastAsia="宋体" w:cs="Times New Roman"/>
                <w:i/>
                <w:iCs/>
                <w:color w:val="auto"/>
                <w:sz w:val="24"/>
                <w:lang w:val="en-US" w:eastAsia="zh-CN"/>
              </w:rPr>
              <w:t>Lithocarpus dealbatus</w:t>
            </w:r>
            <w:r>
              <w:rPr>
                <w:rFonts w:hint="eastAsia" w:ascii="Times New Roman" w:hAnsi="Times New Roman" w:eastAsia="宋体" w:cs="Times New Roman"/>
                <w:color w:val="auto"/>
                <w:sz w:val="24"/>
                <w:lang w:val="en-US" w:eastAsia="zh-CN"/>
              </w:rPr>
              <w:t xml:space="preserve">、云南油杉 </w:t>
            </w:r>
            <w:r>
              <w:rPr>
                <w:rFonts w:hint="eastAsia" w:ascii="Times New Roman" w:hAnsi="Times New Roman" w:eastAsia="宋体" w:cs="Times New Roman"/>
                <w:i/>
                <w:iCs/>
                <w:color w:val="auto"/>
                <w:sz w:val="24"/>
                <w:lang w:val="en-US" w:eastAsia="zh-CN"/>
              </w:rPr>
              <w:t>Keteleeria evelyniana</w:t>
            </w:r>
            <w:r>
              <w:rPr>
                <w:rFonts w:hint="eastAsia" w:ascii="Times New Roman" w:hAnsi="Times New Roman" w:eastAsia="宋体" w:cs="Times New Roman"/>
                <w:color w:val="auto"/>
                <w:sz w:val="24"/>
                <w:lang w:val="en-US" w:eastAsia="zh-CN"/>
              </w:rPr>
              <w:t xml:space="preserve">、栓皮栎 </w:t>
            </w:r>
            <w:r>
              <w:rPr>
                <w:rFonts w:hint="eastAsia" w:ascii="Times New Roman" w:hAnsi="Times New Roman" w:eastAsia="宋体" w:cs="Times New Roman"/>
                <w:i/>
                <w:iCs/>
                <w:color w:val="auto"/>
                <w:sz w:val="24"/>
                <w:lang w:val="en-US" w:eastAsia="zh-CN"/>
              </w:rPr>
              <w:t>Quercus variabilis</w:t>
            </w:r>
            <w:r>
              <w:rPr>
                <w:rFonts w:hint="eastAsia" w:ascii="Times New Roman" w:hAnsi="Times New Roman" w:eastAsia="宋体" w:cs="Times New Roman"/>
                <w:color w:val="auto"/>
                <w:sz w:val="24"/>
                <w:lang w:val="en-US" w:eastAsia="zh-CN"/>
              </w:rPr>
              <w:t xml:space="preserve">、旱冬瓜 </w:t>
            </w:r>
            <w:r>
              <w:rPr>
                <w:rFonts w:hint="eastAsia" w:ascii="Times New Roman" w:hAnsi="Times New Roman" w:eastAsia="宋体" w:cs="Times New Roman"/>
                <w:i/>
                <w:iCs/>
                <w:color w:val="auto"/>
                <w:sz w:val="24"/>
                <w:lang w:val="en-US" w:eastAsia="zh-CN"/>
              </w:rPr>
              <w:t>Alnus nepalensis</w:t>
            </w:r>
            <w:r>
              <w:rPr>
                <w:rFonts w:hint="eastAsia" w:ascii="Times New Roman" w:hAnsi="Times New Roman" w:eastAsia="宋体" w:cs="Times New Roman"/>
                <w:color w:val="auto"/>
                <w:sz w:val="24"/>
                <w:lang w:val="en-US" w:eastAsia="zh-CN"/>
              </w:rPr>
              <w:t>等。</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灌木层高约1.5-3m，层盖度约20%-40%，没有明显的优势物种，主要种类有黄毛青冈幼树、滇石栎幼树、滇山茶</w:t>
            </w:r>
            <w:r>
              <w:rPr>
                <w:rFonts w:hint="eastAsia" w:ascii="Times New Roman" w:hAnsi="Times New Roman" w:eastAsia="宋体" w:cs="Times New Roman"/>
                <w:i/>
                <w:iCs/>
                <w:color w:val="auto"/>
                <w:sz w:val="24"/>
                <w:lang w:val="en-US" w:eastAsia="zh-CN"/>
              </w:rPr>
              <w:t>Camellia reticulata</w:t>
            </w:r>
            <w:r>
              <w:rPr>
                <w:rFonts w:hint="eastAsia" w:ascii="Times New Roman" w:hAnsi="Times New Roman" w:eastAsia="宋体" w:cs="Times New Roman"/>
                <w:color w:val="auto"/>
                <w:sz w:val="24"/>
                <w:lang w:val="en-US" w:eastAsia="zh-CN"/>
              </w:rPr>
              <w:t xml:space="preserve">、米饭花 </w:t>
            </w:r>
            <w:r>
              <w:rPr>
                <w:rFonts w:hint="eastAsia" w:ascii="Times New Roman" w:hAnsi="Times New Roman" w:eastAsia="宋体" w:cs="Times New Roman"/>
                <w:i/>
                <w:iCs/>
                <w:color w:val="auto"/>
                <w:sz w:val="24"/>
                <w:lang w:val="en-US" w:eastAsia="zh-CN"/>
              </w:rPr>
              <w:t>Lyonia ovalifolia</w:t>
            </w:r>
            <w:r>
              <w:rPr>
                <w:rFonts w:hint="eastAsia" w:ascii="Times New Roman" w:hAnsi="Times New Roman" w:eastAsia="宋体" w:cs="Times New Roman"/>
                <w:color w:val="auto"/>
                <w:sz w:val="24"/>
                <w:lang w:val="en-US" w:eastAsia="zh-CN"/>
              </w:rPr>
              <w:t xml:space="preserve">、厚皮香 </w:t>
            </w:r>
            <w:r>
              <w:rPr>
                <w:rFonts w:hint="eastAsia" w:ascii="Times New Roman" w:hAnsi="Times New Roman" w:eastAsia="宋体" w:cs="Times New Roman"/>
                <w:i/>
                <w:iCs/>
                <w:color w:val="auto"/>
                <w:sz w:val="24"/>
                <w:lang w:val="en-US" w:eastAsia="zh-CN"/>
              </w:rPr>
              <w:t>Ternstroemia gymnanthera</w:t>
            </w:r>
            <w:r>
              <w:rPr>
                <w:rFonts w:hint="eastAsia" w:ascii="Times New Roman" w:hAnsi="Times New Roman" w:eastAsia="宋体" w:cs="Times New Roman"/>
                <w:color w:val="auto"/>
                <w:sz w:val="24"/>
                <w:lang w:val="en-US" w:eastAsia="zh-CN"/>
              </w:rPr>
              <w:t>、马桑</w:t>
            </w:r>
            <w:r>
              <w:rPr>
                <w:rFonts w:hint="eastAsia" w:ascii="Times New Roman" w:hAnsi="Times New Roman" w:eastAsia="宋体" w:cs="Times New Roman"/>
                <w:i/>
                <w:iCs/>
                <w:color w:val="auto"/>
                <w:sz w:val="24"/>
                <w:lang w:val="en-US" w:eastAsia="zh-CN"/>
              </w:rPr>
              <w:t>Coriaria nepalensis</w:t>
            </w:r>
            <w:r>
              <w:rPr>
                <w:rFonts w:hint="eastAsia" w:ascii="Times New Roman" w:hAnsi="Times New Roman" w:eastAsia="宋体" w:cs="Times New Roman"/>
                <w:color w:val="auto"/>
                <w:sz w:val="24"/>
                <w:lang w:val="en-US" w:eastAsia="zh-CN"/>
              </w:rPr>
              <w:t xml:space="preserve">、乌鸦果 </w:t>
            </w:r>
            <w:r>
              <w:rPr>
                <w:rFonts w:hint="eastAsia" w:ascii="Times New Roman" w:hAnsi="Times New Roman" w:eastAsia="宋体" w:cs="Times New Roman"/>
                <w:i/>
                <w:iCs/>
                <w:color w:val="auto"/>
                <w:sz w:val="24"/>
                <w:lang w:val="en-US" w:eastAsia="zh-CN"/>
              </w:rPr>
              <w:t>Vaccinium fragile</w:t>
            </w:r>
            <w:r>
              <w:rPr>
                <w:rFonts w:hint="eastAsia" w:ascii="Times New Roman" w:hAnsi="Times New Roman" w:eastAsia="宋体" w:cs="Times New Roman"/>
                <w:color w:val="auto"/>
                <w:sz w:val="24"/>
                <w:lang w:val="en-US" w:eastAsia="zh-CN"/>
              </w:rPr>
              <w:t xml:space="preserve">、 铁仔 </w:t>
            </w:r>
            <w:r>
              <w:rPr>
                <w:rFonts w:hint="eastAsia" w:ascii="Times New Roman" w:hAnsi="Times New Roman" w:eastAsia="宋体" w:cs="Times New Roman"/>
                <w:i/>
                <w:iCs/>
                <w:color w:val="auto"/>
                <w:sz w:val="24"/>
                <w:lang w:val="en-US" w:eastAsia="zh-CN"/>
              </w:rPr>
              <w:t>Myrsine africana</w:t>
            </w:r>
            <w:r>
              <w:rPr>
                <w:rFonts w:hint="eastAsia" w:ascii="Times New Roman" w:hAnsi="Times New Roman" w:eastAsia="宋体" w:cs="Times New Roman"/>
                <w:color w:val="auto"/>
                <w:sz w:val="24"/>
                <w:lang w:val="en-US" w:eastAsia="zh-CN"/>
              </w:rPr>
              <w:t xml:space="preserve">、云南含笑 </w:t>
            </w:r>
            <w:r>
              <w:rPr>
                <w:rFonts w:hint="eastAsia" w:ascii="Times New Roman" w:hAnsi="Times New Roman" w:eastAsia="宋体" w:cs="Times New Roman"/>
                <w:i/>
                <w:iCs/>
                <w:color w:val="auto"/>
                <w:sz w:val="24"/>
                <w:lang w:val="en-US" w:eastAsia="zh-CN"/>
              </w:rPr>
              <w:t>Michelia yunnanensis</w:t>
            </w:r>
            <w:r>
              <w:rPr>
                <w:rFonts w:hint="eastAsia" w:ascii="Times New Roman" w:hAnsi="Times New Roman" w:eastAsia="宋体" w:cs="Times New Roman"/>
                <w:color w:val="auto"/>
                <w:sz w:val="24"/>
                <w:lang w:val="en-US" w:eastAsia="zh-CN"/>
              </w:rPr>
              <w:t xml:space="preserve">、火棘 </w:t>
            </w:r>
            <w:r>
              <w:rPr>
                <w:rFonts w:hint="eastAsia" w:ascii="Times New Roman" w:hAnsi="Times New Roman" w:eastAsia="宋体" w:cs="Times New Roman"/>
                <w:i/>
                <w:iCs/>
                <w:color w:val="auto"/>
                <w:sz w:val="24"/>
                <w:lang w:val="en-US" w:eastAsia="zh-CN"/>
              </w:rPr>
              <w:t>Pyracantha fortuneana</w:t>
            </w:r>
            <w:r>
              <w:rPr>
                <w:rFonts w:hint="eastAsia" w:ascii="Times New Roman" w:hAnsi="Times New Roman" w:eastAsia="宋体" w:cs="Times New Roman"/>
                <w:color w:val="auto"/>
                <w:sz w:val="24"/>
                <w:lang w:val="en-US" w:eastAsia="zh-CN"/>
              </w:rPr>
              <w:t xml:space="preserve">、香叶树 </w:t>
            </w:r>
            <w:r>
              <w:rPr>
                <w:rFonts w:hint="eastAsia" w:ascii="Times New Roman" w:hAnsi="Times New Roman" w:eastAsia="宋体" w:cs="Times New Roman"/>
                <w:i/>
                <w:iCs/>
                <w:color w:val="auto"/>
                <w:sz w:val="24"/>
                <w:lang w:val="en-US" w:eastAsia="zh-CN"/>
              </w:rPr>
              <w:t>Lindera communis</w:t>
            </w:r>
            <w:r>
              <w:rPr>
                <w:rFonts w:hint="eastAsia" w:ascii="Times New Roman" w:hAnsi="Times New Roman" w:eastAsia="宋体" w:cs="Times New Roman"/>
                <w:color w:val="auto"/>
                <w:sz w:val="24"/>
                <w:lang w:val="en-US" w:eastAsia="zh-CN"/>
              </w:rPr>
              <w:t xml:space="preserve">、牛筋条 </w:t>
            </w:r>
            <w:r>
              <w:rPr>
                <w:rFonts w:hint="eastAsia" w:ascii="Times New Roman" w:hAnsi="Times New Roman" w:eastAsia="宋体" w:cs="Times New Roman"/>
                <w:i/>
                <w:iCs/>
                <w:color w:val="auto"/>
                <w:sz w:val="24"/>
                <w:lang w:val="en-US" w:eastAsia="zh-CN"/>
              </w:rPr>
              <w:t>Dichotomanthes tristaniaecarpa</w:t>
            </w:r>
            <w:r>
              <w:rPr>
                <w:rFonts w:hint="eastAsia" w:ascii="Times New Roman" w:hAnsi="Times New Roman" w:eastAsia="宋体" w:cs="Times New Roman"/>
                <w:color w:val="auto"/>
                <w:sz w:val="24"/>
                <w:lang w:val="en-US" w:eastAsia="zh-CN"/>
              </w:rPr>
              <w:t>等。</w:t>
            </w:r>
          </w:p>
          <w:p>
            <w:pPr>
              <w:pStyle w:val="157"/>
              <w:snapToGrid/>
              <w:spacing w:line="360" w:lineRule="auto"/>
              <w:ind w:firstLine="480" w:firstLineChars="200"/>
              <w:jc w:val="left"/>
              <w:outlineLvl w:val="1"/>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草本层高约0.4-0.8m，层盖度约10%-35%，主要有白茅 </w:t>
            </w:r>
            <w:r>
              <w:rPr>
                <w:rFonts w:hint="eastAsia" w:ascii="Times New Roman" w:hAnsi="Times New Roman" w:eastAsia="宋体" w:cs="Times New Roman"/>
                <w:i/>
                <w:iCs/>
                <w:color w:val="auto"/>
                <w:sz w:val="24"/>
                <w:lang w:val="en-US" w:eastAsia="zh-CN"/>
              </w:rPr>
              <w:t>Imperata cylindrica var. major</w:t>
            </w:r>
            <w:r>
              <w:rPr>
                <w:rFonts w:hint="eastAsia" w:ascii="Times New Roman" w:hAnsi="Times New Roman" w:eastAsia="宋体" w:cs="Times New Roman"/>
                <w:color w:val="auto"/>
                <w:sz w:val="24"/>
                <w:lang w:val="en-US" w:eastAsia="zh-CN"/>
              </w:rPr>
              <w:t xml:space="preserve">、刺芒野古草 </w:t>
            </w:r>
            <w:r>
              <w:rPr>
                <w:rFonts w:hint="eastAsia" w:ascii="Times New Roman" w:hAnsi="Times New Roman" w:eastAsia="宋体" w:cs="Times New Roman"/>
                <w:i/>
                <w:iCs/>
                <w:color w:val="auto"/>
                <w:sz w:val="24"/>
                <w:lang w:val="en-US" w:eastAsia="zh-CN"/>
              </w:rPr>
              <w:t>Arundinella setosa</w:t>
            </w:r>
            <w:r>
              <w:rPr>
                <w:rFonts w:hint="eastAsia" w:ascii="Times New Roman" w:hAnsi="Times New Roman" w:eastAsia="宋体" w:cs="Times New Roman"/>
                <w:color w:val="auto"/>
                <w:sz w:val="24"/>
                <w:lang w:val="en-US" w:eastAsia="zh-CN"/>
              </w:rPr>
              <w:t xml:space="preserve">、密毛蕨 </w:t>
            </w:r>
            <w:r>
              <w:rPr>
                <w:rFonts w:hint="eastAsia" w:ascii="Times New Roman" w:hAnsi="Times New Roman" w:eastAsia="宋体" w:cs="Times New Roman"/>
                <w:i/>
                <w:iCs/>
                <w:color w:val="auto"/>
                <w:sz w:val="24"/>
                <w:lang w:val="en-US" w:eastAsia="zh-CN"/>
              </w:rPr>
              <w:t>Pteridium revolutum</w:t>
            </w:r>
            <w:r>
              <w:rPr>
                <w:rFonts w:hint="eastAsia" w:ascii="Times New Roman" w:hAnsi="Times New Roman" w:eastAsia="宋体" w:cs="Times New Roman"/>
                <w:color w:val="auto"/>
                <w:sz w:val="24"/>
                <w:lang w:val="en-US" w:eastAsia="zh-CN"/>
              </w:rPr>
              <w:t xml:space="preserve">、白健秆 </w:t>
            </w:r>
            <w:r>
              <w:rPr>
                <w:rFonts w:hint="eastAsia" w:ascii="Times New Roman" w:hAnsi="Times New Roman" w:eastAsia="宋体" w:cs="Times New Roman"/>
                <w:i/>
                <w:iCs/>
                <w:color w:val="auto"/>
                <w:sz w:val="24"/>
                <w:lang w:val="en-US" w:eastAsia="zh-CN"/>
              </w:rPr>
              <w:t>Eulalia pallens</w:t>
            </w:r>
            <w:r>
              <w:rPr>
                <w:rFonts w:hint="eastAsia" w:ascii="Times New Roman" w:hAnsi="Times New Roman" w:eastAsia="宋体" w:cs="Times New Roman"/>
                <w:color w:val="auto"/>
                <w:sz w:val="24"/>
                <w:lang w:val="en-US" w:eastAsia="zh-CN"/>
              </w:rPr>
              <w:t xml:space="preserve">、紫茎泽兰 </w:t>
            </w:r>
            <w:r>
              <w:rPr>
                <w:rFonts w:hint="eastAsia" w:ascii="Times New Roman" w:hAnsi="Times New Roman" w:eastAsia="宋体" w:cs="Times New Roman"/>
                <w:i/>
                <w:iCs/>
                <w:color w:val="auto"/>
                <w:sz w:val="24"/>
                <w:lang w:val="en-US" w:eastAsia="zh-CN"/>
              </w:rPr>
              <w:t>Ageratina adenophora</w:t>
            </w:r>
            <w:r>
              <w:rPr>
                <w:rFonts w:hint="eastAsia" w:ascii="Times New Roman" w:hAnsi="Times New Roman" w:eastAsia="宋体" w:cs="Times New Roman"/>
                <w:color w:val="auto"/>
                <w:sz w:val="24"/>
                <w:lang w:val="en-US" w:eastAsia="zh-CN"/>
              </w:rPr>
              <w:t>、沿阶草</w:t>
            </w:r>
            <w:r>
              <w:rPr>
                <w:rFonts w:hint="eastAsia" w:ascii="Times New Roman" w:hAnsi="Times New Roman" w:eastAsia="宋体" w:cs="Times New Roman"/>
                <w:i/>
                <w:iCs/>
                <w:color w:val="auto"/>
                <w:sz w:val="24"/>
                <w:lang w:val="en-US" w:eastAsia="zh-CN"/>
              </w:rPr>
              <w:t>Ophiopogon bodinieri</w:t>
            </w:r>
            <w:r>
              <w:rPr>
                <w:rFonts w:hint="eastAsia" w:ascii="Times New Roman" w:hAnsi="Times New Roman" w:eastAsia="宋体" w:cs="Times New Roman"/>
                <w:color w:val="auto"/>
                <w:sz w:val="24"/>
                <w:lang w:val="en-US" w:eastAsia="zh-CN"/>
              </w:rPr>
              <w:t>、云南兔儿风Ainsliaea yunnanensis、黑果土当归</w:t>
            </w:r>
            <w:r>
              <w:rPr>
                <w:rFonts w:hint="eastAsia" w:ascii="Times New Roman" w:hAnsi="Times New Roman" w:eastAsia="宋体" w:cs="Times New Roman"/>
                <w:i/>
                <w:iCs/>
                <w:color w:val="auto"/>
                <w:sz w:val="24"/>
                <w:lang w:val="en-US" w:eastAsia="zh-CN"/>
              </w:rPr>
              <w:t>Aralia melanocarpa</w:t>
            </w:r>
            <w:r>
              <w:rPr>
                <w:rFonts w:hint="eastAsia" w:ascii="Times New Roman" w:hAnsi="Times New Roman" w:eastAsia="宋体" w:cs="Times New Roman"/>
                <w:color w:val="auto"/>
                <w:sz w:val="24"/>
                <w:lang w:val="en-US" w:eastAsia="zh-CN"/>
              </w:rPr>
              <w:t xml:space="preserve">、刺齿贯众 </w:t>
            </w:r>
            <w:r>
              <w:rPr>
                <w:rFonts w:hint="eastAsia" w:ascii="Times New Roman" w:hAnsi="Times New Roman" w:eastAsia="宋体" w:cs="Times New Roman"/>
                <w:i/>
                <w:iCs/>
                <w:color w:val="auto"/>
                <w:sz w:val="24"/>
                <w:lang w:val="en-US" w:eastAsia="zh-CN"/>
              </w:rPr>
              <w:t>Cyrtomium caryotideum</w:t>
            </w:r>
            <w:r>
              <w:rPr>
                <w:rFonts w:hint="eastAsia" w:ascii="Times New Roman" w:hAnsi="Times New Roman" w:eastAsia="宋体" w:cs="Times New Roman"/>
                <w:color w:val="auto"/>
                <w:sz w:val="24"/>
                <w:lang w:val="en-US" w:eastAsia="zh-CN"/>
              </w:rPr>
              <w:t xml:space="preserve">、刚莠竹 </w:t>
            </w:r>
            <w:r>
              <w:rPr>
                <w:rFonts w:hint="eastAsia" w:ascii="Times New Roman" w:hAnsi="Times New Roman" w:eastAsia="宋体" w:cs="Times New Roman"/>
                <w:i/>
                <w:iCs/>
                <w:color w:val="auto"/>
                <w:sz w:val="24"/>
                <w:lang w:val="en-US" w:eastAsia="zh-CN"/>
              </w:rPr>
              <w:t>Microstegium ciliatum</w:t>
            </w:r>
            <w:r>
              <w:rPr>
                <w:rFonts w:hint="eastAsia" w:ascii="Times New Roman" w:hAnsi="Times New Roman" w:eastAsia="宋体" w:cs="Times New Roman"/>
                <w:color w:val="auto"/>
                <w:sz w:val="24"/>
                <w:lang w:val="en-US" w:eastAsia="zh-CN"/>
              </w:rPr>
              <w:t xml:space="preserve"> 、 鞭打绣球 </w:t>
            </w:r>
            <w:r>
              <w:rPr>
                <w:rFonts w:hint="eastAsia" w:ascii="Times New Roman" w:hAnsi="Times New Roman" w:eastAsia="宋体" w:cs="Times New Roman"/>
                <w:i/>
                <w:iCs/>
                <w:color w:val="auto"/>
                <w:sz w:val="24"/>
                <w:lang w:val="en-US" w:eastAsia="zh-CN"/>
              </w:rPr>
              <w:t>Hemiphragma heterophyllum</w:t>
            </w:r>
            <w:r>
              <w:rPr>
                <w:rFonts w:hint="eastAsia" w:ascii="Times New Roman" w:hAnsi="Times New Roman" w:eastAsia="宋体" w:cs="Times New Roman"/>
                <w:color w:val="auto"/>
                <w:sz w:val="24"/>
                <w:lang w:val="en-US" w:eastAsia="zh-CN"/>
              </w:rPr>
              <w:t xml:space="preserve">、沿阶草 </w:t>
            </w:r>
            <w:r>
              <w:rPr>
                <w:rFonts w:hint="eastAsia" w:ascii="Times New Roman" w:hAnsi="Times New Roman" w:eastAsia="宋体" w:cs="Times New Roman"/>
                <w:i/>
                <w:iCs/>
                <w:color w:val="auto"/>
                <w:sz w:val="24"/>
                <w:lang w:val="en-US" w:eastAsia="zh-CN"/>
              </w:rPr>
              <w:t>Ophiopogon bodinieri</w:t>
            </w:r>
            <w:r>
              <w:rPr>
                <w:rFonts w:hint="eastAsia" w:ascii="Times New Roman" w:hAnsi="Times New Roman" w:eastAsia="宋体" w:cs="Times New Roman"/>
                <w:color w:val="auto"/>
                <w:sz w:val="24"/>
                <w:lang w:val="en-US" w:eastAsia="zh-CN"/>
              </w:rPr>
              <w:t xml:space="preserve">、火石花 </w:t>
            </w:r>
            <w:r>
              <w:rPr>
                <w:rFonts w:hint="eastAsia" w:ascii="Times New Roman" w:hAnsi="Times New Roman" w:eastAsia="宋体" w:cs="Times New Roman"/>
                <w:i/>
                <w:iCs/>
                <w:color w:val="auto"/>
                <w:sz w:val="24"/>
                <w:lang w:val="en-US" w:eastAsia="zh-CN"/>
              </w:rPr>
              <w:t>Gerbera delavayi</w:t>
            </w:r>
            <w:r>
              <w:rPr>
                <w:rFonts w:hint="eastAsia" w:ascii="Times New Roman" w:hAnsi="Times New Roman" w:eastAsia="宋体" w:cs="Times New Roman"/>
                <w:color w:val="auto"/>
                <w:sz w:val="24"/>
                <w:lang w:val="en-US" w:eastAsia="zh-CN"/>
              </w:rPr>
              <w:t xml:space="preserve">、疏叶蹄盖蕨 </w:t>
            </w:r>
            <w:r>
              <w:rPr>
                <w:rFonts w:hint="eastAsia" w:ascii="Times New Roman" w:hAnsi="Times New Roman" w:eastAsia="宋体" w:cs="Times New Roman"/>
                <w:i/>
                <w:iCs/>
                <w:color w:val="auto"/>
                <w:sz w:val="24"/>
                <w:lang w:val="en-US" w:eastAsia="zh-CN"/>
              </w:rPr>
              <w:t>Athyrium dissitifolium</w:t>
            </w:r>
            <w:r>
              <w:rPr>
                <w:rFonts w:hint="eastAsia" w:ascii="Times New Roman" w:hAnsi="Times New Roman" w:eastAsia="宋体" w:cs="Times New Roman"/>
                <w:color w:val="auto"/>
                <w:sz w:val="24"/>
                <w:lang w:val="en-US" w:eastAsia="zh-CN"/>
              </w:rPr>
              <w:t>、天南星</w:t>
            </w:r>
            <w:r>
              <w:rPr>
                <w:rFonts w:hint="eastAsia" w:ascii="Times New Roman" w:hAnsi="Times New Roman" w:eastAsia="宋体" w:cs="Times New Roman"/>
                <w:i/>
                <w:iCs/>
                <w:color w:val="auto"/>
                <w:sz w:val="24"/>
                <w:lang w:val="en-US" w:eastAsia="zh-CN"/>
              </w:rPr>
              <w:t>Arisaema heterophyllum</w:t>
            </w:r>
            <w:r>
              <w:rPr>
                <w:rFonts w:hint="eastAsia" w:ascii="Times New Roman" w:hAnsi="Times New Roman" w:eastAsia="宋体" w:cs="Times New Roman"/>
                <w:color w:val="auto"/>
                <w:sz w:val="24"/>
                <w:lang w:val="en-US" w:eastAsia="zh-CN"/>
              </w:rPr>
              <w:t>、狼尾草</w:t>
            </w:r>
            <w:r>
              <w:rPr>
                <w:rFonts w:hint="eastAsia" w:ascii="Times New Roman" w:hAnsi="Times New Roman" w:eastAsia="宋体" w:cs="Times New Roman"/>
                <w:i/>
                <w:iCs/>
                <w:color w:val="auto"/>
                <w:sz w:val="24"/>
                <w:lang w:val="en-US" w:eastAsia="zh-CN"/>
              </w:rPr>
              <w:t>Pennisetum alopecuroides</w:t>
            </w:r>
            <w:r>
              <w:rPr>
                <w:rFonts w:hint="eastAsia" w:ascii="Times New Roman" w:hAnsi="Times New Roman" w:eastAsia="宋体" w:cs="Times New Roman"/>
                <w:color w:val="auto"/>
                <w:sz w:val="24"/>
                <w:lang w:val="en-US" w:eastAsia="zh-CN"/>
              </w:rPr>
              <w:t>、皱叶狗尾草</w:t>
            </w:r>
            <w:r>
              <w:rPr>
                <w:rFonts w:hint="eastAsia" w:ascii="Times New Roman" w:hAnsi="Times New Roman" w:eastAsia="宋体" w:cs="Times New Roman"/>
                <w:i/>
                <w:iCs/>
                <w:color w:val="auto"/>
                <w:sz w:val="24"/>
                <w:lang w:val="en-US" w:eastAsia="zh-CN"/>
              </w:rPr>
              <w:t>Setaria plicata</w:t>
            </w:r>
            <w:r>
              <w:rPr>
                <w:rFonts w:hint="eastAsia" w:ascii="Times New Roman" w:hAnsi="Times New Roman" w:eastAsia="宋体" w:cs="Times New Roman"/>
                <w:color w:val="auto"/>
                <w:sz w:val="24"/>
                <w:lang w:val="en-US" w:eastAsia="zh-CN"/>
              </w:rPr>
              <w:t>等。</w:t>
            </w:r>
          </w:p>
          <w:p>
            <w:pPr>
              <w:pStyle w:val="157"/>
              <w:snapToGrid/>
              <w:spacing w:line="360" w:lineRule="auto"/>
              <w:ind w:firstLine="481" w:firstLineChars="200"/>
              <w:jc w:val="left"/>
              <w:outlineLvl w:val="1"/>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en-US" w:eastAsia="zh-CN"/>
              </w:rPr>
              <w:t>人工植被</w:t>
            </w:r>
            <w:r>
              <w:rPr>
                <w:rFonts w:hint="default" w:ascii="Times New Roman" w:hAnsi="Times New Roman" w:eastAsia="宋体" w:cs="Times New Roman"/>
                <w:color w:val="auto"/>
                <w:sz w:val="24"/>
                <w:lang w:val="en-US" w:eastAsia="zh-CN"/>
              </w:rPr>
              <w:t xml:space="preserve"> </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本区农业生产的历史悠久，农业生产较为发达，但区内耕地耕作条件差，种植品种以传统粮食作物为主，粮食产量较低，作物产出率低且未经深加工处理，经济价值低。评价区人工植被可分为园地和耕地。</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其中耕地</w:t>
            </w:r>
            <w:r>
              <w:rPr>
                <w:rFonts w:hint="eastAsia" w:ascii="Times New Roman" w:hAnsi="Times New Roman" w:eastAsia="宋体" w:cs="Times New Roman"/>
                <w:color w:val="auto"/>
                <w:sz w:val="24"/>
                <w:lang w:val="en-US" w:eastAsia="zh-CN"/>
              </w:rPr>
              <w:t>为旱地，</w:t>
            </w:r>
            <w:r>
              <w:rPr>
                <w:rFonts w:hint="default" w:ascii="Times New Roman" w:hAnsi="Times New Roman" w:eastAsia="宋体" w:cs="Times New Roman"/>
                <w:color w:val="auto"/>
                <w:sz w:val="24"/>
                <w:lang w:val="en-US" w:eastAsia="zh-CN"/>
              </w:rPr>
              <w:t>冬春季主要种植小麦</w:t>
            </w:r>
            <w:r>
              <w:rPr>
                <w:rFonts w:hint="eastAsia"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lang w:val="en-US" w:eastAsia="zh-CN"/>
              </w:rPr>
              <w:t>，夏秋季主要种植玉米、马铃薯等；项目区内还有</w:t>
            </w:r>
            <w:r>
              <w:rPr>
                <w:rFonts w:hint="eastAsia" w:ascii="Times New Roman" w:hAnsi="Times New Roman" w:eastAsia="宋体" w:cs="Times New Roman"/>
                <w:color w:val="auto"/>
                <w:sz w:val="24"/>
                <w:lang w:val="en-US" w:eastAsia="zh-CN"/>
              </w:rPr>
              <w:t>部分</w:t>
            </w:r>
            <w:r>
              <w:rPr>
                <w:rFonts w:hint="default" w:ascii="Times New Roman" w:hAnsi="Times New Roman" w:eastAsia="宋体" w:cs="Times New Roman"/>
                <w:color w:val="auto"/>
                <w:sz w:val="24"/>
                <w:lang w:val="en-US" w:eastAsia="zh-CN"/>
              </w:rPr>
              <w:t>园地，主要种植桃、梨、苹果等水果。</w:t>
            </w:r>
          </w:p>
          <w:p>
            <w:pPr>
              <w:pStyle w:val="157"/>
              <w:snapToGrid/>
              <w:spacing w:line="360" w:lineRule="auto"/>
              <w:ind w:firstLine="481"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（5）评价区各植被类型面积</w:t>
            </w:r>
          </w:p>
          <w:p>
            <w:pPr>
              <w:pStyle w:val="157"/>
              <w:snapToGrid/>
              <w:spacing w:line="360" w:lineRule="auto"/>
              <w:ind w:firstLine="480" w:firstLineChars="200"/>
              <w:jc w:val="left"/>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评价区人为活动强烈，原生地带性植被半湿润常绿阔叶林由于人为活动影响仅有小面积残存，绝大多数区域取而代之的是演替形成的滇中高原常见的暖温性稀树灌木草丛</w:t>
            </w:r>
            <w:r>
              <w:rPr>
                <w:rFonts w:hint="eastAsia" w:ascii="Times New Roman" w:hAnsi="Times New Roman" w:eastAsia="宋体" w:cs="Times New Roman"/>
                <w:color w:val="auto"/>
                <w:sz w:val="24"/>
                <w:lang w:val="en-US" w:eastAsia="zh-CN"/>
              </w:rPr>
              <w:t>、暖温性针叶林</w:t>
            </w:r>
            <w:r>
              <w:rPr>
                <w:rFonts w:hint="default" w:ascii="Times New Roman" w:hAnsi="Times New Roman" w:eastAsia="宋体" w:cs="Times New Roman"/>
                <w:color w:val="auto"/>
                <w:sz w:val="24"/>
                <w:lang w:val="en-US" w:eastAsia="zh-CN"/>
              </w:rPr>
              <w:t>、半湿润常绿阔叶林和人工植被。评价区自然植被占评价区总面积的60.59</w:t>
            </w:r>
          </w:p>
          <w:p>
            <w:pPr>
              <w:pStyle w:val="157"/>
              <w:snapToGrid/>
              <w:spacing w:line="360" w:lineRule="auto"/>
              <w:ind w:firstLine="481"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（6）名木古树</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根据云南省林业厅文件云林保护字（1996）第 65 号《关于印发云南省古树名木名录的通知》和实地踏查，在本工程生态环境影响评价区内未发现有名木古树分布。</w:t>
            </w:r>
          </w:p>
          <w:p>
            <w:pPr>
              <w:pStyle w:val="157"/>
              <w:snapToGrid/>
              <w:spacing w:line="360" w:lineRule="auto"/>
              <w:ind w:firstLine="481"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（7）国家重点保护植物</w:t>
            </w:r>
          </w:p>
          <w:p>
            <w:pPr>
              <w:pStyle w:val="157"/>
              <w:snapToGrid/>
              <w:spacing w:line="360" w:lineRule="auto"/>
              <w:ind w:firstLine="480" w:firstLineChars="200"/>
              <w:jc w:val="left"/>
              <w:outlineLvl w:val="1"/>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依据《国家重点保护野生植物名录》（国家林业和草原局 农业农村部公告 2021 年第 15 号）等资料，结合现场调查，本次调查在生态影响评价区内未见国家级重点保护植物。</w:t>
            </w:r>
          </w:p>
          <w:p>
            <w:pPr>
              <w:pStyle w:val="157"/>
              <w:snapToGrid/>
              <w:spacing w:line="360" w:lineRule="auto"/>
              <w:ind w:firstLine="481" w:firstLineChars="200"/>
              <w:jc w:val="left"/>
              <w:outlineLvl w:val="1"/>
              <w:rPr>
                <w:rFonts w:hint="eastAsia" w:ascii="Times New Roman" w:hAnsi="Times New Roman"/>
                <w:b/>
                <w:bCs/>
                <w:color w:val="auto"/>
                <w:sz w:val="24"/>
              </w:rPr>
            </w:pPr>
            <w:r>
              <w:rPr>
                <w:rFonts w:hint="eastAsia" w:ascii="Times New Roman" w:hAnsi="Times New Roman"/>
                <w:b/>
                <w:bCs/>
                <w:color w:val="auto"/>
                <w:sz w:val="24"/>
                <w:lang w:eastAsia="zh-CN"/>
              </w:rPr>
              <w:t>（</w:t>
            </w:r>
            <w:r>
              <w:rPr>
                <w:rFonts w:hint="eastAsia" w:ascii="Times New Roman" w:hAnsi="Times New Roman"/>
                <w:b/>
                <w:bCs/>
                <w:color w:val="auto"/>
                <w:sz w:val="24"/>
                <w:lang w:val="en-US" w:eastAsia="zh-CN"/>
              </w:rPr>
              <w:t>二</w:t>
            </w:r>
            <w:r>
              <w:rPr>
                <w:rFonts w:hint="eastAsia" w:ascii="Times New Roman" w:hAnsi="Times New Roman"/>
                <w:b/>
                <w:bCs/>
                <w:color w:val="auto"/>
                <w:sz w:val="24"/>
                <w:lang w:eastAsia="zh-CN"/>
              </w:rPr>
              <w:t>）动物</w:t>
            </w:r>
          </w:p>
          <w:p>
            <w:pPr>
              <w:pStyle w:val="157"/>
              <w:snapToGrid/>
              <w:spacing w:line="360" w:lineRule="auto"/>
              <w:ind w:firstLine="480" w:firstLineChars="200"/>
              <w:jc w:val="left"/>
              <w:outlineLvl w:val="1"/>
              <w:rPr>
                <w:rFonts w:hint="eastAsia" w:ascii="Times New Roman" w:hAnsi="Times New Roman"/>
                <w:color w:val="auto"/>
                <w:sz w:val="24"/>
              </w:rPr>
            </w:pPr>
            <w:r>
              <w:rPr>
                <w:rFonts w:hint="eastAsia" w:ascii="Times New Roman" w:hAnsi="Times New Roman"/>
                <w:color w:val="auto"/>
                <w:sz w:val="24"/>
              </w:rPr>
              <w:t>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现留存的植被多数为次生植被，受人为活动干扰严重，已不具备野生动物栖息的良好条件。根据查阅相关资料和对当地林业部门的走访，本项目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常见的野生动物均为伴人居性强，环境适应范围广，昆明地区常见的种类。本项目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没有国家或省级重点保护野生动物分布。</w:t>
            </w:r>
          </w:p>
          <w:p>
            <w:pPr>
              <w:pStyle w:val="157"/>
              <w:snapToGrid/>
              <w:spacing w:line="360" w:lineRule="auto"/>
              <w:ind w:firstLine="481" w:firstLineChars="200"/>
              <w:jc w:val="left"/>
              <w:outlineLvl w:val="1"/>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（1）鸟类</w:t>
            </w:r>
          </w:p>
          <w:p>
            <w:pPr>
              <w:pStyle w:val="157"/>
              <w:snapToGrid/>
              <w:spacing w:line="360" w:lineRule="auto"/>
              <w:ind w:firstLine="480" w:firstLineChars="200"/>
              <w:jc w:val="left"/>
              <w:outlineLvl w:val="1"/>
              <w:rPr>
                <w:rFonts w:hint="eastAsia" w:ascii="Times New Roman" w:hAnsi="Times New Roman"/>
                <w:color w:val="auto"/>
                <w:sz w:val="24"/>
              </w:rPr>
            </w:pPr>
            <w:r>
              <w:rPr>
                <w:rFonts w:hint="eastAsia" w:ascii="Times New Roman" w:hAnsi="Times New Roman"/>
                <w:color w:val="auto"/>
                <w:sz w:val="24"/>
              </w:rPr>
              <w:t>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野生动物以鸟类居多，多为区域常见的广布种，其中以雀形目占优势，常见的有黄臀鹎、棕背伯劳、紫啸鸫、山斑鸠、树麻雀、家燕、灰卷尾、喜鹊等。</w:t>
            </w:r>
          </w:p>
          <w:p>
            <w:pPr>
              <w:pStyle w:val="157"/>
              <w:snapToGrid/>
              <w:spacing w:line="360" w:lineRule="auto"/>
              <w:ind w:firstLine="481" w:firstLineChars="200"/>
              <w:jc w:val="left"/>
              <w:outlineLvl w:val="1"/>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（2）兽类</w:t>
            </w:r>
          </w:p>
          <w:p>
            <w:pPr>
              <w:pStyle w:val="157"/>
              <w:snapToGrid/>
              <w:spacing w:line="360" w:lineRule="auto"/>
              <w:ind w:firstLine="480" w:firstLineChars="200"/>
              <w:jc w:val="left"/>
              <w:outlineLvl w:val="1"/>
              <w:rPr>
                <w:rFonts w:hint="eastAsia" w:ascii="Times New Roman" w:hAnsi="Times New Roman"/>
                <w:color w:val="auto"/>
                <w:sz w:val="24"/>
              </w:rPr>
            </w:pPr>
            <w:r>
              <w:rPr>
                <w:rFonts w:hint="eastAsia" w:ascii="Times New Roman" w:hAnsi="Times New Roman"/>
                <w:color w:val="auto"/>
                <w:sz w:val="24"/>
              </w:rPr>
              <w:t>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人类活动频繁，兽类仅见啮齿类动物，且种群数量以鼠科占绝对优势，仅在田间村边树木上偶见松鼠科物种。常见种类有褐家鼠、社鼠、珀氏长吻松鼠和赤腹松鼠等。</w:t>
            </w:r>
          </w:p>
          <w:p>
            <w:pPr>
              <w:pStyle w:val="157"/>
              <w:snapToGrid/>
              <w:spacing w:line="360" w:lineRule="auto"/>
              <w:ind w:firstLine="481" w:firstLineChars="200"/>
              <w:jc w:val="left"/>
              <w:outlineLvl w:val="1"/>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（3）两栖及爬行类</w:t>
            </w:r>
          </w:p>
          <w:p>
            <w:pPr>
              <w:pStyle w:val="157"/>
              <w:snapToGrid/>
              <w:spacing w:line="360" w:lineRule="auto"/>
              <w:ind w:firstLine="480" w:firstLineChars="200"/>
              <w:jc w:val="left"/>
              <w:outlineLvl w:val="1"/>
              <w:rPr>
                <w:rFonts w:hint="eastAsia" w:ascii="Times New Roman" w:hAnsi="Times New Roman"/>
                <w:color w:val="auto"/>
                <w:sz w:val="24"/>
              </w:rPr>
            </w:pPr>
            <w:r>
              <w:rPr>
                <w:rFonts w:hint="eastAsia" w:ascii="Times New Roman" w:hAnsi="Times New Roman"/>
                <w:color w:val="auto"/>
                <w:sz w:val="24"/>
              </w:rPr>
              <w:t>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常见两爬类种类和数量均较少，其中两栖类以泽蛙、华西雨蛙较为常见；爬行类常见的为石龙子科和游蛇科的种类，如铜蜓蜥、紫灰蛇、滑鼠蛇、灰鼠蛇、红脖颈槽蛇等，常以田间昆虫和蛙鼠为食。</w:t>
            </w:r>
          </w:p>
          <w:p>
            <w:pPr>
              <w:pStyle w:val="157"/>
              <w:snapToGrid/>
              <w:spacing w:line="360" w:lineRule="auto"/>
              <w:ind w:firstLine="480" w:firstLineChars="200"/>
              <w:jc w:val="left"/>
              <w:outlineLvl w:val="1"/>
              <w:rPr>
                <w:rFonts w:hint="eastAsia" w:ascii="Times New Roman" w:hAnsi="Times New Roman"/>
                <w:color w:val="auto"/>
                <w:sz w:val="24"/>
              </w:rPr>
            </w:pPr>
            <w:r>
              <w:rPr>
                <w:rFonts w:hint="eastAsia" w:ascii="Times New Roman" w:hAnsi="Times New Roman"/>
                <w:color w:val="auto"/>
                <w:sz w:val="24"/>
              </w:rPr>
              <w:t>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人类活动历史悠久，已无原生生态系统分布，有大量次生植被，且受人为活动干扰严重，本项目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的野生动物均为地区常见物种和广布种，无国家或云南省级重点保护野生动物物种分布，也无地方狭域特有物种分布。</w:t>
            </w:r>
          </w:p>
          <w:p>
            <w:pPr>
              <w:pStyle w:val="157"/>
              <w:snapToGrid/>
              <w:spacing w:line="360" w:lineRule="auto"/>
              <w:ind w:firstLine="481" w:firstLineChars="200"/>
              <w:jc w:val="left"/>
              <w:outlineLvl w:val="1"/>
              <w:rPr>
                <w:rFonts w:hint="eastAsia" w:ascii="Times New Roman" w:hAnsi="Times New Roman"/>
                <w:color w:val="auto"/>
                <w:sz w:val="24"/>
              </w:rPr>
            </w:pPr>
            <w:r>
              <w:rPr>
                <w:rFonts w:hint="eastAsia" w:ascii="Times New Roman" w:hAnsi="Times New Roman" w:eastAsia="宋体" w:cs="Times New Roman"/>
                <w:b/>
                <w:bCs/>
                <w:color w:val="auto"/>
                <w:sz w:val="24"/>
                <w:lang w:val="en-US" w:eastAsia="zh-CN"/>
              </w:rPr>
              <w:t>（4）国家重点保护动物</w:t>
            </w:r>
          </w:p>
          <w:p>
            <w:pPr>
              <w:pStyle w:val="157"/>
              <w:snapToGrid/>
              <w:spacing w:line="360" w:lineRule="auto"/>
              <w:ind w:firstLine="480" w:firstLineChars="200"/>
              <w:jc w:val="left"/>
              <w:outlineLvl w:val="1"/>
              <w:rPr>
                <w:rFonts w:hint="eastAsia" w:ascii="Times New Roman" w:hAnsi="Times New Roman"/>
                <w:color w:val="auto"/>
                <w:sz w:val="24"/>
              </w:rPr>
            </w:pPr>
            <w:r>
              <w:rPr>
                <w:rFonts w:hint="eastAsia" w:ascii="Times New Roman" w:hAnsi="Times New Roman"/>
                <w:color w:val="auto"/>
                <w:sz w:val="24"/>
              </w:rPr>
              <w:t>依据《国家重点保护野生动物名录》（国家林业和草原局 农业农村部公告 2021 年第 3 号），本项目</w:t>
            </w:r>
            <w:r>
              <w:rPr>
                <w:rFonts w:hint="eastAsia" w:ascii="Times New Roman" w:hAnsi="Times New Roman"/>
                <w:color w:val="auto"/>
                <w:sz w:val="24"/>
                <w:lang w:val="en-US" w:eastAsia="zh-CN"/>
              </w:rPr>
              <w:t>评价范围内</w:t>
            </w:r>
            <w:r>
              <w:rPr>
                <w:rFonts w:hint="eastAsia" w:ascii="Times New Roman" w:hAnsi="Times New Roman"/>
                <w:color w:val="auto"/>
                <w:sz w:val="24"/>
              </w:rPr>
              <w:t>未见国家级重点保护动物。</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5、</w:t>
            </w:r>
            <w:r>
              <w:rPr>
                <w:rFonts w:hint="default" w:ascii="Times New Roman" w:hAnsi="Times New Roman" w:eastAsia="宋体" w:cs="Times New Roman"/>
                <w:b/>
                <w:bCs/>
                <w:color w:val="auto"/>
                <w:sz w:val="28"/>
                <w:szCs w:val="28"/>
              </w:rPr>
              <w:t>地表水环境质量现状</w:t>
            </w:r>
          </w:p>
          <w:p>
            <w:pPr>
              <w:adjustRightInd w:val="0"/>
              <w:snapToGrid w:val="0"/>
              <w:spacing w:line="360" w:lineRule="auto"/>
              <w:ind w:firstLine="480" w:firstLineChars="200"/>
              <w:rPr>
                <w:rFonts w:hint="eastAsia" w:hAnsi="宋体" w:eastAsia="宋体"/>
                <w:color w:val="auto"/>
                <w:sz w:val="24"/>
                <w:lang w:eastAsia="zh-CN"/>
              </w:rPr>
            </w:pPr>
            <w:r>
              <w:rPr>
                <w:rFonts w:hint="eastAsia" w:hAnsi="宋体"/>
                <w:color w:val="auto"/>
                <w:sz w:val="24"/>
              </w:rPr>
              <w:t>经现场踏勘，项目区涉及的地表水体要为项目</w:t>
            </w:r>
            <w:r>
              <w:rPr>
                <w:rFonts w:hint="eastAsia" w:hAnsi="宋体"/>
                <w:color w:val="auto"/>
                <w:sz w:val="24"/>
                <w:lang w:val="en-US" w:eastAsia="zh-CN"/>
              </w:rPr>
              <w:t>区</w:t>
            </w:r>
            <w:r>
              <w:rPr>
                <w:rFonts w:hint="eastAsia" w:hAnsi="宋体"/>
                <w:color w:val="auto"/>
                <w:sz w:val="24"/>
              </w:rPr>
              <w:t>东</w:t>
            </w:r>
            <w:r>
              <w:rPr>
                <w:rFonts w:hint="eastAsia" w:hAnsi="宋体"/>
                <w:color w:val="auto"/>
                <w:sz w:val="24"/>
                <w:lang w:val="en-US" w:eastAsia="zh-CN"/>
              </w:rPr>
              <w:t>面</w:t>
            </w:r>
            <w:r>
              <w:rPr>
                <w:rFonts w:hint="eastAsia" w:hAnsi="宋体"/>
                <w:color w:val="auto"/>
                <w:sz w:val="24"/>
              </w:rPr>
              <w:t>3</w:t>
            </w:r>
            <w:r>
              <w:rPr>
                <w:rFonts w:hint="eastAsia" w:hAnsi="宋体"/>
                <w:color w:val="auto"/>
                <w:sz w:val="24"/>
                <w:lang w:val="en-US" w:eastAsia="zh-CN"/>
              </w:rPr>
              <w:t>40</w:t>
            </w:r>
            <w:r>
              <w:rPr>
                <w:rFonts w:hint="eastAsia" w:hAnsi="宋体"/>
                <w:color w:val="auto"/>
                <w:sz w:val="24"/>
              </w:rPr>
              <w:t>m处的普沙河</w:t>
            </w:r>
            <w:r>
              <w:rPr>
                <w:rFonts w:hint="eastAsia" w:hAnsi="宋体"/>
                <w:color w:val="auto"/>
                <w:sz w:val="24"/>
                <w:lang w:eastAsia="zh-CN"/>
              </w:rPr>
              <w:t>。</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普沙河</w:t>
            </w:r>
            <w:r>
              <w:rPr>
                <w:rFonts w:hint="eastAsia" w:hAnsi="宋体"/>
                <w:color w:val="auto"/>
                <w:sz w:val="24"/>
                <w:lang w:val="en-US" w:eastAsia="zh-CN"/>
              </w:rPr>
              <w:t>简介：根据</w:t>
            </w:r>
            <w:r>
              <w:rPr>
                <w:rFonts w:hint="eastAsia" w:hAnsi="宋体"/>
                <w:color w:val="auto"/>
                <w:sz w:val="24"/>
              </w:rPr>
              <w:t>《昆明市和滇中产业新区水功能区划》（2010~2030年）</w:t>
            </w:r>
            <w:r>
              <w:rPr>
                <w:rFonts w:hint="eastAsia" w:hAnsi="宋体"/>
                <w:color w:val="auto"/>
                <w:sz w:val="24"/>
                <w:lang w:eastAsia="zh-CN"/>
              </w:rPr>
              <w:t>，</w:t>
            </w:r>
            <w:r>
              <w:rPr>
                <w:rFonts w:hint="eastAsia" w:hAnsi="宋体"/>
                <w:color w:val="auto"/>
                <w:sz w:val="24"/>
                <w:lang w:val="en-US" w:eastAsia="zh-CN"/>
              </w:rPr>
              <w:t>普沙河</w:t>
            </w:r>
            <w:r>
              <w:rPr>
                <w:rFonts w:hint="eastAsia" w:hAnsi="宋体"/>
                <w:color w:val="auto"/>
                <w:sz w:val="24"/>
              </w:rPr>
              <w:t>为牛栏江右岸支流，发源于嵩明县梁王山脚白草龙潭山麓，河流自北向南穿干河水库，出库后行6.5km至麦冲折向西南继续前行2km进入大石头水库，此河段称小甸河，在大石头水库上游在东村右纳龙王庙河</w:t>
            </w:r>
            <w:r>
              <w:rPr>
                <w:rFonts w:hint="eastAsia" w:hAnsi="宋体"/>
                <w:color w:val="auto"/>
                <w:sz w:val="24"/>
                <w:lang w:eastAsia="zh-CN"/>
              </w:rPr>
              <w:t>（</w:t>
            </w:r>
            <w:r>
              <w:rPr>
                <w:rFonts w:hint="eastAsia" w:hAnsi="宋体"/>
                <w:color w:val="auto"/>
                <w:sz w:val="24"/>
              </w:rPr>
              <w:t>发源于倚伴东村乡西村西北3.0km处的龙王庙山，河流自西向东穿龙王庙水库，在水库下游2.5km处的东村右纳土白场河，左纳大龙潭河，又转南行400m进入大石头水库与小甸河来水汇合</w:t>
            </w:r>
            <w:r>
              <w:rPr>
                <w:rFonts w:hint="eastAsia" w:hAnsi="宋体"/>
                <w:color w:val="auto"/>
                <w:sz w:val="24"/>
                <w:lang w:eastAsia="zh-CN"/>
              </w:rPr>
              <w:t>）</w:t>
            </w:r>
            <w:r>
              <w:rPr>
                <w:rFonts w:hint="eastAsia" w:hAnsi="宋体"/>
                <w:color w:val="auto"/>
                <w:sz w:val="24"/>
              </w:rPr>
              <w:t>，出大石头水库后始称为普沙河，出库后自北向东南方向入嵩明坝子北缘，经嵩明县城东北一侧，行至大倚伴，于龙津桥南入果马河。河流在源头有0.4km河长在寻甸境内，其余均在嵩明境内，河流集水面积72.8km</w:t>
            </w:r>
            <w:r>
              <w:rPr>
                <w:rFonts w:hint="eastAsia" w:hAnsi="宋体"/>
                <w:color w:val="auto"/>
                <w:sz w:val="24"/>
                <w:vertAlign w:val="superscript"/>
                <w:lang w:val="en-US" w:eastAsia="zh-CN"/>
              </w:rPr>
              <w:t>2</w:t>
            </w:r>
            <w:r>
              <w:rPr>
                <w:rFonts w:hint="eastAsia" w:hAnsi="宋体"/>
                <w:color w:val="auto"/>
                <w:sz w:val="24"/>
                <w:lang w:val="en-US" w:eastAsia="zh-CN"/>
              </w:rPr>
              <w:t>，</w:t>
            </w:r>
            <w:r>
              <w:rPr>
                <w:rFonts w:hint="eastAsia" w:hAnsi="宋体"/>
                <w:color w:val="auto"/>
                <w:sz w:val="24"/>
              </w:rPr>
              <w:t>总河长21.1km，落差562m，平均比降26%。</w:t>
            </w:r>
          </w:p>
          <w:p>
            <w:pPr>
              <w:adjustRightInd w:val="0"/>
              <w:snapToGrid w:val="0"/>
              <w:spacing w:line="360" w:lineRule="auto"/>
              <w:ind w:firstLine="480" w:firstLineChars="200"/>
              <w:rPr>
                <w:rFonts w:hint="eastAsia" w:hAnsi="宋体"/>
                <w:color w:val="auto"/>
                <w:sz w:val="24"/>
                <w:lang w:val="en-US" w:eastAsia="zh-CN"/>
              </w:rPr>
            </w:pPr>
            <w:r>
              <w:rPr>
                <w:rFonts w:hint="eastAsia" w:hAnsi="宋体"/>
                <w:color w:val="auto"/>
                <w:sz w:val="24"/>
              </w:rPr>
              <w:t>根据《昆明市和滇中产业新区水功能区划》（2010~2030年）</w:t>
            </w:r>
            <w:r>
              <w:rPr>
                <w:rFonts w:hint="eastAsia" w:hAnsi="宋体"/>
                <w:color w:val="auto"/>
                <w:sz w:val="24"/>
                <w:lang w:eastAsia="zh-CN"/>
              </w:rPr>
              <w:t>，</w:t>
            </w:r>
            <w:r>
              <w:rPr>
                <w:rFonts w:hint="eastAsia" w:hAnsi="宋体"/>
                <w:color w:val="auto"/>
                <w:sz w:val="24"/>
                <w:lang w:val="en-US" w:eastAsia="zh-CN"/>
              </w:rPr>
              <w:t>本项目涉及区域属于“普沙河嵩明开发利用区”：源头至入牛栏江口，长21.1km，该段河流水资源开发利用较高，源头段自上而下分别建有干河水库、大石头水库，其中干河水库为新建水库水源，设计总库容510万m</w:t>
            </w:r>
            <w:r>
              <w:rPr>
                <w:rFonts w:hint="eastAsia" w:hAnsi="宋体"/>
                <w:color w:val="auto"/>
                <w:sz w:val="24"/>
                <w:vertAlign w:val="superscript"/>
                <w:lang w:val="en-US" w:eastAsia="zh-CN"/>
              </w:rPr>
              <w:t>3</w:t>
            </w:r>
            <w:r>
              <w:rPr>
                <w:rFonts w:hint="eastAsia" w:hAnsi="宋体"/>
                <w:color w:val="auto"/>
                <w:sz w:val="24"/>
                <w:lang w:val="en-US" w:eastAsia="zh-CN"/>
              </w:rPr>
              <w:t>；大石头水库为嵩明坝子大型灌区和下游城市生活生产主要供水水源之一，总库容1000万m</w:t>
            </w:r>
            <w:r>
              <w:rPr>
                <w:rFonts w:hint="eastAsia" w:hAnsi="宋体"/>
                <w:color w:val="auto"/>
                <w:sz w:val="24"/>
                <w:vertAlign w:val="superscript"/>
                <w:lang w:val="en-US" w:eastAsia="zh-CN"/>
              </w:rPr>
              <w:t>3</w:t>
            </w:r>
            <w:r>
              <w:rPr>
                <w:rFonts w:hint="eastAsia" w:hAnsi="宋体"/>
                <w:color w:val="auto"/>
                <w:sz w:val="24"/>
                <w:lang w:val="en-US" w:eastAsia="zh-CN"/>
              </w:rPr>
              <w:t>，2010年供水量991.5万m</w:t>
            </w:r>
            <w:r>
              <w:rPr>
                <w:rFonts w:hint="eastAsia" w:hAnsi="宋体"/>
                <w:color w:val="auto"/>
                <w:sz w:val="24"/>
                <w:vertAlign w:val="superscript"/>
                <w:lang w:val="en-US" w:eastAsia="zh-CN"/>
              </w:rPr>
              <w:t>3</w:t>
            </w:r>
            <w:r>
              <w:rPr>
                <w:rFonts w:hint="eastAsia" w:hAnsi="宋体"/>
                <w:color w:val="auto"/>
                <w:sz w:val="24"/>
                <w:lang w:val="en-US" w:eastAsia="zh-CN"/>
              </w:rPr>
              <w:t>。区域内水质现状为Ⅱ~劣V类，规划水平年水质保护目标按水功能二级区划执行。</w:t>
            </w:r>
          </w:p>
          <w:p>
            <w:pPr>
              <w:adjustRightInd w:val="0"/>
              <w:snapToGrid w:val="0"/>
              <w:spacing w:line="360" w:lineRule="auto"/>
              <w:ind w:firstLine="480" w:firstLineChars="200"/>
              <w:rPr>
                <w:rFonts w:hint="eastAsia" w:hAnsi="宋体" w:eastAsia="宋体"/>
                <w:color w:val="auto"/>
                <w:sz w:val="24"/>
                <w:lang w:eastAsia="zh-CN"/>
              </w:rPr>
            </w:pPr>
            <w:r>
              <w:rPr>
                <w:rFonts w:hint="eastAsia" w:hAnsi="宋体"/>
                <w:color w:val="auto"/>
                <w:sz w:val="24"/>
                <w:lang w:val="en-US" w:eastAsia="zh-CN"/>
              </w:rPr>
              <w:t>综上所述，项目</w:t>
            </w:r>
            <w:r>
              <w:rPr>
                <w:rFonts w:hint="eastAsia" w:hAnsi="宋体"/>
                <w:color w:val="auto"/>
                <w:sz w:val="24"/>
              </w:rPr>
              <w:t>涉及的地表水体普沙河2030年规划水平年水质保护目标Ⅱ类</w:t>
            </w:r>
            <w:r>
              <w:rPr>
                <w:rFonts w:hint="eastAsia" w:hAnsi="宋体"/>
                <w:color w:val="auto"/>
                <w:sz w:val="24"/>
                <w:lang w:eastAsia="zh-CN"/>
              </w:rPr>
              <w:t>，</w:t>
            </w:r>
            <w:r>
              <w:rPr>
                <w:rFonts w:hint="eastAsia" w:hAnsi="宋体"/>
                <w:color w:val="auto"/>
                <w:sz w:val="24"/>
                <w:lang w:val="en-US" w:eastAsia="zh-CN"/>
              </w:rPr>
              <w:t>执行</w:t>
            </w:r>
            <w:r>
              <w:rPr>
                <w:rFonts w:hint="eastAsia" w:hAnsi="宋体"/>
                <w:color w:val="auto"/>
                <w:sz w:val="24"/>
              </w:rPr>
              <w:t>《地表水环境质量标准》（GB3838-2002）中Ⅱ类水质标准</w:t>
            </w:r>
            <w:r>
              <w:rPr>
                <w:rFonts w:hint="eastAsia" w:hAnsi="宋体"/>
                <w:color w:val="auto"/>
                <w:sz w:val="24"/>
                <w:lang w:eastAsia="zh-CN"/>
              </w:rPr>
              <w:t>。</w:t>
            </w:r>
            <w:r>
              <w:rPr>
                <w:rFonts w:hint="eastAsia" w:hAnsi="宋体"/>
                <w:color w:val="auto"/>
                <w:sz w:val="24"/>
              </w:rPr>
              <w:t>根据《嵩明县2024年环境质量状况公报》，</w:t>
            </w:r>
            <w:r>
              <w:rPr>
                <w:rFonts w:hint="eastAsia" w:hAnsi="宋体"/>
                <w:color w:val="auto"/>
                <w:sz w:val="24"/>
                <w:lang w:val="en-US" w:eastAsia="zh-CN"/>
              </w:rPr>
              <w:t>2024年，</w:t>
            </w:r>
            <w:r>
              <w:rPr>
                <w:rFonts w:hint="eastAsia" w:hAnsi="宋体"/>
                <w:color w:val="auto"/>
                <w:sz w:val="24"/>
              </w:rPr>
              <w:t>普沙河-汇入果马河前断面平均水质为Ⅱ类</w:t>
            </w:r>
            <w:r>
              <w:rPr>
                <w:rFonts w:hint="eastAsia" w:hAnsi="宋体"/>
                <w:color w:val="auto"/>
                <w:sz w:val="24"/>
                <w:lang w:eastAsia="zh-CN"/>
              </w:rPr>
              <w:t>，</w:t>
            </w:r>
            <w:r>
              <w:rPr>
                <w:rFonts w:hint="eastAsia" w:hAnsi="宋体"/>
                <w:color w:val="auto"/>
                <w:sz w:val="24"/>
              </w:rPr>
              <w:t>满足《地表水环境质量标准》（GB3838-2002）中Ⅱ类水质标准</w:t>
            </w:r>
            <w:r>
              <w:rPr>
                <w:rFonts w:hint="eastAsia" w:hAnsi="宋体"/>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6、</w:t>
            </w:r>
            <w:r>
              <w:rPr>
                <w:rFonts w:hint="eastAsia" w:ascii="Times New Roman" w:hAnsi="Times New Roman" w:eastAsia="宋体" w:cs="Times New Roman"/>
                <w:b/>
                <w:bCs/>
                <w:color w:val="auto"/>
                <w:sz w:val="28"/>
                <w:szCs w:val="28"/>
              </w:rPr>
              <w:t>大气环境质量现状</w:t>
            </w:r>
          </w:p>
          <w:p>
            <w:pPr>
              <w:adjustRightInd w:val="0"/>
              <w:snapToGrid w:val="0"/>
              <w:spacing w:line="360" w:lineRule="auto"/>
              <w:ind w:firstLine="480" w:firstLineChars="200"/>
              <w:rPr>
                <w:rFonts w:hint="eastAsia" w:hAnsi="宋体"/>
                <w:color w:val="auto"/>
                <w:sz w:val="24"/>
              </w:rPr>
            </w:pPr>
            <w:r>
              <w:rPr>
                <w:rFonts w:hint="eastAsia" w:hAnsi="宋体"/>
                <w:color w:val="auto"/>
                <w:sz w:val="24"/>
                <w:lang w:eastAsia="zh-CN"/>
              </w:rPr>
              <w:t>项目位于云南省昆明市嵩明县嵩阳街道山脚社区，</w:t>
            </w:r>
            <w:r>
              <w:rPr>
                <w:rFonts w:hint="eastAsia" w:hAnsi="宋体"/>
                <w:color w:val="auto"/>
                <w:sz w:val="24"/>
                <w:lang w:val="en-US" w:eastAsia="zh-CN"/>
              </w:rPr>
              <w:t>所在区域为农村地区，</w:t>
            </w:r>
            <w:r>
              <w:rPr>
                <w:rFonts w:hint="eastAsia" w:hAnsi="宋体"/>
                <w:color w:val="auto"/>
                <w:sz w:val="24"/>
              </w:rPr>
              <w:t>环境空气质量执行《环境空气质量标准》（GB3095-2012）二级标准。</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根据《嵩明县2024年环境质量状况公报》，</w:t>
            </w:r>
            <w:r>
              <w:rPr>
                <w:rFonts w:hint="eastAsia" w:hAnsi="宋体"/>
                <w:color w:val="auto"/>
                <w:sz w:val="24"/>
                <w:lang w:val="en-US" w:eastAsia="zh-CN"/>
              </w:rPr>
              <w:t>2024年，嵩明县</w:t>
            </w:r>
            <w:r>
              <w:rPr>
                <w:rFonts w:hint="eastAsia" w:hAnsi="宋体"/>
                <w:color w:val="auto"/>
                <w:sz w:val="24"/>
              </w:rPr>
              <w:t>全年环境空气质量有效监测354天，其中优204天，良150天，优良率为100%，质量综合指数为2.58</w:t>
            </w:r>
            <w:r>
              <w:rPr>
                <w:rFonts w:hint="eastAsia" w:hAnsi="宋体"/>
                <w:color w:val="auto"/>
                <w:sz w:val="24"/>
                <w:lang w:eastAsia="zh-CN"/>
              </w:rPr>
              <w:t>；</w:t>
            </w:r>
            <w:r>
              <w:rPr>
                <w:rFonts w:hint="eastAsia" w:hAnsi="宋体"/>
                <w:color w:val="auto"/>
                <w:sz w:val="24"/>
                <w:lang w:val="en-US" w:eastAsia="zh-CN"/>
              </w:rPr>
              <w:t>根据《2024年度昆明市生态环境状况公报》，</w:t>
            </w:r>
            <w:r>
              <w:rPr>
                <w:rFonts w:hint="eastAsia" w:hAnsi="宋体"/>
                <w:color w:val="auto"/>
                <w:sz w:val="24"/>
              </w:rPr>
              <w:t>2024年昆明市主城区外所辖的8个县</w:t>
            </w:r>
            <w:r>
              <w:rPr>
                <w:rFonts w:hint="eastAsia" w:hAnsi="宋体"/>
                <w:color w:val="auto"/>
                <w:sz w:val="24"/>
                <w:lang w:eastAsia="zh-CN"/>
              </w:rPr>
              <w:t>（</w:t>
            </w:r>
            <w:r>
              <w:rPr>
                <w:rFonts w:hint="eastAsia" w:hAnsi="宋体"/>
                <w:color w:val="auto"/>
                <w:sz w:val="24"/>
              </w:rPr>
              <w:t>市</w:t>
            </w:r>
            <w:r>
              <w:rPr>
                <w:rFonts w:hint="eastAsia" w:hAnsi="宋体"/>
                <w:color w:val="auto"/>
                <w:sz w:val="24"/>
                <w:lang w:eastAsia="zh-CN"/>
              </w:rPr>
              <w:t>）</w:t>
            </w:r>
            <w:r>
              <w:rPr>
                <w:rFonts w:hint="eastAsia" w:hAnsi="宋体"/>
                <w:color w:val="auto"/>
                <w:sz w:val="24"/>
              </w:rPr>
              <w:t>、区环境空气质量总体保持良好，各项污染物平均浓度均达到《环境空气质量标准》</w:t>
            </w:r>
            <w:r>
              <w:rPr>
                <w:rFonts w:hint="eastAsia" w:hAnsi="宋体"/>
                <w:color w:val="auto"/>
                <w:sz w:val="24"/>
                <w:lang w:eastAsia="zh-CN"/>
              </w:rPr>
              <w:t>（</w:t>
            </w:r>
            <w:r>
              <w:rPr>
                <w:rFonts w:hint="eastAsia" w:hAnsi="宋体"/>
                <w:color w:val="auto"/>
                <w:sz w:val="24"/>
              </w:rPr>
              <w:t>GB3095-2012</w:t>
            </w:r>
            <w:r>
              <w:rPr>
                <w:rFonts w:hint="eastAsia" w:hAnsi="宋体"/>
                <w:color w:val="auto"/>
                <w:sz w:val="24"/>
                <w:lang w:eastAsia="zh-CN"/>
              </w:rPr>
              <w:t>）</w:t>
            </w:r>
            <w:r>
              <w:rPr>
                <w:rFonts w:hint="eastAsia" w:hAnsi="宋体"/>
                <w:color w:val="auto"/>
                <w:sz w:val="24"/>
              </w:rPr>
              <w:t>二级标准</w:t>
            </w:r>
            <w:r>
              <w:rPr>
                <w:rFonts w:hint="eastAsia" w:hAnsi="宋体"/>
                <w:color w:val="auto"/>
                <w:sz w:val="24"/>
                <w:lang w:eastAsia="zh-CN"/>
              </w:rPr>
              <w:t>；</w:t>
            </w:r>
            <w:r>
              <w:rPr>
                <w:rFonts w:hint="eastAsia" w:hAnsi="宋体"/>
                <w:color w:val="auto"/>
                <w:sz w:val="24"/>
              </w:rPr>
              <w:t>空气优良天数比例范围为97.50%~100%，与2023年相比，石林县、富民县、宜良县、东川区、寻甸县、</w:t>
            </w:r>
            <w:r>
              <w:rPr>
                <w:rFonts w:hint="eastAsia" w:hAnsi="宋体"/>
                <w:color w:val="auto"/>
                <w:sz w:val="24"/>
                <w:lang w:val="en-US" w:eastAsia="zh-CN"/>
              </w:rPr>
              <w:t>嵩</w:t>
            </w:r>
            <w:r>
              <w:rPr>
                <w:rFonts w:hint="eastAsia" w:hAnsi="宋体"/>
                <w:color w:val="auto"/>
                <w:sz w:val="24"/>
              </w:rPr>
              <w:t>明县、</w:t>
            </w:r>
            <w:r>
              <w:rPr>
                <w:rFonts w:hint="eastAsia" w:hAnsi="宋体"/>
                <w:color w:val="auto"/>
                <w:sz w:val="24"/>
                <w:lang w:val="en-US" w:eastAsia="zh-CN"/>
              </w:rPr>
              <w:t>禄</w:t>
            </w:r>
            <w:r>
              <w:rPr>
                <w:rFonts w:hint="eastAsia" w:hAnsi="宋体"/>
                <w:color w:val="auto"/>
                <w:sz w:val="24"/>
              </w:rPr>
              <w:t>劝县空气优良天数比例均有提高。</w:t>
            </w:r>
          </w:p>
          <w:p>
            <w:pPr>
              <w:adjustRightInd w:val="0"/>
              <w:snapToGrid w:val="0"/>
              <w:spacing w:line="360" w:lineRule="auto"/>
              <w:ind w:firstLine="480" w:firstLineChars="200"/>
              <w:rPr>
                <w:rFonts w:hint="default" w:hAnsi="宋体" w:eastAsia="宋体"/>
                <w:color w:val="auto"/>
                <w:sz w:val="24"/>
                <w:lang w:val="en-US" w:eastAsia="zh-CN"/>
              </w:rPr>
            </w:pPr>
            <w:r>
              <w:rPr>
                <w:rFonts w:hint="eastAsia" w:hAnsi="宋体"/>
                <w:color w:val="auto"/>
                <w:sz w:val="24"/>
                <w:lang w:val="en-US" w:eastAsia="zh-CN"/>
              </w:rPr>
              <w:t>综上所述，项目所在区域环境空气质量总体良好，判定项目区为环境空气质量达标区。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7、</w:t>
            </w:r>
            <w:r>
              <w:rPr>
                <w:rFonts w:hint="eastAsia" w:ascii="Times New Roman" w:hAnsi="Times New Roman" w:eastAsia="宋体" w:cs="Times New Roman"/>
                <w:b/>
                <w:bCs/>
                <w:color w:val="auto"/>
                <w:sz w:val="28"/>
                <w:szCs w:val="28"/>
              </w:rPr>
              <w:t>声环境</w:t>
            </w:r>
            <w:r>
              <w:rPr>
                <w:rFonts w:hint="eastAsia" w:ascii="Times New Roman" w:hAnsi="Times New Roman" w:eastAsia="宋体" w:cs="Times New Roman"/>
                <w:b/>
                <w:bCs/>
                <w:color w:val="auto"/>
                <w:sz w:val="28"/>
                <w:szCs w:val="28"/>
                <w:lang w:val="en-US" w:eastAsia="zh-CN"/>
              </w:rPr>
              <w:t>质量</w:t>
            </w:r>
            <w:r>
              <w:rPr>
                <w:rFonts w:hint="eastAsia" w:ascii="Times New Roman" w:hAnsi="Times New Roman" w:eastAsia="宋体" w:cs="Times New Roman"/>
                <w:b/>
                <w:bCs/>
                <w:color w:val="auto"/>
                <w:sz w:val="28"/>
                <w:szCs w:val="28"/>
              </w:rPr>
              <w:t>现状</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本项目位于</w:t>
            </w:r>
            <w:r>
              <w:rPr>
                <w:rFonts w:hint="eastAsia" w:hAnsi="宋体"/>
                <w:color w:val="auto"/>
                <w:sz w:val="24"/>
                <w:lang w:eastAsia="zh-CN"/>
              </w:rPr>
              <w:t>云南省昆明市嵩明县嵩阳街道山脚社区</w:t>
            </w:r>
            <w:r>
              <w:rPr>
                <w:rFonts w:hint="eastAsia" w:hAnsi="宋体"/>
                <w:color w:val="auto"/>
                <w:sz w:val="24"/>
              </w:rPr>
              <w:t>，</w:t>
            </w:r>
            <w:r>
              <w:rPr>
                <w:rFonts w:hint="eastAsia" w:hAnsi="宋体"/>
                <w:color w:val="auto"/>
                <w:sz w:val="24"/>
                <w:lang w:val="en-US" w:eastAsia="zh-CN"/>
              </w:rPr>
              <w:t>根据</w:t>
            </w:r>
            <w:r>
              <w:rPr>
                <w:rFonts w:hint="eastAsia" w:hAnsi="宋体"/>
                <w:color w:val="auto"/>
                <w:sz w:val="24"/>
                <w:lang w:eastAsia="zh-CN"/>
              </w:rPr>
              <w:t>《</w:t>
            </w:r>
            <w:r>
              <w:rPr>
                <w:rFonts w:hint="eastAsia" w:hAnsi="宋体"/>
                <w:color w:val="auto"/>
                <w:sz w:val="24"/>
              </w:rPr>
              <w:t>嵩明县声环境功能区划分方案</w:t>
            </w:r>
            <w:r>
              <w:rPr>
                <w:rFonts w:hint="eastAsia" w:hAnsi="宋体"/>
                <w:color w:val="auto"/>
                <w:sz w:val="24"/>
                <w:lang w:eastAsia="zh-CN"/>
              </w:rPr>
              <w:t>（</w:t>
            </w:r>
            <w:r>
              <w:rPr>
                <w:rFonts w:hint="eastAsia" w:hAnsi="宋体"/>
                <w:color w:val="auto"/>
                <w:sz w:val="24"/>
              </w:rPr>
              <w:t>2024-2035年</w:t>
            </w:r>
            <w:r>
              <w:rPr>
                <w:rFonts w:hint="eastAsia" w:hAnsi="宋体"/>
                <w:color w:val="auto"/>
                <w:sz w:val="24"/>
                <w:lang w:eastAsia="zh-CN"/>
              </w:rPr>
              <w:t>）》，</w:t>
            </w:r>
            <w:r>
              <w:rPr>
                <w:rFonts w:hint="eastAsia" w:hAnsi="宋体"/>
                <w:color w:val="auto"/>
                <w:sz w:val="24"/>
                <w:lang w:val="en-US" w:eastAsia="zh-CN"/>
              </w:rPr>
              <w:t>项目所在区域声环境功能为1类区，</w:t>
            </w:r>
            <w:r>
              <w:rPr>
                <w:rFonts w:hint="eastAsia" w:hAnsi="宋体"/>
                <w:color w:val="auto"/>
                <w:sz w:val="24"/>
              </w:rPr>
              <w:t>声环境质量标准执行《声环境质量标准》（GB 3096-2008）</w:t>
            </w:r>
            <w:r>
              <w:rPr>
                <w:rFonts w:hint="eastAsia" w:hAnsi="宋体"/>
                <w:color w:val="auto"/>
                <w:sz w:val="24"/>
                <w:lang w:val="en-US" w:eastAsia="zh-CN"/>
              </w:rPr>
              <w:t>1</w:t>
            </w:r>
            <w:r>
              <w:rPr>
                <w:rFonts w:hint="eastAsia" w:hAnsi="宋体"/>
                <w:color w:val="auto"/>
                <w:sz w:val="24"/>
              </w:rPr>
              <w:t>类标准。</w:t>
            </w:r>
          </w:p>
          <w:p>
            <w:pPr>
              <w:adjustRightInd w:val="0"/>
              <w:snapToGrid w:val="0"/>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根据</w:t>
            </w:r>
            <w:r>
              <w:rPr>
                <w:rFonts w:hint="eastAsia" w:hAnsi="宋体"/>
                <w:color w:val="auto"/>
                <w:sz w:val="24"/>
              </w:rPr>
              <w:t>《嵩明县2024年环境质量状况公报》，</w:t>
            </w:r>
            <w:r>
              <w:rPr>
                <w:rFonts w:hint="eastAsia" w:hAnsi="宋体"/>
                <w:color w:val="auto"/>
                <w:sz w:val="24"/>
                <w:lang w:val="en-US" w:eastAsia="zh-CN"/>
              </w:rPr>
              <w:t>2024年，区域环境噪声昼间总体水平等级为“二级”，道路交通噪声昼间强度等级为“一级”，声环境功能区噪声昼间、夜间达标率均为100%。</w:t>
            </w:r>
          </w:p>
          <w:p>
            <w:pPr>
              <w:adjustRightInd w:val="0"/>
              <w:snapToGrid w:val="0"/>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根据《2024年度昆明市生态环境状况公报》，2024年，昆明市各县（市）区区域环境昼间等效声级平均值分别为：东川区53.4分贝、安宁市49.2分贝、宜良县49.4分贝、石林县53.2分贝、禄劝县51.2分贝、嵩明县52.8分贝、富民县48.9分贝、寻甸县46.3分贝。安宁市、宜良县、富民县、寻甸县区域昼间环境噪声总体水平评价为一级（好），其余各县（市）区区域昼间环境噪声总体水平评价为二级（较好）。与2023年相比，宜良县富民县、寻甸县的区域环境昼间等效声级平均值降低，东川区、安宁市、石林县、禄劝县、嵩明县的区域环境昼间等效声级平均值升高。</w:t>
            </w:r>
          </w:p>
          <w:p>
            <w:pPr>
              <w:adjustRightInd w:val="0"/>
              <w:snapToGrid w:val="0"/>
              <w:spacing w:line="360" w:lineRule="auto"/>
              <w:ind w:firstLine="480" w:firstLineChars="200"/>
              <w:rPr>
                <w:rFonts w:hint="default" w:hAnsi="宋体" w:eastAsia="宋体"/>
                <w:color w:val="auto"/>
                <w:sz w:val="24"/>
                <w:lang w:val="en-US" w:eastAsia="zh-CN"/>
              </w:rPr>
            </w:pPr>
            <w:r>
              <w:rPr>
                <w:rFonts w:hint="eastAsia" w:hAnsi="宋体"/>
                <w:color w:val="auto"/>
                <w:sz w:val="24"/>
                <w:lang w:val="en-US" w:eastAsia="zh-CN"/>
              </w:rPr>
              <w:t>根据调查，项目区域噪声主要是村民产生的人群噪声和车辆噪声，周边无工业企业。综上所述，项目所在区域声环境质量现状能够达到</w:t>
            </w:r>
            <w:r>
              <w:rPr>
                <w:rFonts w:hint="eastAsia" w:hAnsi="宋体"/>
                <w:color w:val="auto"/>
                <w:sz w:val="24"/>
              </w:rPr>
              <w:t>《声环境质量标准》（GB 3096-2008）</w:t>
            </w:r>
            <w:r>
              <w:rPr>
                <w:rFonts w:hint="eastAsia" w:hAnsi="宋体"/>
                <w:color w:val="auto"/>
                <w:sz w:val="24"/>
                <w:lang w:val="en-US" w:eastAsia="zh-CN"/>
              </w:rPr>
              <w:t>1</w:t>
            </w:r>
            <w:r>
              <w:rPr>
                <w:rFonts w:hint="eastAsia" w:hAnsi="宋体"/>
                <w:color w:val="auto"/>
                <w:sz w:val="24"/>
              </w:rPr>
              <w:t>类标准。</w:t>
            </w:r>
          </w:p>
          <w:p>
            <w:pPr>
              <w:adjustRightInd w:val="0"/>
              <w:snapToGrid w:val="0"/>
              <w:spacing w:line="360" w:lineRule="auto"/>
              <w:ind w:firstLine="480" w:firstLineChars="200"/>
              <w:rPr>
                <w:rFonts w:hint="eastAsia" w:ascii="Times New Roman" w:hAnsi="宋体" w:eastAsia="宋体" w:cs="Times New Roman"/>
                <w:color w:val="auto"/>
                <w:sz w:val="24"/>
              </w:rPr>
            </w:pPr>
          </w:p>
          <w:p>
            <w:pPr>
              <w:adjustRightInd w:val="0"/>
              <w:snapToGrid w:val="0"/>
              <w:spacing w:line="360" w:lineRule="auto"/>
              <w:jc w:val="left"/>
              <w:rPr>
                <w:color w:val="auto"/>
                <w:sz w:val="24"/>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56" w:type="dxa"/>
            <w:noWrap w:val="0"/>
            <w:vAlign w:val="center"/>
          </w:tcPr>
          <w:p>
            <w:pPr>
              <w:adjustRightInd w:val="0"/>
              <w:snapToGrid w:val="0"/>
              <w:jc w:val="center"/>
              <w:rPr>
                <w:color w:val="auto"/>
                <w:kern w:val="0"/>
                <w:sz w:val="24"/>
                <w:highlight w:val="yellow"/>
              </w:rPr>
            </w:pPr>
            <w:r>
              <w:rPr>
                <w:bCs/>
                <w:color w:val="auto"/>
                <w:sz w:val="24"/>
              </w:rPr>
              <w:t>与项目有关的原有环境污染和生态破坏问题</w:t>
            </w:r>
          </w:p>
        </w:tc>
        <w:tc>
          <w:tcPr>
            <w:tcW w:w="8832" w:type="dxa"/>
            <w:noWrap w:val="0"/>
            <w:vAlign w:val="center"/>
          </w:tcPr>
          <w:p>
            <w:pPr>
              <w:adjustRightInd w:val="0"/>
              <w:snapToGrid w:val="0"/>
              <w:spacing w:line="360" w:lineRule="auto"/>
              <w:ind w:firstLine="480" w:firstLineChars="200"/>
              <w:jc w:val="left"/>
              <w:rPr>
                <w:rFonts w:hint="eastAsia"/>
                <w:color w:val="auto"/>
                <w:highlight w:val="yellow"/>
              </w:rPr>
            </w:pPr>
            <w:r>
              <w:rPr>
                <w:rStyle w:val="203"/>
                <w:rFonts w:hint="default" w:ascii="Times New Roman" w:hAnsi="Times New Roman"/>
                <w:color w:val="auto"/>
              </w:rPr>
              <w:t>经过现场调查未发现环境污染和生态破坏问题。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56" w:type="dxa"/>
            <w:noWrap w:val="0"/>
            <w:vAlign w:val="center"/>
          </w:tcPr>
          <w:p>
            <w:pPr>
              <w:adjustRightInd w:val="0"/>
              <w:snapToGrid w:val="0"/>
              <w:jc w:val="center"/>
              <w:rPr>
                <w:color w:val="auto"/>
                <w:kern w:val="0"/>
                <w:sz w:val="24"/>
              </w:rPr>
            </w:pPr>
            <w:r>
              <w:rPr>
                <w:color w:val="auto"/>
                <w:kern w:val="0"/>
                <w:sz w:val="24"/>
              </w:rPr>
              <w:t>生态环境保护目标</w:t>
            </w:r>
          </w:p>
        </w:tc>
        <w:tc>
          <w:tcPr>
            <w:tcW w:w="88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sz w:val="28"/>
                <w:szCs w:val="28"/>
                <w:lang w:val="en-US" w:eastAsia="zh-CN"/>
              </w:rPr>
            </w:pPr>
            <w:bookmarkStart w:id="12" w:name="_Toc83158390"/>
            <w:bookmarkStart w:id="13" w:name="_Toc83158225"/>
            <w:r>
              <w:rPr>
                <w:rFonts w:hint="eastAsia" w:ascii="Times New Roman" w:hAnsi="Times New Roman" w:eastAsia="宋体" w:cs="Times New Roman"/>
                <w:b/>
                <w:bCs/>
                <w:color w:val="auto"/>
                <w:sz w:val="28"/>
                <w:szCs w:val="28"/>
                <w:lang w:val="en-US" w:eastAsia="zh-CN"/>
              </w:rPr>
              <w:t>1、生态保护目标</w:t>
            </w:r>
            <w:bookmarkEnd w:id="12"/>
            <w:bookmarkEnd w:id="13"/>
          </w:p>
          <w:p>
            <w:pPr>
              <w:adjustRightInd w:val="0"/>
              <w:snapToGrid w:val="0"/>
              <w:spacing w:line="360" w:lineRule="auto"/>
              <w:ind w:firstLine="480" w:firstLineChars="200"/>
              <w:jc w:val="left"/>
              <w:rPr>
                <w:rFonts w:hint="eastAsia"/>
                <w:color w:val="auto"/>
                <w:sz w:val="24"/>
              </w:rPr>
            </w:pPr>
            <w:r>
              <w:rPr>
                <w:rFonts w:hint="eastAsia"/>
                <w:color w:val="auto"/>
                <w:sz w:val="24"/>
              </w:rPr>
              <w:t>本项目不涉及国家公园、自然保护区、世界自然遗产、重要生境、自然公园、生态保护红线，也不涉及地下水水水位或土壤影响范围内分布的天然林、公益林、湿地等生态环境保护目标，工程占地小于20km</w:t>
            </w:r>
            <w:r>
              <w:rPr>
                <w:rFonts w:hint="eastAsia"/>
                <w:color w:val="auto"/>
                <w:sz w:val="24"/>
                <w:vertAlign w:val="superscript"/>
              </w:rPr>
              <w:t>2</w:t>
            </w:r>
            <w:r>
              <w:rPr>
                <w:rFonts w:hint="eastAsia"/>
                <w:color w:val="auto"/>
                <w:sz w:val="24"/>
              </w:rPr>
              <w:t>，根据《环境影响评价技术导则 生态影响》（HJ19-2022），本项目生态环境评价等级为三级。</w:t>
            </w:r>
          </w:p>
          <w:p>
            <w:pPr>
              <w:adjustRightInd w:val="0"/>
              <w:snapToGrid w:val="0"/>
              <w:spacing w:line="360" w:lineRule="auto"/>
              <w:ind w:firstLine="480" w:firstLineChars="200"/>
              <w:jc w:val="left"/>
              <w:rPr>
                <w:color w:val="auto"/>
                <w:sz w:val="24"/>
              </w:rPr>
            </w:pPr>
            <w:r>
              <w:rPr>
                <w:color w:val="auto"/>
                <w:sz w:val="24"/>
              </w:rPr>
              <w:t>根据《环境影响评价技术导则-生态影响》(HJ 19-20</w:t>
            </w:r>
            <w:r>
              <w:rPr>
                <w:rFonts w:hint="eastAsia"/>
                <w:color w:val="auto"/>
                <w:sz w:val="24"/>
                <w:lang w:val="en-US" w:eastAsia="zh-CN"/>
              </w:rPr>
              <w:t>22</w:t>
            </w:r>
            <w:r>
              <w:rPr>
                <w:color w:val="auto"/>
                <w:sz w:val="24"/>
              </w:rPr>
              <w:t>)中“4.3 生态影响评价应能够充分体现生态完整性，涵盖评价项目全部活动的直接影响区域和间接影响区域。本次生态评价范围的划定主要包括项目工程占地范围、全部活动的直接影响区域和间接影响区域，本项目生态评价范围以</w:t>
            </w:r>
            <w:r>
              <w:rPr>
                <w:rFonts w:hint="eastAsia"/>
                <w:color w:val="auto"/>
                <w:sz w:val="24"/>
                <w:lang w:val="en-US" w:eastAsia="zh-CN"/>
              </w:rPr>
              <w:t>占地范围</w:t>
            </w:r>
            <w:r>
              <w:rPr>
                <w:color w:val="auto"/>
                <w:sz w:val="24"/>
              </w:rPr>
              <w:t>周边外延300m 范围。评价范围内的生态环境保护目标是评价范围内的林地、草地等指标及野生动物，具体见下表。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3-1 </w:t>
            </w:r>
            <w:r>
              <w:rPr>
                <w:rFonts w:hint="eastAsia" w:ascii="Times New Roman" w:hAnsi="Times New Roman" w:eastAsia="宋体" w:cs="Times New Roman"/>
                <w:b/>
                <w:bCs/>
                <w:color w:val="auto"/>
                <w:sz w:val="21"/>
                <w:szCs w:val="21"/>
              </w:rPr>
              <w:t>生态保护目标</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6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28" w:type="dxa"/>
                  <w:noWrap w:val="0"/>
                  <w:vAlign w:val="center"/>
                </w:tcPr>
                <w:p>
                  <w:pPr>
                    <w:pStyle w:val="157"/>
                    <w:snapToGrid/>
                    <w:ind w:firstLine="0" w:firstLineChars="0"/>
                    <w:jc w:val="center"/>
                    <w:outlineLvl w:val="1"/>
                    <w:rPr>
                      <w:rFonts w:ascii="Times New Roman" w:hAnsi="Times New Roman"/>
                      <w:b/>
                      <w:bCs w:val="0"/>
                      <w:color w:val="auto"/>
                      <w:szCs w:val="21"/>
                    </w:rPr>
                  </w:pPr>
                  <w:bookmarkStart w:id="14" w:name="_Toc83158391"/>
                  <w:bookmarkStart w:id="15" w:name="_Toc83158226"/>
                  <w:r>
                    <w:rPr>
                      <w:rFonts w:ascii="Times New Roman" w:hAnsi="Times New Roman"/>
                      <w:b/>
                      <w:bCs w:val="0"/>
                      <w:color w:val="auto"/>
                      <w:szCs w:val="21"/>
                    </w:rPr>
                    <w:t>保护</w:t>
                  </w:r>
                  <w:bookmarkEnd w:id="14"/>
                  <w:bookmarkEnd w:id="15"/>
                  <w:r>
                    <w:rPr>
                      <w:rFonts w:ascii="Times New Roman" w:hAnsi="Times New Roman"/>
                      <w:b/>
                      <w:bCs w:val="0"/>
                      <w:color w:val="auto"/>
                      <w:szCs w:val="21"/>
                    </w:rPr>
                    <w:t>要素</w:t>
                  </w:r>
                </w:p>
              </w:tc>
              <w:tc>
                <w:tcPr>
                  <w:tcW w:w="6711" w:type="dxa"/>
                  <w:noWrap w:val="0"/>
                  <w:vAlign w:val="center"/>
                </w:tcPr>
                <w:p>
                  <w:pPr>
                    <w:pStyle w:val="157"/>
                    <w:snapToGrid/>
                    <w:ind w:firstLine="0" w:firstLineChars="0"/>
                    <w:jc w:val="center"/>
                    <w:outlineLvl w:val="1"/>
                    <w:rPr>
                      <w:rFonts w:ascii="Times New Roman" w:hAnsi="Times New Roman"/>
                      <w:b/>
                      <w:bCs w:val="0"/>
                      <w:color w:val="auto"/>
                      <w:szCs w:val="21"/>
                    </w:rPr>
                  </w:pPr>
                  <w:bookmarkStart w:id="16" w:name="_Toc83158392"/>
                  <w:bookmarkStart w:id="17" w:name="_Toc83158227"/>
                  <w:r>
                    <w:rPr>
                      <w:rFonts w:ascii="Times New Roman" w:hAnsi="Times New Roman"/>
                      <w:b/>
                      <w:bCs w:val="0"/>
                      <w:color w:val="auto"/>
                      <w:szCs w:val="21"/>
                    </w:rPr>
                    <w:t>保护目标</w:t>
                  </w:r>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828" w:type="dxa"/>
                  <w:noWrap w:val="0"/>
                  <w:vAlign w:val="center"/>
                </w:tcPr>
                <w:p>
                  <w:pPr>
                    <w:pStyle w:val="157"/>
                    <w:snapToGrid/>
                    <w:ind w:firstLine="0" w:firstLineChars="0"/>
                    <w:jc w:val="center"/>
                    <w:outlineLvl w:val="1"/>
                    <w:rPr>
                      <w:rFonts w:ascii="Times New Roman" w:hAnsi="Times New Roman"/>
                      <w:bCs/>
                      <w:color w:val="auto"/>
                      <w:szCs w:val="21"/>
                    </w:rPr>
                  </w:pPr>
                  <w:r>
                    <w:rPr>
                      <w:rFonts w:ascii="Times New Roman" w:hAnsi="Times New Roman"/>
                      <w:bCs/>
                      <w:color w:val="auto"/>
                      <w:szCs w:val="21"/>
                    </w:rPr>
                    <w:t>生态环境</w:t>
                  </w:r>
                </w:p>
              </w:tc>
              <w:tc>
                <w:tcPr>
                  <w:tcW w:w="6711" w:type="dxa"/>
                  <w:noWrap w:val="0"/>
                  <w:vAlign w:val="center"/>
                </w:tcPr>
                <w:p>
                  <w:pPr>
                    <w:pStyle w:val="157"/>
                    <w:snapToGrid/>
                    <w:ind w:firstLine="0" w:firstLineChars="0"/>
                    <w:jc w:val="center"/>
                    <w:outlineLvl w:val="1"/>
                    <w:rPr>
                      <w:rFonts w:ascii="Times New Roman" w:hAnsi="Times New Roman"/>
                      <w:bCs/>
                      <w:color w:val="auto"/>
                      <w:szCs w:val="21"/>
                    </w:rPr>
                  </w:pPr>
                  <w:r>
                    <w:rPr>
                      <w:rFonts w:ascii="Times New Roman" w:hAnsi="Times New Roman"/>
                      <w:bCs/>
                      <w:color w:val="auto"/>
                      <w:szCs w:val="21"/>
                    </w:rPr>
                    <w:t>工程占地外延300m范围内的植物、植被和动物不受破坏</w:t>
                  </w:r>
                </w:p>
              </w:tc>
            </w:tr>
          </w:tbl>
          <w:p>
            <w:pPr>
              <w:adjustRightInd w:val="0"/>
              <w:snapToGrid w:val="0"/>
              <w:spacing w:line="360" w:lineRule="auto"/>
              <w:ind w:firstLine="480" w:firstLineChars="200"/>
              <w:jc w:val="left"/>
              <w:rPr>
                <w:color w:val="auto"/>
                <w:sz w:val="24"/>
              </w:rPr>
            </w:pPr>
            <w:r>
              <w:rPr>
                <w:color w:val="auto"/>
                <w:sz w:val="24"/>
              </w:rPr>
              <w:t>项目边界300米范围内</w:t>
            </w:r>
            <w:r>
              <w:rPr>
                <w:bCs/>
                <w:color w:val="auto"/>
                <w:sz w:val="24"/>
              </w:rPr>
              <w:t>无自然保护区、风景名胜区、世界文化和自然遗产地、饮用水源保护区和文物保护区等环境敏感区域。</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sz w:val="28"/>
                <w:szCs w:val="28"/>
                <w:lang w:val="en-US" w:eastAsia="zh-CN"/>
              </w:rPr>
            </w:pPr>
            <w:bookmarkStart w:id="18" w:name="_Toc83158400"/>
            <w:bookmarkStart w:id="19" w:name="_Toc83158235"/>
            <w:r>
              <w:rPr>
                <w:rFonts w:hint="eastAsia" w:ascii="Times New Roman" w:hAnsi="Times New Roman" w:eastAsia="宋体" w:cs="Times New Roman"/>
                <w:b/>
                <w:bCs/>
                <w:color w:val="auto"/>
                <w:sz w:val="28"/>
                <w:szCs w:val="28"/>
                <w:lang w:val="en-US" w:eastAsia="zh-CN"/>
              </w:rPr>
              <w:t>2、大气环境保护目标</w:t>
            </w:r>
            <w:bookmarkEnd w:id="18"/>
            <w:bookmarkEnd w:id="19"/>
          </w:p>
          <w:p>
            <w:pPr>
              <w:adjustRightInd w:val="0"/>
              <w:snapToGrid w:val="0"/>
              <w:spacing w:line="360" w:lineRule="auto"/>
              <w:ind w:firstLine="480" w:firstLineChars="200"/>
              <w:jc w:val="left"/>
              <w:rPr>
                <w:color w:val="auto"/>
                <w:sz w:val="24"/>
              </w:rPr>
            </w:pPr>
            <w:r>
              <w:rPr>
                <w:rFonts w:hint="eastAsia"/>
                <w:color w:val="auto"/>
                <w:sz w:val="24"/>
              </w:rPr>
              <w:t>根据工程特点、区域自然环境特征以及《建设项目环境影响报告表编制技术指南（生态影响类—试行）》等要求，结合现场踏勘，确定以厂界外500m的范围内环境敏感点为环境空气保护目标，根据现场勘查，本项目周边500m范围内无自然保护区、风景名胜区、文化区，分布有</w:t>
            </w:r>
            <w:r>
              <w:rPr>
                <w:rFonts w:hint="eastAsia"/>
                <w:color w:val="auto"/>
                <w:sz w:val="24"/>
                <w:lang w:val="en-US" w:eastAsia="zh-CN"/>
              </w:rPr>
              <w:t>学习、</w:t>
            </w:r>
            <w:r>
              <w:rPr>
                <w:rFonts w:hint="eastAsia"/>
                <w:color w:val="auto"/>
                <w:sz w:val="24"/>
              </w:rPr>
              <w:t>居民点</w:t>
            </w:r>
            <w:r>
              <w:rPr>
                <w:rFonts w:hint="eastAsia"/>
                <w:color w:val="auto"/>
                <w:sz w:val="24"/>
                <w:lang w:val="en-US" w:eastAsia="zh-CN"/>
              </w:rPr>
              <w:t>等</w:t>
            </w:r>
            <w:r>
              <w:rPr>
                <w:rFonts w:hint="eastAsia"/>
                <w:color w:val="auto"/>
                <w:sz w:val="24"/>
              </w:rPr>
              <w:t>，作为本项目主要大气环境保护目标统计见下表</w:t>
            </w:r>
            <w:r>
              <w:rPr>
                <w:color w:val="auto"/>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3-2 </w:t>
            </w:r>
            <w:r>
              <w:rPr>
                <w:rFonts w:hint="eastAsia" w:ascii="Times New Roman" w:hAnsi="Times New Roman" w:eastAsia="宋体" w:cs="Times New Roman"/>
                <w:b/>
                <w:bCs/>
                <w:color w:val="auto"/>
                <w:sz w:val="21"/>
                <w:szCs w:val="21"/>
              </w:rPr>
              <w:t>大气环境保护目标情况</w:t>
            </w:r>
          </w:p>
          <w:tbl>
            <w:tblPr>
              <w:tblStyle w:val="8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234"/>
              <w:gridCol w:w="1221"/>
              <w:gridCol w:w="1147"/>
              <w:gridCol w:w="2088"/>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5"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bookmarkStart w:id="20" w:name="_Toc83158401"/>
                  <w:bookmarkStart w:id="21" w:name="_Toc83158236"/>
                  <w:r>
                    <w:rPr>
                      <w:rFonts w:hint="default" w:ascii="Times New Roman" w:hAnsi="Times New Roman" w:eastAsia="宋体" w:cs="Times New Roman"/>
                      <w:b/>
                      <w:bCs w:val="0"/>
                      <w:color w:val="auto"/>
                      <w:sz w:val="21"/>
                      <w:szCs w:val="21"/>
                    </w:rPr>
                    <w:t>保护目标</w:t>
                  </w:r>
                  <w:bookmarkEnd w:id="20"/>
                  <w:bookmarkEnd w:id="21"/>
                </w:p>
              </w:tc>
              <w:tc>
                <w:tcPr>
                  <w:tcW w:w="2455" w:type="dxa"/>
                  <w:gridSpan w:val="2"/>
                  <w:tcBorders>
                    <w:bottom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bookmarkStart w:id="22" w:name="_Toc83158402"/>
                  <w:bookmarkStart w:id="23" w:name="_Toc83158237"/>
                  <w:r>
                    <w:rPr>
                      <w:rFonts w:hint="default" w:ascii="Times New Roman" w:hAnsi="Times New Roman" w:eastAsia="宋体" w:cs="Times New Roman"/>
                      <w:b/>
                      <w:bCs w:val="0"/>
                      <w:color w:val="auto"/>
                      <w:sz w:val="21"/>
                      <w:szCs w:val="21"/>
                    </w:rPr>
                    <w:t>地理坐标</w:t>
                  </w:r>
                  <w:bookmarkEnd w:id="22"/>
                  <w:bookmarkEnd w:id="23"/>
                  <w:r>
                    <w:rPr>
                      <w:rFonts w:hint="default" w:ascii="Times New Roman" w:hAnsi="Times New Roman" w:eastAsia="宋体" w:cs="Times New Roman"/>
                      <w:b/>
                      <w:bCs/>
                      <w:i w:val="0"/>
                      <w:iCs w:val="0"/>
                      <w:color w:val="auto"/>
                      <w:kern w:val="0"/>
                      <w:sz w:val="21"/>
                      <w:szCs w:val="21"/>
                      <w:u w:val="none"/>
                      <w:lang w:val="en-US" w:eastAsia="zh-CN" w:bidi="ar"/>
                    </w:rPr>
                    <w:t>（m）</w:t>
                  </w:r>
                </w:p>
              </w:tc>
              <w:tc>
                <w:tcPr>
                  <w:tcW w:w="1147"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bookmarkStart w:id="24" w:name="_Toc83158238"/>
                  <w:bookmarkStart w:id="25" w:name="_Toc83158403"/>
                  <w:r>
                    <w:rPr>
                      <w:rFonts w:hint="default" w:ascii="Times New Roman" w:hAnsi="Times New Roman" w:eastAsia="宋体" w:cs="Times New Roman"/>
                      <w:b/>
                      <w:bCs w:val="0"/>
                      <w:color w:val="auto"/>
                      <w:sz w:val="21"/>
                      <w:szCs w:val="21"/>
                    </w:rPr>
                    <w:t>保护内容</w:t>
                  </w:r>
                  <w:bookmarkEnd w:id="24"/>
                  <w:bookmarkEnd w:id="25"/>
                </w:p>
              </w:tc>
              <w:tc>
                <w:tcPr>
                  <w:tcW w:w="2088"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bookmarkStart w:id="26" w:name="_Toc83158239"/>
                  <w:bookmarkStart w:id="27" w:name="_Toc83158404"/>
                  <w:r>
                    <w:rPr>
                      <w:rFonts w:hint="default" w:ascii="Times New Roman" w:hAnsi="Times New Roman" w:eastAsia="宋体" w:cs="Times New Roman"/>
                      <w:b/>
                      <w:bCs w:val="0"/>
                      <w:color w:val="auto"/>
                      <w:sz w:val="21"/>
                      <w:szCs w:val="21"/>
                    </w:rPr>
                    <w:t>环境功能</w:t>
                  </w:r>
                  <w:bookmarkEnd w:id="26"/>
                  <w:bookmarkEnd w:id="27"/>
                </w:p>
              </w:tc>
              <w:tc>
                <w:tcPr>
                  <w:tcW w:w="1783"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bookmarkStart w:id="28" w:name="_Toc83158240"/>
                  <w:bookmarkStart w:id="29" w:name="_Toc83158405"/>
                  <w:r>
                    <w:rPr>
                      <w:rFonts w:hint="default" w:ascii="Times New Roman" w:hAnsi="Times New Roman" w:eastAsia="宋体" w:cs="Times New Roman"/>
                      <w:b/>
                      <w:bCs w:val="0"/>
                      <w:color w:val="auto"/>
                      <w:sz w:val="21"/>
                      <w:szCs w:val="21"/>
                    </w:rPr>
                    <w:t>距离</w:t>
                  </w:r>
                  <w:r>
                    <w:rPr>
                      <w:rFonts w:hint="eastAsia" w:ascii="Times New Roman" w:hAnsi="Times New Roman" w:eastAsia="宋体" w:cs="Times New Roman"/>
                      <w:b/>
                      <w:bCs w:val="0"/>
                      <w:color w:val="auto"/>
                      <w:sz w:val="21"/>
                      <w:szCs w:val="21"/>
                      <w:lang w:val="en-US" w:eastAsia="zh-CN"/>
                    </w:rPr>
                    <w:t>项目</w:t>
                  </w:r>
                  <w:r>
                    <w:rPr>
                      <w:rFonts w:hint="default" w:ascii="Times New Roman" w:hAnsi="Times New Roman" w:eastAsia="宋体" w:cs="Times New Roman"/>
                      <w:b/>
                      <w:bCs w:val="0"/>
                      <w:color w:val="auto"/>
                      <w:sz w:val="21"/>
                      <w:szCs w:val="21"/>
                    </w:rPr>
                    <w:t>区的位置</w:t>
                  </w:r>
                  <w:bookmarkEnd w:id="28"/>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5"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c>
                <w:tcPr>
                  <w:tcW w:w="1234" w:type="dxa"/>
                  <w:tcBorders>
                    <w:top w:val="single" w:color="auto" w:sz="6" w:space="0"/>
                    <w:righ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bookmarkStart w:id="30" w:name="_Toc83158406"/>
                  <w:bookmarkStart w:id="31" w:name="_Toc83158241"/>
                  <w:r>
                    <w:rPr>
                      <w:rFonts w:hint="default" w:ascii="Times New Roman" w:hAnsi="Times New Roman" w:eastAsia="宋体" w:cs="Times New Roman"/>
                      <w:b/>
                      <w:bCs w:val="0"/>
                      <w:color w:val="auto"/>
                      <w:sz w:val="21"/>
                      <w:szCs w:val="21"/>
                    </w:rPr>
                    <w:t>经度</w:t>
                  </w:r>
                  <w:bookmarkEnd w:id="30"/>
                  <w:bookmarkEnd w:id="31"/>
                </w:p>
              </w:tc>
              <w:tc>
                <w:tcPr>
                  <w:tcW w:w="1221" w:type="dxa"/>
                  <w:tcBorders>
                    <w:top w:val="single" w:color="auto" w:sz="6" w:space="0"/>
                    <w:lef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bookmarkStart w:id="32" w:name="_Toc83158242"/>
                  <w:bookmarkStart w:id="33" w:name="_Toc83158407"/>
                  <w:r>
                    <w:rPr>
                      <w:rFonts w:hint="default" w:ascii="Times New Roman" w:hAnsi="Times New Roman" w:eastAsia="宋体" w:cs="Times New Roman"/>
                      <w:b/>
                      <w:bCs w:val="0"/>
                      <w:color w:val="auto"/>
                      <w:sz w:val="21"/>
                      <w:szCs w:val="21"/>
                    </w:rPr>
                    <w:t>纬度</w:t>
                  </w:r>
                  <w:bookmarkEnd w:id="32"/>
                  <w:bookmarkEnd w:id="33"/>
                </w:p>
              </w:tc>
              <w:tc>
                <w:tcPr>
                  <w:tcW w:w="1147"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c>
                <w:tcPr>
                  <w:tcW w:w="2088"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c>
                <w:tcPr>
                  <w:tcW w:w="1783"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5"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bookmarkStart w:id="34" w:name="_Toc83158244"/>
                  <w:bookmarkStart w:id="35" w:name="_Toc83158409"/>
                  <w:r>
                    <w:rPr>
                      <w:rFonts w:hint="eastAsia" w:ascii="Times New Roman" w:hAnsi="Times New Roman" w:eastAsia="宋体" w:cs="Times New Roman"/>
                      <w:bCs/>
                      <w:color w:val="auto"/>
                      <w:kern w:val="2"/>
                      <w:sz w:val="21"/>
                      <w:szCs w:val="21"/>
                      <w:lang w:val="en-US" w:eastAsia="zh-CN" w:bidi="ar-SA"/>
                    </w:rPr>
                    <w:t>山脚小学</w:t>
                  </w:r>
                </w:p>
                <w:bookmarkEnd w:id="34"/>
                <w:bookmarkEnd w:id="35"/>
              </w:tc>
              <w:tc>
                <w:tcPr>
                  <w:tcW w:w="1234" w:type="dxa"/>
                  <w:tcBorders>
                    <w:righ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103.022189</w:t>
                  </w:r>
                </w:p>
              </w:tc>
              <w:tc>
                <w:tcPr>
                  <w:tcW w:w="1221" w:type="dxa"/>
                  <w:tcBorders>
                    <w:lef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25.354865</w:t>
                  </w:r>
                </w:p>
              </w:tc>
              <w:tc>
                <w:tcPr>
                  <w:tcW w:w="1147"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人群</w:t>
                  </w:r>
                  <w:r>
                    <w:rPr>
                      <w:rFonts w:hint="default" w:ascii="Times New Roman" w:hAnsi="Times New Roman" w:eastAsia="宋体" w:cs="Times New Roman"/>
                      <w:bCs/>
                      <w:color w:val="auto"/>
                      <w:sz w:val="21"/>
                      <w:szCs w:val="21"/>
                    </w:rPr>
                    <w:t>，约</w:t>
                  </w:r>
                  <w:r>
                    <w:rPr>
                      <w:rFonts w:hint="eastAsia" w:ascii="Times New Roman" w:hAnsi="Times New Roman" w:eastAsia="宋体" w:cs="Times New Roman"/>
                      <w:bCs/>
                      <w:color w:val="auto"/>
                      <w:sz w:val="21"/>
                      <w:szCs w:val="21"/>
                      <w:lang w:val="en-US" w:eastAsia="zh-CN"/>
                    </w:rPr>
                    <w:t>540</w:t>
                  </w:r>
                  <w:r>
                    <w:rPr>
                      <w:rFonts w:hint="default" w:ascii="Times New Roman" w:hAnsi="Times New Roman" w:eastAsia="宋体" w:cs="Times New Roman"/>
                      <w:bCs/>
                      <w:color w:val="auto"/>
                      <w:sz w:val="21"/>
                      <w:szCs w:val="21"/>
                    </w:rPr>
                    <w:t>人</w:t>
                  </w:r>
                </w:p>
              </w:tc>
              <w:tc>
                <w:tcPr>
                  <w:tcW w:w="2088"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ascii="Times New Roman" w:hAnsi="Times New Roman"/>
                      <w:bCs/>
                      <w:color w:val="auto"/>
                      <w:sz w:val="21"/>
                      <w:szCs w:val="21"/>
                    </w:rPr>
                    <w:t>《环境空气质量标准》</w:t>
                  </w:r>
                  <w:r>
                    <w:rPr>
                      <w:rFonts w:hint="eastAsia" w:ascii="Times New Roman" w:hAnsi="Times New Roman"/>
                      <w:bCs/>
                      <w:color w:val="auto"/>
                      <w:sz w:val="24"/>
                      <w:lang w:eastAsia="zh-CN"/>
                    </w:rPr>
                    <w:t>（</w:t>
                  </w:r>
                  <w:r>
                    <w:rPr>
                      <w:rFonts w:hint="default" w:ascii="Times New Roman" w:hAnsi="Times New Roman" w:eastAsia="宋体" w:cs="Times New Roman"/>
                      <w:bCs/>
                      <w:color w:val="auto"/>
                      <w:kern w:val="2"/>
                      <w:sz w:val="21"/>
                      <w:szCs w:val="21"/>
                      <w:lang w:val="en-US" w:eastAsia="zh-CN" w:bidi="ar-SA"/>
                    </w:rPr>
                    <w:t>GB3095-2012</w:t>
                  </w:r>
                  <w:r>
                    <w:rPr>
                      <w:rFonts w:hint="eastAsia" w:ascii="Times New Roman" w:hAnsi="Times New Roman"/>
                      <w:bCs/>
                      <w:color w:val="auto"/>
                      <w:sz w:val="24"/>
                      <w:lang w:eastAsia="zh-CN"/>
                    </w:rPr>
                    <w:t>）</w:t>
                  </w:r>
                  <w:r>
                    <w:rPr>
                      <w:rFonts w:hint="default" w:ascii="Times New Roman" w:hAnsi="Times New Roman" w:eastAsia="宋体" w:cs="Times New Roman"/>
                      <w:bCs/>
                      <w:color w:val="auto"/>
                      <w:kern w:val="2"/>
                      <w:sz w:val="21"/>
                      <w:szCs w:val="21"/>
                      <w:lang w:val="en-US" w:eastAsia="zh-CN" w:bidi="ar-SA"/>
                    </w:rPr>
                    <w:t>中二类标准</w:t>
                  </w:r>
                </w:p>
              </w:tc>
              <w:tc>
                <w:tcPr>
                  <w:tcW w:w="1783"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距离边界约</w:t>
                  </w:r>
                  <w:r>
                    <w:rPr>
                      <w:rFonts w:hint="eastAsia" w:ascii="Times New Roman" w:hAnsi="Times New Roman" w:eastAsia="宋体" w:cs="Times New Roman"/>
                      <w:bCs/>
                      <w:color w:val="auto"/>
                      <w:sz w:val="21"/>
                      <w:szCs w:val="21"/>
                      <w:lang w:val="en-US" w:eastAsia="zh-CN"/>
                    </w:rPr>
                    <w:t>8</w:t>
                  </w: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lang w:val="en-US" w:eastAsia="zh-CN"/>
                    </w:rPr>
                    <w:t>东</w:t>
                  </w:r>
                  <w:r>
                    <w:rPr>
                      <w:rFonts w:hint="default" w:ascii="Times New Roman" w:hAnsi="Times New Roman" w:eastAsia="宋体" w:cs="Times New Roman"/>
                      <w:bCs/>
                      <w:color w:val="auto"/>
                      <w:sz w:val="21"/>
                      <w:szCs w:val="21"/>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5"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eastAsia" w:ascii="Times New Roman" w:hAnsi="Times New Roman" w:eastAsia="宋体" w:cs="Times New Roman"/>
                      <w:bCs/>
                      <w:color w:val="auto"/>
                      <w:kern w:val="2"/>
                      <w:sz w:val="21"/>
                      <w:szCs w:val="21"/>
                      <w:lang w:val="en-US" w:eastAsia="zh-CN" w:bidi="ar-SA"/>
                    </w:rPr>
                  </w:pPr>
                  <w:bookmarkStart w:id="36" w:name="_Toc83158279"/>
                  <w:bookmarkStart w:id="37" w:name="_Toc83158444"/>
                  <w:r>
                    <w:rPr>
                      <w:rFonts w:hint="eastAsia" w:ascii="Times New Roman" w:hAnsi="Times New Roman" w:eastAsia="宋体" w:cs="Times New Roman"/>
                      <w:bCs/>
                      <w:color w:val="auto"/>
                      <w:kern w:val="2"/>
                      <w:sz w:val="21"/>
                      <w:szCs w:val="21"/>
                      <w:lang w:val="en-US" w:eastAsia="zh-CN" w:bidi="ar-SA"/>
                    </w:rPr>
                    <w:t>山脚社区居民委员会</w:t>
                  </w:r>
                </w:p>
              </w:tc>
              <w:tc>
                <w:tcPr>
                  <w:tcW w:w="1234" w:type="dxa"/>
                  <w:tcBorders>
                    <w:righ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103.022382</w:t>
                  </w:r>
                </w:p>
              </w:tc>
              <w:tc>
                <w:tcPr>
                  <w:tcW w:w="1221" w:type="dxa"/>
                  <w:tcBorders>
                    <w:lef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25.354284</w:t>
                  </w:r>
                </w:p>
              </w:tc>
              <w:tc>
                <w:tcPr>
                  <w:tcW w:w="1147"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人群</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20人</w:t>
                  </w:r>
                </w:p>
              </w:tc>
              <w:tc>
                <w:tcPr>
                  <w:tcW w:w="2088"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ascii="Times New Roman" w:hAnsi="Times New Roman"/>
                      <w:bCs/>
                      <w:color w:val="auto"/>
                      <w:sz w:val="21"/>
                      <w:szCs w:val="21"/>
                    </w:rPr>
                  </w:pPr>
                </w:p>
              </w:tc>
              <w:tc>
                <w:tcPr>
                  <w:tcW w:w="1783"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距离边界约</w:t>
                  </w:r>
                  <w:r>
                    <w:rPr>
                      <w:rFonts w:hint="eastAsia" w:ascii="Times New Roman" w:hAnsi="Times New Roman" w:eastAsia="宋体" w:cs="Times New Roman"/>
                      <w:bCs/>
                      <w:color w:val="auto"/>
                      <w:sz w:val="21"/>
                      <w:szCs w:val="21"/>
                      <w:lang w:val="en-US" w:eastAsia="zh-CN"/>
                    </w:rPr>
                    <w:t>61</w:t>
                  </w: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lang w:val="en-US" w:eastAsia="zh-CN"/>
                    </w:rPr>
                    <w:t>东南</w:t>
                  </w:r>
                  <w:r>
                    <w:rPr>
                      <w:rFonts w:hint="default" w:ascii="Times New Roman" w:hAnsi="Times New Roman" w:eastAsia="宋体" w:cs="Times New Roman"/>
                      <w:bCs/>
                      <w:color w:val="auto"/>
                      <w:sz w:val="21"/>
                      <w:szCs w:val="21"/>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5"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大山脚</w:t>
                  </w:r>
                </w:p>
              </w:tc>
              <w:tc>
                <w:tcPr>
                  <w:tcW w:w="1234" w:type="dxa"/>
                  <w:tcBorders>
                    <w:righ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103.021169</w:t>
                  </w:r>
                </w:p>
              </w:tc>
              <w:tc>
                <w:tcPr>
                  <w:tcW w:w="1221" w:type="dxa"/>
                  <w:tcBorders>
                    <w:lef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25.356082</w:t>
                  </w:r>
                </w:p>
              </w:tc>
              <w:tc>
                <w:tcPr>
                  <w:tcW w:w="1147"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居民，约</w:t>
                  </w:r>
                  <w:r>
                    <w:rPr>
                      <w:rFonts w:hint="eastAsia" w:ascii="Times New Roman" w:hAnsi="Times New Roman" w:eastAsia="宋体" w:cs="Times New Roman"/>
                      <w:bCs/>
                      <w:color w:val="auto"/>
                      <w:sz w:val="21"/>
                      <w:szCs w:val="21"/>
                      <w:lang w:val="en-US" w:eastAsia="zh-CN"/>
                    </w:rPr>
                    <w:t>420</w:t>
                  </w:r>
                  <w:r>
                    <w:rPr>
                      <w:rFonts w:hint="default" w:ascii="Times New Roman" w:hAnsi="Times New Roman" w:eastAsia="宋体" w:cs="Times New Roman"/>
                      <w:bCs/>
                      <w:color w:val="auto"/>
                      <w:sz w:val="21"/>
                      <w:szCs w:val="21"/>
                    </w:rPr>
                    <w:t>人</w:t>
                  </w:r>
                </w:p>
              </w:tc>
              <w:tc>
                <w:tcPr>
                  <w:tcW w:w="2088"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ascii="Times New Roman" w:hAnsi="Times New Roman"/>
                      <w:bCs/>
                      <w:color w:val="auto"/>
                      <w:sz w:val="21"/>
                      <w:szCs w:val="21"/>
                    </w:rPr>
                  </w:pPr>
                </w:p>
              </w:tc>
              <w:tc>
                <w:tcPr>
                  <w:tcW w:w="1783"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距离边界约</w:t>
                  </w:r>
                  <w:r>
                    <w:rPr>
                      <w:rFonts w:hint="eastAsia" w:ascii="Times New Roman" w:hAnsi="Times New Roman" w:eastAsia="宋体" w:cs="Times New Roman"/>
                      <w:bCs/>
                      <w:color w:val="auto"/>
                      <w:sz w:val="21"/>
                      <w:szCs w:val="21"/>
                      <w:lang w:val="en-US" w:eastAsia="zh-CN"/>
                    </w:rPr>
                    <w:t>94</w:t>
                  </w: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lang w:val="en-US" w:eastAsia="zh-CN"/>
                    </w:rPr>
                    <w:t>北</w:t>
                  </w:r>
                  <w:r>
                    <w:rPr>
                      <w:rFonts w:hint="default" w:ascii="Times New Roman" w:hAnsi="Times New Roman" w:eastAsia="宋体" w:cs="Times New Roman"/>
                      <w:bCs/>
                      <w:color w:val="auto"/>
                      <w:sz w:val="21"/>
                      <w:szCs w:val="21"/>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5"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小山脚</w:t>
                  </w:r>
                </w:p>
              </w:tc>
              <w:tc>
                <w:tcPr>
                  <w:tcW w:w="1234" w:type="dxa"/>
                  <w:tcBorders>
                    <w:righ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103.020311</w:t>
                  </w:r>
                </w:p>
              </w:tc>
              <w:tc>
                <w:tcPr>
                  <w:tcW w:w="1221" w:type="dxa"/>
                  <w:tcBorders>
                    <w:lef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25.353741</w:t>
                  </w:r>
                </w:p>
              </w:tc>
              <w:tc>
                <w:tcPr>
                  <w:tcW w:w="1147"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居民，约</w:t>
                  </w:r>
                  <w:r>
                    <w:rPr>
                      <w:rFonts w:hint="eastAsia" w:ascii="Times New Roman" w:hAnsi="Times New Roman" w:eastAsia="宋体" w:cs="Times New Roman"/>
                      <w:bCs/>
                      <w:color w:val="auto"/>
                      <w:sz w:val="21"/>
                      <w:szCs w:val="21"/>
                      <w:lang w:val="en-US" w:eastAsia="zh-CN"/>
                    </w:rPr>
                    <w:t>510</w:t>
                  </w:r>
                  <w:r>
                    <w:rPr>
                      <w:rFonts w:hint="default" w:ascii="Times New Roman" w:hAnsi="Times New Roman" w:eastAsia="宋体" w:cs="Times New Roman"/>
                      <w:bCs/>
                      <w:color w:val="auto"/>
                      <w:sz w:val="21"/>
                      <w:szCs w:val="21"/>
                    </w:rPr>
                    <w:t>人</w:t>
                  </w:r>
                </w:p>
              </w:tc>
              <w:tc>
                <w:tcPr>
                  <w:tcW w:w="2088"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ascii="Times New Roman" w:hAnsi="Times New Roman"/>
                      <w:bCs/>
                      <w:color w:val="auto"/>
                      <w:sz w:val="21"/>
                      <w:szCs w:val="21"/>
                    </w:rPr>
                  </w:pPr>
                </w:p>
              </w:tc>
              <w:tc>
                <w:tcPr>
                  <w:tcW w:w="1783"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距离边界约</w:t>
                  </w:r>
                  <w:r>
                    <w:rPr>
                      <w:rFonts w:hint="eastAsia" w:ascii="Times New Roman" w:hAnsi="Times New Roman" w:eastAsia="宋体" w:cs="Times New Roman"/>
                      <w:bCs/>
                      <w:color w:val="auto"/>
                      <w:sz w:val="21"/>
                      <w:szCs w:val="21"/>
                      <w:lang w:val="en-US" w:eastAsia="zh-CN"/>
                    </w:rPr>
                    <w:t>67</w:t>
                  </w: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lang w:val="en-US" w:eastAsia="zh-CN"/>
                    </w:rPr>
                    <w:t>南</w:t>
                  </w:r>
                  <w:r>
                    <w:rPr>
                      <w:rFonts w:hint="default" w:ascii="Times New Roman" w:hAnsi="Times New Roman" w:eastAsia="宋体" w:cs="Times New Roman"/>
                      <w:bCs/>
                      <w:color w:val="auto"/>
                      <w:sz w:val="21"/>
                      <w:szCs w:val="21"/>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5"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嵩明县烈士陵园</w:t>
                  </w:r>
                </w:p>
              </w:tc>
              <w:tc>
                <w:tcPr>
                  <w:tcW w:w="1234" w:type="dxa"/>
                  <w:tcBorders>
                    <w:righ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103.010135</w:t>
                  </w:r>
                </w:p>
              </w:tc>
              <w:tc>
                <w:tcPr>
                  <w:tcW w:w="1221" w:type="dxa"/>
                  <w:tcBorders>
                    <w:lef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25.353680</w:t>
                  </w:r>
                </w:p>
              </w:tc>
              <w:tc>
                <w:tcPr>
                  <w:tcW w:w="1147"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人群</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3人</w:t>
                  </w:r>
                </w:p>
              </w:tc>
              <w:tc>
                <w:tcPr>
                  <w:tcW w:w="2088"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ascii="Times New Roman" w:hAnsi="Times New Roman"/>
                      <w:bCs/>
                      <w:color w:val="auto"/>
                      <w:sz w:val="21"/>
                      <w:szCs w:val="21"/>
                    </w:rPr>
                  </w:pPr>
                </w:p>
              </w:tc>
              <w:tc>
                <w:tcPr>
                  <w:tcW w:w="1783"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距离边界约</w:t>
                  </w:r>
                  <w:r>
                    <w:rPr>
                      <w:rFonts w:hint="eastAsia" w:ascii="Times New Roman" w:hAnsi="Times New Roman" w:eastAsia="宋体" w:cs="Times New Roman"/>
                      <w:bCs/>
                      <w:color w:val="auto"/>
                      <w:sz w:val="21"/>
                      <w:szCs w:val="21"/>
                      <w:lang w:val="en-US" w:eastAsia="zh-CN"/>
                    </w:rPr>
                    <w:t>55</w:t>
                  </w: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lang w:val="en-US" w:eastAsia="zh-CN"/>
                    </w:rPr>
                    <w:t>西</w:t>
                  </w:r>
                  <w:r>
                    <w:rPr>
                      <w:rFonts w:hint="default" w:ascii="Times New Roman" w:hAnsi="Times New Roman" w:eastAsia="宋体" w:cs="Times New Roman"/>
                      <w:bCs/>
                      <w:color w:val="auto"/>
                      <w:sz w:val="21"/>
                      <w:szCs w:val="21"/>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5"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法界寺</w:t>
                  </w:r>
                </w:p>
              </w:tc>
              <w:tc>
                <w:tcPr>
                  <w:tcW w:w="1234" w:type="dxa"/>
                  <w:tcBorders>
                    <w:righ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103.008134</w:t>
                  </w:r>
                </w:p>
              </w:tc>
              <w:tc>
                <w:tcPr>
                  <w:tcW w:w="1221" w:type="dxa"/>
                  <w:tcBorders>
                    <w:left w:val="single" w:color="auto" w:sz="6" w:space="0"/>
                  </w:tcBorders>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25.352926</w:t>
                  </w:r>
                </w:p>
              </w:tc>
              <w:tc>
                <w:tcPr>
                  <w:tcW w:w="1147"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人群</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30人</w:t>
                  </w:r>
                </w:p>
              </w:tc>
              <w:tc>
                <w:tcPr>
                  <w:tcW w:w="2088"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ascii="Times New Roman" w:hAnsi="Times New Roman"/>
                      <w:bCs/>
                      <w:color w:val="auto"/>
                      <w:sz w:val="21"/>
                      <w:szCs w:val="21"/>
                    </w:rPr>
                  </w:pPr>
                </w:p>
              </w:tc>
              <w:tc>
                <w:tcPr>
                  <w:tcW w:w="1783" w:type="dxa"/>
                  <w:shd w:val="clear" w:color="auto" w:fill="auto"/>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邻近</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3、声环境保护目标</w:t>
            </w:r>
            <w:bookmarkEnd w:id="36"/>
            <w:bookmarkEnd w:id="37"/>
          </w:p>
          <w:p>
            <w:pPr>
              <w:pStyle w:val="157"/>
              <w:adjustRightInd w:val="0"/>
              <w:spacing w:line="360" w:lineRule="auto"/>
              <w:ind w:firstLine="480" w:firstLineChars="200"/>
              <w:jc w:val="left"/>
              <w:outlineLvl w:val="1"/>
              <w:rPr>
                <w:rFonts w:ascii="Times New Roman" w:hAnsi="Times New Roman"/>
                <w:bCs/>
                <w:color w:val="auto"/>
                <w:sz w:val="24"/>
              </w:rPr>
            </w:pPr>
            <w:bookmarkStart w:id="38" w:name="_Toc83158280"/>
            <w:bookmarkStart w:id="39" w:name="_Toc83158445"/>
            <w:r>
              <w:rPr>
                <w:rFonts w:hint="eastAsia" w:ascii="Times New Roman" w:hAnsi="Times New Roman"/>
                <w:bCs/>
                <w:color w:val="auto"/>
                <w:sz w:val="24"/>
              </w:rPr>
              <w:t>根据工程特点、区域自然环境特征以及《建设项目环境影响报告表编制技术指南（生态影响类—试行）》等要求，结合现场踏勘，确定以厂界外50m的范围内环境敏感点为声环境保护目标，根据现场勘查，本项目厂界外50m范围</w:t>
            </w:r>
            <w:r>
              <w:rPr>
                <w:rFonts w:ascii="Times New Roman" w:hAnsi="Times New Roman"/>
                <w:bCs/>
                <w:color w:val="auto"/>
                <w:sz w:val="24"/>
              </w:rPr>
              <w:t>内声环境保护目标详见下表。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表3</w:t>
            </w:r>
            <w:r>
              <w:rPr>
                <w:rFonts w:hint="eastAsia" w:ascii="Times New Roman" w:hAnsi="Times New Roman" w:eastAsia="宋体" w:cs="Times New Roman"/>
                <w:b/>
                <w:bCs/>
                <w:color w:val="auto"/>
                <w:sz w:val="21"/>
                <w:szCs w:val="21"/>
                <w:lang w:val="en-US" w:eastAsia="zh-CN"/>
              </w:rPr>
              <w:t xml:space="preserve">-3 </w:t>
            </w:r>
            <w:r>
              <w:rPr>
                <w:rFonts w:hint="eastAsia" w:ascii="Times New Roman" w:hAnsi="Times New Roman" w:eastAsia="宋体" w:cs="Times New Roman"/>
                <w:b/>
                <w:bCs/>
                <w:color w:val="auto"/>
                <w:sz w:val="21"/>
                <w:szCs w:val="21"/>
              </w:rPr>
              <w:t>声环境保护目标一览表</w:t>
            </w:r>
            <w:bookmarkEnd w:id="38"/>
            <w:bookmarkEnd w:id="39"/>
          </w:p>
          <w:tbl>
            <w:tblPr>
              <w:tblStyle w:val="89"/>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245"/>
              <w:gridCol w:w="1216"/>
              <w:gridCol w:w="1304"/>
              <w:gridCol w:w="240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5"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保护目标</w:t>
                  </w:r>
                </w:p>
              </w:tc>
              <w:tc>
                <w:tcPr>
                  <w:tcW w:w="2461" w:type="dxa"/>
                  <w:gridSpan w:val="2"/>
                  <w:tcBorders>
                    <w:bottom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地理坐标</w:t>
                  </w:r>
                  <w:r>
                    <w:rPr>
                      <w:rFonts w:hint="default" w:ascii="Times New Roman" w:hAnsi="Times New Roman" w:eastAsia="宋体" w:cs="Times New Roman"/>
                      <w:b/>
                      <w:bCs/>
                      <w:i w:val="0"/>
                      <w:iCs w:val="0"/>
                      <w:color w:val="auto"/>
                      <w:kern w:val="0"/>
                      <w:sz w:val="21"/>
                      <w:szCs w:val="21"/>
                      <w:u w:val="none"/>
                      <w:lang w:val="en-US" w:eastAsia="zh-CN" w:bidi="ar"/>
                    </w:rPr>
                    <w:t>（m）</w:t>
                  </w:r>
                </w:p>
              </w:tc>
              <w:tc>
                <w:tcPr>
                  <w:tcW w:w="1304"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保护内容</w:t>
                  </w:r>
                </w:p>
              </w:tc>
              <w:tc>
                <w:tcPr>
                  <w:tcW w:w="2400"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环境功能</w:t>
                  </w:r>
                </w:p>
              </w:tc>
              <w:tc>
                <w:tcPr>
                  <w:tcW w:w="1378"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距离</w:t>
                  </w:r>
                  <w:r>
                    <w:rPr>
                      <w:rFonts w:hint="eastAsia" w:ascii="Times New Roman" w:hAnsi="Times New Roman" w:eastAsia="宋体" w:cs="Times New Roman"/>
                      <w:b/>
                      <w:bCs w:val="0"/>
                      <w:color w:val="auto"/>
                      <w:sz w:val="21"/>
                      <w:szCs w:val="21"/>
                      <w:lang w:val="en-US" w:eastAsia="zh-CN"/>
                    </w:rPr>
                    <w:t>项目</w:t>
                  </w:r>
                  <w:r>
                    <w:rPr>
                      <w:rFonts w:hint="default" w:ascii="Times New Roman" w:hAnsi="Times New Roman" w:eastAsia="宋体" w:cs="Times New Roman"/>
                      <w:b/>
                      <w:bCs w:val="0"/>
                      <w:color w:val="auto"/>
                      <w:sz w:val="21"/>
                      <w:szCs w:val="21"/>
                    </w:rPr>
                    <w:t>区的位置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5"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c>
                <w:tcPr>
                  <w:tcW w:w="1245" w:type="dxa"/>
                  <w:tcBorders>
                    <w:top w:val="single" w:color="auto" w:sz="6" w:space="0"/>
                    <w:righ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经度</w:t>
                  </w:r>
                </w:p>
              </w:tc>
              <w:tc>
                <w:tcPr>
                  <w:tcW w:w="1216" w:type="dxa"/>
                  <w:tcBorders>
                    <w:top w:val="single" w:color="auto" w:sz="6" w:space="0"/>
                    <w:lef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纬度</w:t>
                  </w:r>
                </w:p>
              </w:tc>
              <w:tc>
                <w:tcPr>
                  <w:tcW w:w="1304"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c>
                <w:tcPr>
                  <w:tcW w:w="2400"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c>
                <w:tcPr>
                  <w:tcW w:w="1378"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5" w:type="dxa"/>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山脚小学</w:t>
                  </w:r>
                </w:p>
              </w:tc>
              <w:tc>
                <w:tcPr>
                  <w:tcW w:w="1245" w:type="dxa"/>
                  <w:tcBorders>
                    <w:righ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103.022189</w:t>
                  </w:r>
                </w:p>
              </w:tc>
              <w:tc>
                <w:tcPr>
                  <w:tcW w:w="1216" w:type="dxa"/>
                  <w:tcBorders>
                    <w:lef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25.354865</w:t>
                  </w:r>
                </w:p>
              </w:tc>
              <w:tc>
                <w:tcPr>
                  <w:tcW w:w="1304" w:type="dxa"/>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人群</w:t>
                  </w:r>
                  <w:r>
                    <w:rPr>
                      <w:rFonts w:hint="default" w:ascii="Times New Roman" w:hAnsi="Times New Roman" w:eastAsia="宋体" w:cs="Times New Roman"/>
                      <w:bCs/>
                      <w:color w:val="auto"/>
                      <w:sz w:val="21"/>
                      <w:szCs w:val="21"/>
                    </w:rPr>
                    <w:t>，约</w:t>
                  </w:r>
                  <w:r>
                    <w:rPr>
                      <w:rFonts w:hint="eastAsia" w:ascii="Times New Roman" w:hAnsi="Times New Roman" w:eastAsia="宋体" w:cs="Times New Roman"/>
                      <w:bCs/>
                      <w:color w:val="auto"/>
                      <w:sz w:val="21"/>
                      <w:szCs w:val="21"/>
                      <w:lang w:val="en-US" w:eastAsia="zh-CN"/>
                    </w:rPr>
                    <w:t>540</w:t>
                  </w:r>
                  <w:r>
                    <w:rPr>
                      <w:rFonts w:hint="default" w:ascii="Times New Roman" w:hAnsi="Times New Roman" w:eastAsia="宋体" w:cs="Times New Roman"/>
                      <w:bCs/>
                      <w:color w:val="auto"/>
                      <w:sz w:val="21"/>
                      <w:szCs w:val="21"/>
                    </w:rPr>
                    <w:t>人</w:t>
                  </w:r>
                </w:p>
              </w:tc>
              <w:tc>
                <w:tcPr>
                  <w:tcW w:w="2400" w:type="dxa"/>
                  <w:vMerge w:val="restart"/>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《声环境质量标准》（GB 3096-2008）</w:t>
                  </w: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类标准</w:t>
                  </w:r>
                </w:p>
              </w:tc>
              <w:tc>
                <w:tcPr>
                  <w:tcW w:w="1378" w:type="dxa"/>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距离边界约</w:t>
                  </w:r>
                  <w:r>
                    <w:rPr>
                      <w:rFonts w:hint="eastAsia" w:ascii="Times New Roman" w:hAnsi="Times New Roman" w:eastAsia="宋体" w:cs="Times New Roman"/>
                      <w:bCs/>
                      <w:color w:val="auto"/>
                      <w:sz w:val="21"/>
                      <w:szCs w:val="21"/>
                      <w:lang w:val="en-US" w:eastAsia="zh-CN"/>
                    </w:rPr>
                    <w:t>8</w:t>
                  </w: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lang w:val="en-US" w:eastAsia="zh-CN"/>
                    </w:rPr>
                    <w:t>东</w:t>
                  </w:r>
                  <w:r>
                    <w:rPr>
                      <w:rFonts w:hint="default" w:ascii="Times New Roman" w:hAnsi="Times New Roman" w:eastAsia="宋体" w:cs="Times New Roman"/>
                      <w:bCs/>
                      <w:color w:val="auto"/>
                      <w:sz w:val="21"/>
                      <w:szCs w:val="21"/>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115" w:type="dxa"/>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法界寺</w:t>
                  </w:r>
                </w:p>
              </w:tc>
              <w:tc>
                <w:tcPr>
                  <w:tcW w:w="1245" w:type="dxa"/>
                  <w:tcBorders>
                    <w:righ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103.008134</w:t>
                  </w:r>
                </w:p>
              </w:tc>
              <w:tc>
                <w:tcPr>
                  <w:tcW w:w="1216" w:type="dxa"/>
                  <w:tcBorders>
                    <w:left w:val="single" w:color="auto" w:sz="6" w:space="0"/>
                  </w:tcBorders>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25.352926</w:t>
                  </w:r>
                </w:p>
              </w:tc>
              <w:tc>
                <w:tcPr>
                  <w:tcW w:w="1304" w:type="dxa"/>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人群</w:t>
                  </w:r>
                  <w:r>
                    <w:rPr>
                      <w:rFonts w:hint="default" w:ascii="Times New Roman" w:hAnsi="Times New Roman" w:eastAsia="宋体" w:cs="Times New Roman"/>
                      <w:bCs/>
                      <w:color w:val="auto"/>
                      <w:sz w:val="21"/>
                      <w:szCs w:val="21"/>
                    </w:rPr>
                    <w:t>，</w:t>
                  </w:r>
                  <w:r>
                    <w:rPr>
                      <w:rFonts w:hint="eastAsia" w:ascii="Times New Roman" w:hAnsi="Times New Roman" w:eastAsia="宋体" w:cs="Times New Roman"/>
                      <w:bCs/>
                      <w:color w:val="auto"/>
                      <w:sz w:val="21"/>
                      <w:szCs w:val="21"/>
                      <w:lang w:val="en-US" w:eastAsia="zh-CN"/>
                    </w:rPr>
                    <w:t>30人</w:t>
                  </w:r>
                </w:p>
              </w:tc>
              <w:tc>
                <w:tcPr>
                  <w:tcW w:w="2400" w:type="dxa"/>
                  <w:vMerge w:val="continue"/>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default" w:ascii="Times New Roman" w:hAnsi="Times New Roman" w:eastAsia="宋体" w:cs="Times New Roman"/>
                      <w:bCs/>
                      <w:color w:val="auto"/>
                      <w:sz w:val="21"/>
                      <w:szCs w:val="21"/>
                    </w:rPr>
                  </w:pPr>
                </w:p>
              </w:tc>
              <w:tc>
                <w:tcPr>
                  <w:tcW w:w="1378" w:type="dxa"/>
                  <w:noWrap w:val="0"/>
                  <w:vAlign w:val="center"/>
                </w:tcPr>
                <w:p>
                  <w:pPr>
                    <w:pStyle w:val="157"/>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outlineLvl w:val="1"/>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邻近</w:t>
                  </w:r>
                </w:p>
              </w:tc>
            </w:tr>
          </w:tbl>
          <w:p>
            <w:pPr>
              <w:pStyle w:val="126"/>
              <w:rPr>
                <w:b/>
                <w:bCs/>
                <w:color w:val="auto"/>
                <w:szCs w:val="21"/>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562" w:firstLineChars="200"/>
              <w:textAlignment w:val="auto"/>
              <w:rPr>
                <w:rFonts w:hint="eastAsia" w:ascii="Times New Roman" w:hAnsi="Times New Roman" w:eastAsia="宋体" w:cs="Times New Roman"/>
                <w:b/>
                <w:bCs/>
                <w:color w:val="auto"/>
                <w:sz w:val="28"/>
                <w:szCs w:val="28"/>
                <w:lang w:val="en-US" w:eastAsia="zh-CN"/>
              </w:rPr>
            </w:pPr>
            <w:bookmarkStart w:id="40" w:name="_Toc83158281"/>
            <w:bookmarkStart w:id="41" w:name="_Toc83158446"/>
            <w:r>
              <w:rPr>
                <w:rFonts w:hint="eastAsia" w:ascii="Times New Roman" w:hAnsi="Times New Roman" w:eastAsia="宋体" w:cs="Times New Roman"/>
                <w:b/>
                <w:bCs/>
                <w:color w:val="auto"/>
                <w:sz w:val="28"/>
                <w:szCs w:val="28"/>
                <w:lang w:val="en-US" w:eastAsia="zh-CN"/>
              </w:rPr>
              <w:t>4、水环境保护目标</w:t>
            </w:r>
            <w:bookmarkEnd w:id="40"/>
            <w:bookmarkEnd w:id="41"/>
          </w:p>
          <w:p>
            <w:pPr>
              <w:pStyle w:val="157"/>
              <w:adjustRightInd w:val="0"/>
              <w:spacing w:line="360" w:lineRule="auto"/>
              <w:ind w:firstLine="480" w:firstLineChars="200"/>
              <w:jc w:val="left"/>
              <w:outlineLvl w:val="1"/>
              <w:rPr>
                <w:rFonts w:ascii="Times New Roman" w:hAnsi="Times New Roman"/>
                <w:bCs/>
                <w:color w:val="auto"/>
                <w:sz w:val="24"/>
              </w:rPr>
            </w:pPr>
            <w:bookmarkStart w:id="42" w:name="_Toc83158282"/>
            <w:bookmarkStart w:id="43" w:name="_Toc83158447"/>
            <w:r>
              <w:rPr>
                <w:rFonts w:ascii="Times New Roman" w:hAnsi="Times New Roman"/>
                <w:bCs/>
                <w:color w:val="auto"/>
                <w:sz w:val="24"/>
              </w:rPr>
              <w:t>水环境保护目标详见下表</w:t>
            </w:r>
            <w:bookmarkEnd w:id="42"/>
            <w:bookmarkEnd w:id="43"/>
            <w:r>
              <w:rPr>
                <w:rFonts w:ascii="Times New Roman" w:hAnsi="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表3</w:t>
            </w:r>
            <w:r>
              <w:rPr>
                <w:rFonts w:hint="eastAsia" w:ascii="Times New Roman" w:hAnsi="Times New Roman" w:eastAsia="宋体" w:cs="Times New Roman"/>
                <w:b/>
                <w:bCs/>
                <w:color w:val="auto"/>
                <w:sz w:val="21"/>
                <w:szCs w:val="21"/>
                <w:lang w:val="en-US" w:eastAsia="zh-CN"/>
              </w:rPr>
              <w:t xml:space="preserve">-4 </w:t>
            </w:r>
            <w:r>
              <w:rPr>
                <w:rFonts w:hint="eastAsia" w:ascii="Times New Roman" w:hAnsi="Times New Roman" w:eastAsia="宋体" w:cs="Times New Roman"/>
                <w:b/>
                <w:bCs/>
                <w:color w:val="auto"/>
                <w:sz w:val="21"/>
                <w:szCs w:val="21"/>
              </w:rPr>
              <w:t>主要环境保护目标</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060"/>
              <w:gridCol w:w="1180"/>
              <w:gridCol w:w="1530"/>
              <w:gridCol w:w="1630"/>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6"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615"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685"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保护内容</w:t>
                  </w:r>
                </w:p>
              </w:tc>
              <w:tc>
                <w:tcPr>
                  <w:tcW w:w="888"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环境功能区</w:t>
                  </w:r>
                </w:p>
              </w:tc>
              <w:tc>
                <w:tcPr>
                  <w:tcW w:w="947"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1066"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6"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615"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普沙河</w:t>
                  </w:r>
                </w:p>
              </w:tc>
              <w:tc>
                <w:tcPr>
                  <w:tcW w:w="685"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w:t>
                  </w:r>
                </w:p>
              </w:tc>
              <w:tc>
                <w:tcPr>
                  <w:tcW w:w="888"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GB3838-2002中</w:t>
                  </w:r>
                  <w:r>
                    <w:rPr>
                      <w:rFonts w:hint="default" w:ascii="Times New Roman" w:hAnsi="Times New Roman" w:cs="Times New Roman"/>
                      <w:bCs/>
                      <w:color w:val="auto"/>
                      <w:sz w:val="21"/>
                      <w:szCs w:val="21"/>
                    </w:rPr>
                    <w:t>Ⅱ</w:t>
                  </w:r>
                  <w:r>
                    <w:rPr>
                      <w:rFonts w:hint="default" w:ascii="Times New Roman" w:hAnsi="Times New Roman" w:eastAsia="宋体" w:cs="Times New Roman"/>
                      <w:color w:val="auto"/>
                      <w:sz w:val="21"/>
                      <w:szCs w:val="21"/>
                    </w:rPr>
                    <w:t>类标准</w:t>
                  </w:r>
                </w:p>
              </w:tc>
              <w:tc>
                <w:tcPr>
                  <w:tcW w:w="947"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东侧</w:t>
                  </w:r>
                </w:p>
              </w:tc>
              <w:tc>
                <w:tcPr>
                  <w:tcW w:w="1066" w:type="pc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距离边界约377</w:t>
                  </w:r>
                  <w:r>
                    <w:rPr>
                      <w:rFonts w:hint="default" w:ascii="Times New Roman" w:hAnsi="Times New Roman" w:eastAsia="宋体" w:cs="Times New Roman"/>
                      <w:color w:val="auto"/>
                      <w:sz w:val="21"/>
                      <w:szCs w:val="21"/>
                      <w:lang w:val="en-US" w:eastAsia="zh-CN"/>
                    </w:rPr>
                    <w:t>m</w:t>
                  </w:r>
                </w:p>
              </w:tc>
            </w:tr>
          </w:tbl>
          <w:p>
            <w:pPr>
              <w:adjustRightInd w:val="0"/>
              <w:snapToGrid w:val="0"/>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56" w:type="dxa"/>
            <w:noWrap w:val="0"/>
            <w:vAlign w:val="center"/>
          </w:tcPr>
          <w:p>
            <w:pPr>
              <w:adjustRightInd w:val="0"/>
              <w:snapToGrid w:val="0"/>
              <w:jc w:val="center"/>
              <w:rPr>
                <w:color w:val="auto"/>
                <w:kern w:val="0"/>
                <w:sz w:val="24"/>
              </w:rPr>
            </w:pPr>
            <w:r>
              <w:rPr>
                <w:color w:val="auto"/>
                <w:kern w:val="0"/>
                <w:sz w:val="24"/>
              </w:rPr>
              <w:t>评价标准</w:t>
            </w:r>
          </w:p>
        </w:tc>
        <w:tc>
          <w:tcPr>
            <w:tcW w:w="8832" w:type="dxa"/>
            <w:noWrap w:val="0"/>
            <w:vAlign w:val="center"/>
          </w:tcPr>
          <w:p>
            <w:pPr>
              <w:pStyle w:val="157"/>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color w:val="auto"/>
                <w:sz w:val="28"/>
                <w:szCs w:val="28"/>
              </w:rPr>
            </w:pPr>
            <w:bookmarkStart w:id="44" w:name="_Toc83158283"/>
            <w:bookmarkStart w:id="45" w:name="_Toc83158448"/>
            <w:r>
              <w:rPr>
                <w:rFonts w:hint="eastAsia" w:ascii="Times New Roman" w:hAnsi="Times New Roman" w:eastAsia="宋体" w:cs="Times New Roman"/>
                <w:b/>
                <w:color w:val="auto"/>
                <w:sz w:val="28"/>
                <w:szCs w:val="28"/>
                <w:lang w:val="en-US" w:eastAsia="zh-CN"/>
              </w:rPr>
              <w:t>1、</w:t>
            </w:r>
            <w:r>
              <w:rPr>
                <w:rFonts w:hint="default" w:ascii="Times New Roman" w:hAnsi="Times New Roman" w:eastAsia="宋体" w:cs="Times New Roman"/>
                <w:b/>
                <w:color w:val="auto"/>
                <w:sz w:val="28"/>
                <w:szCs w:val="28"/>
              </w:rPr>
              <w:t>环境质量标准</w:t>
            </w:r>
            <w:bookmarkEnd w:id="44"/>
            <w:bookmarkEnd w:id="45"/>
          </w:p>
          <w:p>
            <w:pPr>
              <w:pStyle w:val="157"/>
              <w:keepNext w:val="0"/>
              <w:keepLines w:val="0"/>
              <w:pageBreakBefore w:val="0"/>
              <w:widowControl w:val="0"/>
              <w:kinsoku/>
              <w:wordWrap/>
              <w:overflowPunct/>
              <w:topLinePunct w:val="0"/>
              <w:autoSpaceDE/>
              <w:autoSpaceDN/>
              <w:bidi w:val="0"/>
              <w:adjustRightInd/>
              <w:snapToGrid/>
              <w:spacing w:line="360" w:lineRule="auto"/>
              <w:ind w:firstLine="481" w:firstLineChars="200"/>
              <w:jc w:val="left"/>
              <w:textAlignment w:val="auto"/>
              <w:outlineLvl w:val="1"/>
              <w:rPr>
                <w:rFonts w:hint="default" w:ascii="Times New Roman" w:hAnsi="Times New Roman" w:eastAsia="宋体" w:cs="Times New Roman"/>
                <w:b/>
                <w:bCs w:val="0"/>
                <w:color w:val="auto"/>
                <w:sz w:val="24"/>
              </w:rPr>
            </w:pPr>
            <w:bookmarkStart w:id="46" w:name="_Toc83158449"/>
            <w:bookmarkStart w:id="47" w:name="_Toc83158284"/>
            <w:r>
              <w:rPr>
                <w:rFonts w:hint="eastAsia" w:ascii="Times New Roman" w:hAnsi="Times New Roman" w:eastAsia="宋体" w:cs="Times New Roman"/>
                <w:b/>
                <w:bCs w:val="0"/>
                <w:color w:val="auto"/>
                <w:sz w:val="24"/>
                <w:lang w:val="en-US" w:eastAsia="zh-CN"/>
              </w:rPr>
              <w:t>1.1</w:t>
            </w:r>
            <w:r>
              <w:rPr>
                <w:rFonts w:hint="default" w:ascii="Times New Roman" w:hAnsi="Times New Roman" w:eastAsia="宋体" w:cs="Times New Roman"/>
                <w:b/>
                <w:bCs w:val="0"/>
                <w:color w:val="auto"/>
                <w:sz w:val="24"/>
              </w:rPr>
              <w:t>环境空气</w:t>
            </w:r>
          </w:p>
          <w:p>
            <w:pPr>
              <w:pStyle w:val="157"/>
              <w:snapToGrid/>
              <w:spacing w:line="360" w:lineRule="auto"/>
              <w:ind w:firstLine="480" w:firstLineChars="200"/>
              <w:jc w:val="left"/>
              <w:outlineLvl w:val="1"/>
              <w:rPr>
                <w:rFonts w:ascii="Times New Roman" w:hAnsi="Times New Roman"/>
                <w:bCs/>
                <w:color w:val="auto"/>
                <w:sz w:val="24"/>
              </w:rPr>
            </w:pPr>
            <w:r>
              <w:rPr>
                <w:rFonts w:hint="eastAsia" w:ascii="Times New Roman" w:hAnsi="Times New Roman"/>
                <w:bCs/>
                <w:color w:val="auto"/>
                <w:sz w:val="24"/>
                <w:lang w:val="en-US" w:eastAsia="zh-CN"/>
              </w:rPr>
              <w:t>项目位于</w:t>
            </w:r>
            <w:r>
              <w:rPr>
                <w:rFonts w:hint="eastAsia" w:hAnsi="宋体"/>
                <w:color w:val="auto"/>
                <w:sz w:val="24"/>
                <w:lang w:eastAsia="zh-CN"/>
              </w:rPr>
              <w:t>云南省昆明市嵩明县嵩阳街道山脚社区</w:t>
            </w:r>
            <w:r>
              <w:rPr>
                <w:rFonts w:hint="eastAsia" w:ascii="Times New Roman" w:hAnsi="Times New Roman"/>
                <w:bCs/>
                <w:color w:val="auto"/>
                <w:sz w:val="24"/>
                <w:lang w:val="en-US" w:eastAsia="zh-CN"/>
              </w:rPr>
              <w:t>，所在地环境空气属于二类区，</w:t>
            </w:r>
            <w:r>
              <w:rPr>
                <w:rFonts w:ascii="Times New Roman" w:hAnsi="Times New Roman"/>
                <w:bCs/>
                <w:color w:val="auto"/>
                <w:sz w:val="24"/>
              </w:rPr>
              <w:t>执行《环境空气质量标准》（GB3095-2012）二级标准</w:t>
            </w:r>
            <w:bookmarkEnd w:id="46"/>
            <w:bookmarkEnd w:id="47"/>
            <w:r>
              <w:rPr>
                <w:rFonts w:ascii="Times New Roman" w:hAnsi="Times New Roman"/>
                <w:color w:val="auto"/>
                <w:sz w:val="24"/>
              </w:rPr>
              <w:t>及修改单要求</w:t>
            </w:r>
            <w:r>
              <w:rPr>
                <w:rFonts w:ascii="Times New Roman" w:hAnsi="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 xml:space="preserve">5 </w:t>
            </w:r>
            <w:r>
              <w:rPr>
                <w:rFonts w:hint="eastAsia" w:ascii="Times New Roman" w:hAnsi="Times New Roman" w:eastAsia="宋体" w:cs="Times New Roman"/>
                <w:b/>
                <w:bCs/>
                <w:color w:val="auto"/>
                <w:sz w:val="21"/>
                <w:szCs w:val="21"/>
              </w:rPr>
              <w:t>环境空气质量标准</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553"/>
              <w:gridCol w:w="2000"/>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pct"/>
                  <w:noWrap w:val="0"/>
                  <w:vAlign w:val="center"/>
                </w:tcPr>
                <w:p>
                  <w:pPr>
                    <w:adjustRightInd w:val="0"/>
                    <w:snapToGrid w:val="0"/>
                    <w:jc w:val="center"/>
                    <w:rPr>
                      <w:b/>
                      <w:bCs/>
                      <w:color w:val="auto"/>
                    </w:rPr>
                  </w:pPr>
                  <w:r>
                    <w:rPr>
                      <w:b/>
                      <w:bCs/>
                      <w:color w:val="auto"/>
                    </w:rPr>
                    <w:t>评价因子</w:t>
                  </w:r>
                </w:p>
              </w:tc>
              <w:tc>
                <w:tcPr>
                  <w:tcW w:w="1483" w:type="pct"/>
                  <w:noWrap w:val="0"/>
                  <w:vAlign w:val="center"/>
                </w:tcPr>
                <w:p>
                  <w:pPr>
                    <w:adjustRightInd w:val="0"/>
                    <w:snapToGrid w:val="0"/>
                    <w:jc w:val="center"/>
                    <w:rPr>
                      <w:b/>
                      <w:bCs/>
                      <w:color w:val="auto"/>
                    </w:rPr>
                  </w:pPr>
                  <w:r>
                    <w:rPr>
                      <w:b/>
                      <w:bCs/>
                      <w:color w:val="auto"/>
                    </w:rPr>
                    <w:t>平均时段</w:t>
                  </w:r>
                </w:p>
              </w:tc>
              <w:tc>
                <w:tcPr>
                  <w:tcW w:w="1161" w:type="pct"/>
                  <w:noWrap w:val="0"/>
                  <w:vAlign w:val="center"/>
                </w:tcPr>
                <w:p>
                  <w:pPr>
                    <w:adjustRightInd w:val="0"/>
                    <w:snapToGrid w:val="0"/>
                    <w:jc w:val="center"/>
                    <w:rPr>
                      <w:b/>
                      <w:bCs/>
                      <w:color w:val="auto"/>
                    </w:rPr>
                  </w:pPr>
                  <w:r>
                    <w:rPr>
                      <w:b/>
                      <w:bCs/>
                      <w:color w:val="auto"/>
                    </w:rPr>
                    <w:t>标准值/（μg/m</w:t>
                  </w:r>
                  <w:r>
                    <w:rPr>
                      <w:b/>
                      <w:bCs/>
                      <w:color w:val="auto"/>
                      <w:vertAlign w:val="superscript"/>
                    </w:rPr>
                    <w:t>3</w:t>
                  </w:r>
                  <w:r>
                    <w:rPr>
                      <w:b/>
                      <w:bCs/>
                      <w:color w:val="auto"/>
                    </w:rPr>
                    <w:t>）</w:t>
                  </w:r>
                </w:p>
              </w:tc>
              <w:tc>
                <w:tcPr>
                  <w:tcW w:w="1339" w:type="pct"/>
                  <w:noWrap w:val="0"/>
                  <w:vAlign w:val="center"/>
                </w:tcPr>
                <w:p>
                  <w:pPr>
                    <w:adjustRightInd w:val="0"/>
                    <w:snapToGrid w:val="0"/>
                    <w:jc w:val="center"/>
                    <w:rPr>
                      <w:b/>
                      <w:bCs/>
                      <w:color w:val="auto"/>
                    </w:rPr>
                  </w:pPr>
                  <w:r>
                    <w:rPr>
                      <w:b/>
                      <w:bCs/>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pct"/>
                  <w:vMerge w:val="restart"/>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TSP</w:t>
                  </w:r>
                </w:p>
              </w:tc>
              <w:tc>
                <w:tcPr>
                  <w:tcW w:w="1483" w:type="pct"/>
                  <w:noWrap w:val="0"/>
                  <w:vAlign w:val="center"/>
                </w:tcPr>
                <w:p>
                  <w:pPr>
                    <w:adjustRightInd w:val="0"/>
                    <w:snapToGrid w:val="0"/>
                    <w:jc w:val="center"/>
                    <w:rPr>
                      <w:color w:val="auto"/>
                    </w:rPr>
                  </w:pPr>
                  <w:r>
                    <w:rPr>
                      <w:color w:val="auto"/>
                    </w:rPr>
                    <w:t>年平均</w:t>
                  </w:r>
                </w:p>
              </w:tc>
              <w:tc>
                <w:tcPr>
                  <w:tcW w:w="1161" w:type="pct"/>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200</w:t>
                  </w:r>
                </w:p>
              </w:tc>
              <w:tc>
                <w:tcPr>
                  <w:tcW w:w="1339" w:type="pct"/>
                  <w:vMerge w:val="restart"/>
                  <w:noWrap w:val="0"/>
                  <w:vAlign w:val="center"/>
                </w:tcPr>
                <w:p>
                  <w:pPr>
                    <w:adjustRightInd w:val="0"/>
                    <w:snapToGrid w:val="0"/>
                    <w:jc w:val="center"/>
                    <w:rPr>
                      <w:color w:val="auto"/>
                    </w:rPr>
                  </w:pPr>
                  <w:r>
                    <w:rPr>
                      <w:color w:val="auto"/>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pct"/>
                  <w:vMerge w:val="continue"/>
                  <w:noWrap w:val="0"/>
                  <w:vAlign w:val="center"/>
                </w:tcPr>
                <w:p>
                  <w:pPr>
                    <w:adjustRightInd w:val="0"/>
                    <w:snapToGrid w:val="0"/>
                    <w:jc w:val="center"/>
                    <w:rPr>
                      <w:color w:val="auto"/>
                    </w:rPr>
                  </w:pPr>
                </w:p>
              </w:tc>
              <w:tc>
                <w:tcPr>
                  <w:tcW w:w="1483" w:type="pct"/>
                  <w:noWrap w:val="0"/>
                  <w:vAlign w:val="center"/>
                </w:tcPr>
                <w:p>
                  <w:pPr>
                    <w:adjustRightInd w:val="0"/>
                    <w:snapToGrid w:val="0"/>
                    <w:jc w:val="center"/>
                    <w:rPr>
                      <w:color w:val="auto"/>
                    </w:rPr>
                  </w:pPr>
                  <w:r>
                    <w:rPr>
                      <w:color w:val="auto"/>
                    </w:rPr>
                    <w:t>24h平均</w:t>
                  </w:r>
                </w:p>
              </w:tc>
              <w:tc>
                <w:tcPr>
                  <w:tcW w:w="1161" w:type="pct"/>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300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15" w:type="pct"/>
                  <w:vMerge w:val="restart"/>
                  <w:noWrap w:val="0"/>
                  <w:vAlign w:val="center"/>
                </w:tcPr>
                <w:p>
                  <w:pPr>
                    <w:jc w:val="center"/>
                    <w:rPr>
                      <w:color w:val="auto"/>
                    </w:rPr>
                  </w:pPr>
                  <w:r>
                    <w:rPr>
                      <w:color w:val="auto"/>
                    </w:rPr>
                    <w:t>PM</w:t>
                  </w:r>
                  <w:r>
                    <w:rPr>
                      <w:color w:val="auto"/>
                      <w:vertAlign w:val="subscript"/>
                    </w:rPr>
                    <w:t>10</w:t>
                  </w:r>
                </w:p>
              </w:tc>
              <w:tc>
                <w:tcPr>
                  <w:tcW w:w="1483" w:type="pct"/>
                  <w:noWrap w:val="0"/>
                  <w:vAlign w:val="center"/>
                </w:tcPr>
                <w:p>
                  <w:pPr>
                    <w:adjustRightInd w:val="0"/>
                    <w:snapToGrid w:val="0"/>
                    <w:jc w:val="center"/>
                    <w:rPr>
                      <w:color w:val="auto"/>
                    </w:rPr>
                  </w:pPr>
                  <w:r>
                    <w:rPr>
                      <w:color w:val="auto"/>
                    </w:rPr>
                    <w:t>年平均</w:t>
                  </w:r>
                </w:p>
              </w:tc>
              <w:tc>
                <w:tcPr>
                  <w:tcW w:w="1161" w:type="pct"/>
                  <w:noWrap w:val="0"/>
                  <w:vAlign w:val="center"/>
                </w:tcPr>
                <w:p>
                  <w:pPr>
                    <w:adjustRightInd w:val="0"/>
                    <w:snapToGrid w:val="0"/>
                    <w:jc w:val="center"/>
                    <w:rPr>
                      <w:color w:val="auto"/>
                    </w:rPr>
                  </w:pPr>
                  <w:r>
                    <w:rPr>
                      <w:color w:val="auto"/>
                    </w:rPr>
                    <w:t>70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15" w:type="pct"/>
                  <w:vMerge w:val="continue"/>
                  <w:noWrap w:val="0"/>
                  <w:vAlign w:val="center"/>
                </w:tcPr>
                <w:p>
                  <w:pPr>
                    <w:jc w:val="center"/>
                    <w:rPr>
                      <w:color w:val="auto"/>
                    </w:rPr>
                  </w:pPr>
                </w:p>
              </w:tc>
              <w:tc>
                <w:tcPr>
                  <w:tcW w:w="1483" w:type="pct"/>
                  <w:noWrap w:val="0"/>
                  <w:vAlign w:val="center"/>
                </w:tcPr>
                <w:p>
                  <w:pPr>
                    <w:adjustRightInd w:val="0"/>
                    <w:snapToGrid w:val="0"/>
                    <w:jc w:val="center"/>
                    <w:rPr>
                      <w:color w:val="auto"/>
                    </w:rPr>
                  </w:pPr>
                  <w:r>
                    <w:rPr>
                      <w:color w:val="auto"/>
                    </w:rPr>
                    <w:t>24h平均</w:t>
                  </w:r>
                </w:p>
              </w:tc>
              <w:tc>
                <w:tcPr>
                  <w:tcW w:w="1161" w:type="pct"/>
                  <w:noWrap w:val="0"/>
                  <w:vAlign w:val="center"/>
                </w:tcPr>
                <w:p>
                  <w:pPr>
                    <w:adjustRightInd w:val="0"/>
                    <w:snapToGrid w:val="0"/>
                    <w:jc w:val="center"/>
                    <w:rPr>
                      <w:color w:val="auto"/>
                    </w:rPr>
                  </w:pPr>
                  <w:r>
                    <w:rPr>
                      <w:color w:val="auto"/>
                    </w:rPr>
                    <w:t>150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015" w:type="pct"/>
                  <w:vMerge w:val="restart"/>
                  <w:noWrap w:val="0"/>
                  <w:vAlign w:val="center"/>
                </w:tcPr>
                <w:p>
                  <w:pPr>
                    <w:jc w:val="center"/>
                    <w:rPr>
                      <w:color w:val="auto"/>
                    </w:rPr>
                  </w:pPr>
                  <w:r>
                    <w:rPr>
                      <w:color w:val="auto"/>
                    </w:rPr>
                    <w:t>PM</w:t>
                  </w:r>
                  <w:r>
                    <w:rPr>
                      <w:color w:val="auto"/>
                      <w:vertAlign w:val="subscript"/>
                    </w:rPr>
                    <w:t>2.5</w:t>
                  </w:r>
                </w:p>
              </w:tc>
              <w:tc>
                <w:tcPr>
                  <w:tcW w:w="1483" w:type="pct"/>
                  <w:noWrap w:val="0"/>
                  <w:vAlign w:val="center"/>
                </w:tcPr>
                <w:p>
                  <w:pPr>
                    <w:adjustRightInd w:val="0"/>
                    <w:snapToGrid w:val="0"/>
                    <w:jc w:val="center"/>
                    <w:rPr>
                      <w:color w:val="auto"/>
                    </w:rPr>
                  </w:pPr>
                  <w:r>
                    <w:rPr>
                      <w:color w:val="auto"/>
                    </w:rPr>
                    <w:t>年平均</w:t>
                  </w:r>
                </w:p>
              </w:tc>
              <w:tc>
                <w:tcPr>
                  <w:tcW w:w="1161" w:type="pct"/>
                  <w:noWrap w:val="0"/>
                  <w:vAlign w:val="center"/>
                </w:tcPr>
                <w:p>
                  <w:pPr>
                    <w:adjustRightInd w:val="0"/>
                    <w:snapToGrid w:val="0"/>
                    <w:jc w:val="center"/>
                    <w:rPr>
                      <w:color w:val="auto"/>
                    </w:rPr>
                  </w:pPr>
                  <w:r>
                    <w:rPr>
                      <w:color w:val="auto"/>
                    </w:rPr>
                    <w:t>35</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015" w:type="pct"/>
                  <w:vMerge w:val="continue"/>
                  <w:noWrap w:val="0"/>
                  <w:vAlign w:val="center"/>
                </w:tcPr>
                <w:p>
                  <w:pPr>
                    <w:jc w:val="center"/>
                    <w:rPr>
                      <w:color w:val="auto"/>
                    </w:rPr>
                  </w:pPr>
                </w:p>
              </w:tc>
              <w:tc>
                <w:tcPr>
                  <w:tcW w:w="1483" w:type="pct"/>
                  <w:noWrap w:val="0"/>
                  <w:vAlign w:val="center"/>
                </w:tcPr>
                <w:p>
                  <w:pPr>
                    <w:adjustRightInd w:val="0"/>
                    <w:snapToGrid w:val="0"/>
                    <w:jc w:val="center"/>
                    <w:rPr>
                      <w:color w:val="auto"/>
                    </w:rPr>
                  </w:pPr>
                  <w:r>
                    <w:rPr>
                      <w:color w:val="auto"/>
                    </w:rPr>
                    <w:t>24h平均</w:t>
                  </w:r>
                </w:p>
              </w:tc>
              <w:tc>
                <w:tcPr>
                  <w:tcW w:w="1161" w:type="pct"/>
                  <w:noWrap w:val="0"/>
                  <w:vAlign w:val="center"/>
                </w:tcPr>
                <w:p>
                  <w:pPr>
                    <w:adjustRightInd w:val="0"/>
                    <w:snapToGrid w:val="0"/>
                    <w:jc w:val="center"/>
                    <w:rPr>
                      <w:color w:val="auto"/>
                    </w:rPr>
                  </w:pPr>
                  <w:r>
                    <w:rPr>
                      <w:color w:val="auto"/>
                    </w:rPr>
                    <w:t>75</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15" w:type="pct"/>
                  <w:vMerge w:val="restart"/>
                  <w:noWrap w:val="0"/>
                  <w:vAlign w:val="center"/>
                </w:tcPr>
                <w:p>
                  <w:pPr>
                    <w:jc w:val="center"/>
                    <w:rPr>
                      <w:color w:val="auto"/>
                    </w:rPr>
                  </w:pPr>
                  <w:r>
                    <w:rPr>
                      <w:color w:val="auto"/>
                    </w:rPr>
                    <w:t>SO</w:t>
                  </w:r>
                  <w:r>
                    <w:rPr>
                      <w:color w:val="auto"/>
                      <w:vertAlign w:val="subscript"/>
                    </w:rPr>
                    <w:t>2</w:t>
                  </w:r>
                </w:p>
              </w:tc>
              <w:tc>
                <w:tcPr>
                  <w:tcW w:w="1483" w:type="pct"/>
                  <w:noWrap w:val="0"/>
                  <w:vAlign w:val="center"/>
                </w:tcPr>
                <w:p>
                  <w:pPr>
                    <w:adjustRightInd w:val="0"/>
                    <w:snapToGrid w:val="0"/>
                    <w:jc w:val="center"/>
                    <w:rPr>
                      <w:color w:val="auto"/>
                    </w:rPr>
                  </w:pPr>
                  <w:r>
                    <w:rPr>
                      <w:color w:val="auto"/>
                    </w:rPr>
                    <w:t>年平均</w:t>
                  </w:r>
                </w:p>
              </w:tc>
              <w:tc>
                <w:tcPr>
                  <w:tcW w:w="1161" w:type="pct"/>
                  <w:noWrap w:val="0"/>
                  <w:vAlign w:val="center"/>
                </w:tcPr>
                <w:p>
                  <w:pPr>
                    <w:adjustRightInd w:val="0"/>
                    <w:snapToGrid w:val="0"/>
                    <w:jc w:val="center"/>
                    <w:rPr>
                      <w:color w:val="auto"/>
                    </w:rPr>
                  </w:pPr>
                  <w:r>
                    <w:rPr>
                      <w:color w:val="auto"/>
                    </w:rPr>
                    <w:t>60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15" w:type="pct"/>
                  <w:vMerge w:val="continue"/>
                  <w:noWrap w:val="0"/>
                  <w:vAlign w:val="center"/>
                </w:tcPr>
                <w:p>
                  <w:pPr>
                    <w:jc w:val="center"/>
                    <w:rPr>
                      <w:color w:val="auto"/>
                    </w:rPr>
                  </w:pPr>
                </w:p>
              </w:tc>
              <w:tc>
                <w:tcPr>
                  <w:tcW w:w="1483" w:type="pct"/>
                  <w:noWrap w:val="0"/>
                  <w:vAlign w:val="center"/>
                </w:tcPr>
                <w:p>
                  <w:pPr>
                    <w:adjustRightInd w:val="0"/>
                    <w:snapToGrid w:val="0"/>
                    <w:jc w:val="center"/>
                    <w:rPr>
                      <w:color w:val="auto"/>
                    </w:rPr>
                  </w:pPr>
                  <w:r>
                    <w:rPr>
                      <w:color w:val="auto"/>
                    </w:rPr>
                    <w:t>24h平均</w:t>
                  </w:r>
                </w:p>
              </w:tc>
              <w:tc>
                <w:tcPr>
                  <w:tcW w:w="1161" w:type="pct"/>
                  <w:noWrap w:val="0"/>
                  <w:vAlign w:val="center"/>
                </w:tcPr>
                <w:p>
                  <w:pPr>
                    <w:adjustRightInd w:val="0"/>
                    <w:snapToGrid w:val="0"/>
                    <w:jc w:val="center"/>
                    <w:rPr>
                      <w:color w:val="auto"/>
                    </w:rPr>
                  </w:pPr>
                  <w:r>
                    <w:rPr>
                      <w:color w:val="auto"/>
                    </w:rPr>
                    <w:t>150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15" w:type="pct"/>
                  <w:vMerge w:val="continue"/>
                  <w:noWrap w:val="0"/>
                  <w:vAlign w:val="center"/>
                </w:tcPr>
                <w:p>
                  <w:pPr>
                    <w:jc w:val="center"/>
                    <w:rPr>
                      <w:color w:val="auto"/>
                    </w:rPr>
                  </w:pPr>
                </w:p>
              </w:tc>
              <w:tc>
                <w:tcPr>
                  <w:tcW w:w="1483" w:type="pct"/>
                  <w:noWrap w:val="0"/>
                  <w:vAlign w:val="center"/>
                </w:tcPr>
                <w:p>
                  <w:pPr>
                    <w:adjustRightInd w:val="0"/>
                    <w:snapToGrid w:val="0"/>
                    <w:jc w:val="center"/>
                    <w:rPr>
                      <w:color w:val="auto"/>
                    </w:rPr>
                  </w:pPr>
                  <w:r>
                    <w:rPr>
                      <w:color w:val="auto"/>
                    </w:rPr>
                    <w:t>1h平均</w:t>
                  </w:r>
                </w:p>
              </w:tc>
              <w:tc>
                <w:tcPr>
                  <w:tcW w:w="1161" w:type="pct"/>
                  <w:noWrap w:val="0"/>
                  <w:vAlign w:val="center"/>
                </w:tcPr>
                <w:p>
                  <w:pPr>
                    <w:adjustRightInd w:val="0"/>
                    <w:snapToGrid w:val="0"/>
                    <w:jc w:val="center"/>
                    <w:rPr>
                      <w:color w:val="auto"/>
                    </w:rPr>
                  </w:pPr>
                  <w:r>
                    <w:rPr>
                      <w:color w:val="auto"/>
                    </w:rPr>
                    <w:t>500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15" w:type="pct"/>
                  <w:vMerge w:val="restart"/>
                  <w:noWrap w:val="0"/>
                  <w:vAlign w:val="center"/>
                </w:tcPr>
                <w:p>
                  <w:pPr>
                    <w:jc w:val="center"/>
                    <w:rPr>
                      <w:color w:val="auto"/>
                    </w:rPr>
                  </w:pPr>
                  <w:r>
                    <w:rPr>
                      <w:color w:val="auto"/>
                    </w:rPr>
                    <w:t>NO</w:t>
                  </w:r>
                  <w:r>
                    <w:rPr>
                      <w:color w:val="auto"/>
                      <w:vertAlign w:val="subscript"/>
                    </w:rPr>
                    <w:t>2</w:t>
                  </w:r>
                </w:p>
              </w:tc>
              <w:tc>
                <w:tcPr>
                  <w:tcW w:w="1483" w:type="pct"/>
                  <w:noWrap w:val="0"/>
                  <w:vAlign w:val="center"/>
                </w:tcPr>
                <w:p>
                  <w:pPr>
                    <w:adjustRightInd w:val="0"/>
                    <w:snapToGrid w:val="0"/>
                    <w:jc w:val="center"/>
                    <w:rPr>
                      <w:color w:val="auto"/>
                    </w:rPr>
                  </w:pPr>
                  <w:r>
                    <w:rPr>
                      <w:color w:val="auto"/>
                    </w:rPr>
                    <w:t>年平均</w:t>
                  </w:r>
                </w:p>
              </w:tc>
              <w:tc>
                <w:tcPr>
                  <w:tcW w:w="1161" w:type="pct"/>
                  <w:noWrap w:val="0"/>
                  <w:vAlign w:val="center"/>
                </w:tcPr>
                <w:p>
                  <w:pPr>
                    <w:adjustRightInd w:val="0"/>
                    <w:snapToGrid w:val="0"/>
                    <w:jc w:val="center"/>
                    <w:rPr>
                      <w:color w:val="auto"/>
                    </w:rPr>
                  </w:pPr>
                  <w:r>
                    <w:rPr>
                      <w:color w:val="auto"/>
                    </w:rPr>
                    <w:t>40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15" w:type="pct"/>
                  <w:vMerge w:val="continue"/>
                  <w:noWrap w:val="0"/>
                  <w:vAlign w:val="center"/>
                </w:tcPr>
                <w:p>
                  <w:pPr>
                    <w:jc w:val="center"/>
                    <w:rPr>
                      <w:color w:val="auto"/>
                    </w:rPr>
                  </w:pPr>
                </w:p>
              </w:tc>
              <w:tc>
                <w:tcPr>
                  <w:tcW w:w="1483" w:type="pct"/>
                  <w:noWrap w:val="0"/>
                  <w:vAlign w:val="center"/>
                </w:tcPr>
                <w:p>
                  <w:pPr>
                    <w:adjustRightInd w:val="0"/>
                    <w:snapToGrid w:val="0"/>
                    <w:jc w:val="center"/>
                    <w:rPr>
                      <w:color w:val="auto"/>
                    </w:rPr>
                  </w:pPr>
                  <w:r>
                    <w:rPr>
                      <w:color w:val="auto"/>
                    </w:rPr>
                    <w:t>24h平均</w:t>
                  </w:r>
                </w:p>
              </w:tc>
              <w:tc>
                <w:tcPr>
                  <w:tcW w:w="1161" w:type="pct"/>
                  <w:noWrap w:val="0"/>
                  <w:vAlign w:val="center"/>
                </w:tcPr>
                <w:p>
                  <w:pPr>
                    <w:adjustRightInd w:val="0"/>
                    <w:snapToGrid w:val="0"/>
                    <w:jc w:val="center"/>
                    <w:rPr>
                      <w:color w:val="auto"/>
                    </w:rPr>
                  </w:pPr>
                  <w:r>
                    <w:rPr>
                      <w:color w:val="auto"/>
                    </w:rPr>
                    <w:t>80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15" w:type="pct"/>
                  <w:vMerge w:val="continue"/>
                  <w:noWrap w:val="0"/>
                  <w:vAlign w:val="center"/>
                </w:tcPr>
                <w:p>
                  <w:pPr>
                    <w:jc w:val="center"/>
                    <w:rPr>
                      <w:color w:val="auto"/>
                    </w:rPr>
                  </w:pPr>
                </w:p>
              </w:tc>
              <w:tc>
                <w:tcPr>
                  <w:tcW w:w="1483" w:type="pct"/>
                  <w:noWrap w:val="0"/>
                  <w:vAlign w:val="center"/>
                </w:tcPr>
                <w:p>
                  <w:pPr>
                    <w:adjustRightInd w:val="0"/>
                    <w:snapToGrid w:val="0"/>
                    <w:jc w:val="center"/>
                    <w:rPr>
                      <w:color w:val="auto"/>
                    </w:rPr>
                  </w:pPr>
                  <w:r>
                    <w:rPr>
                      <w:color w:val="auto"/>
                    </w:rPr>
                    <w:t>1h平均</w:t>
                  </w:r>
                </w:p>
              </w:tc>
              <w:tc>
                <w:tcPr>
                  <w:tcW w:w="1161" w:type="pct"/>
                  <w:noWrap w:val="0"/>
                  <w:vAlign w:val="center"/>
                </w:tcPr>
                <w:p>
                  <w:pPr>
                    <w:adjustRightInd w:val="0"/>
                    <w:snapToGrid w:val="0"/>
                    <w:jc w:val="center"/>
                    <w:rPr>
                      <w:color w:val="auto"/>
                    </w:rPr>
                  </w:pPr>
                  <w:r>
                    <w:rPr>
                      <w:color w:val="auto"/>
                    </w:rPr>
                    <w:t>200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15" w:type="pct"/>
                  <w:vMerge w:val="restart"/>
                  <w:noWrap w:val="0"/>
                  <w:vAlign w:val="center"/>
                </w:tcPr>
                <w:p>
                  <w:pPr>
                    <w:jc w:val="center"/>
                    <w:rPr>
                      <w:color w:val="auto"/>
                    </w:rPr>
                  </w:pPr>
                  <w:r>
                    <w:rPr>
                      <w:color w:val="auto"/>
                    </w:rPr>
                    <w:t>CO</w:t>
                  </w:r>
                </w:p>
              </w:tc>
              <w:tc>
                <w:tcPr>
                  <w:tcW w:w="1483" w:type="pct"/>
                  <w:noWrap w:val="0"/>
                  <w:vAlign w:val="center"/>
                </w:tcPr>
                <w:p>
                  <w:pPr>
                    <w:adjustRightInd w:val="0"/>
                    <w:snapToGrid w:val="0"/>
                    <w:jc w:val="center"/>
                    <w:rPr>
                      <w:color w:val="auto"/>
                    </w:rPr>
                  </w:pPr>
                  <w:r>
                    <w:rPr>
                      <w:color w:val="auto"/>
                    </w:rPr>
                    <w:t>24小时平均</w:t>
                  </w:r>
                </w:p>
              </w:tc>
              <w:tc>
                <w:tcPr>
                  <w:tcW w:w="1161" w:type="pct"/>
                  <w:noWrap w:val="0"/>
                  <w:vAlign w:val="center"/>
                </w:tcPr>
                <w:p>
                  <w:pPr>
                    <w:adjustRightInd w:val="0"/>
                    <w:snapToGrid w:val="0"/>
                    <w:jc w:val="center"/>
                    <w:rPr>
                      <w:color w:val="auto"/>
                    </w:rPr>
                  </w:pPr>
                  <w:r>
                    <w:rPr>
                      <w:color w:val="auto"/>
                    </w:rPr>
                    <w:t>4000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15" w:type="pct"/>
                  <w:vMerge w:val="continue"/>
                  <w:noWrap w:val="0"/>
                  <w:vAlign w:val="center"/>
                </w:tcPr>
                <w:p>
                  <w:pPr>
                    <w:jc w:val="center"/>
                    <w:rPr>
                      <w:color w:val="auto"/>
                    </w:rPr>
                  </w:pPr>
                </w:p>
              </w:tc>
              <w:tc>
                <w:tcPr>
                  <w:tcW w:w="1483" w:type="pct"/>
                  <w:noWrap w:val="0"/>
                  <w:vAlign w:val="center"/>
                </w:tcPr>
                <w:p>
                  <w:pPr>
                    <w:adjustRightInd w:val="0"/>
                    <w:snapToGrid w:val="0"/>
                    <w:jc w:val="center"/>
                    <w:rPr>
                      <w:color w:val="auto"/>
                    </w:rPr>
                  </w:pPr>
                  <w:r>
                    <w:rPr>
                      <w:color w:val="auto"/>
                    </w:rPr>
                    <w:t>1h平均</w:t>
                  </w:r>
                </w:p>
              </w:tc>
              <w:tc>
                <w:tcPr>
                  <w:tcW w:w="1161" w:type="pct"/>
                  <w:noWrap w:val="0"/>
                  <w:vAlign w:val="center"/>
                </w:tcPr>
                <w:p>
                  <w:pPr>
                    <w:adjustRightInd w:val="0"/>
                    <w:snapToGrid w:val="0"/>
                    <w:jc w:val="center"/>
                    <w:rPr>
                      <w:color w:val="auto"/>
                    </w:rPr>
                  </w:pPr>
                  <w:r>
                    <w:rPr>
                      <w:color w:val="auto"/>
                    </w:rPr>
                    <w:t>10000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015" w:type="pct"/>
                  <w:vMerge w:val="restart"/>
                  <w:noWrap w:val="0"/>
                  <w:vAlign w:val="center"/>
                </w:tcPr>
                <w:p>
                  <w:pPr>
                    <w:adjustRightInd w:val="0"/>
                    <w:snapToGrid w:val="0"/>
                    <w:jc w:val="center"/>
                    <w:rPr>
                      <w:color w:val="auto"/>
                    </w:rPr>
                  </w:pPr>
                  <w:r>
                    <w:rPr>
                      <w:color w:val="auto"/>
                    </w:rPr>
                    <w:t>O</w:t>
                  </w:r>
                  <w:r>
                    <w:rPr>
                      <w:color w:val="auto"/>
                      <w:vertAlign w:val="subscript"/>
                    </w:rPr>
                    <w:t>3</w:t>
                  </w:r>
                </w:p>
              </w:tc>
              <w:tc>
                <w:tcPr>
                  <w:tcW w:w="1483" w:type="pct"/>
                  <w:noWrap w:val="0"/>
                  <w:vAlign w:val="center"/>
                </w:tcPr>
                <w:p>
                  <w:pPr>
                    <w:adjustRightInd w:val="0"/>
                    <w:snapToGrid w:val="0"/>
                    <w:jc w:val="center"/>
                    <w:rPr>
                      <w:color w:val="auto"/>
                    </w:rPr>
                  </w:pPr>
                  <w:r>
                    <w:rPr>
                      <w:color w:val="auto"/>
                    </w:rPr>
                    <w:t>日最大8小时平均</w:t>
                  </w:r>
                </w:p>
              </w:tc>
              <w:tc>
                <w:tcPr>
                  <w:tcW w:w="1161" w:type="pct"/>
                  <w:noWrap w:val="0"/>
                  <w:vAlign w:val="center"/>
                </w:tcPr>
                <w:p>
                  <w:pPr>
                    <w:adjustRightInd w:val="0"/>
                    <w:snapToGrid w:val="0"/>
                    <w:jc w:val="center"/>
                    <w:rPr>
                      <w:color w:val="auto"/>
                    </w:rPr>
                  </w:pPr>
                  <w:r>
                    <w:rPr>
                      <w:color w:val="auto"/>
                    </w:rPr>
                    <w:t>160</w:t>
                  </w:r>
                </w:p>
              </w:tc>
              <w:tc>
                <w:tcPr>
                  <w:tcW w:w="1339" w:type="pct"/>
                  <w:vMerge w:val="continue"/>
                  <w:noWrap w:val="0"/>
                  <w:vAlign w:val="center"/>
                </w:tcPr>
                <w:p>
                  <w:pPr>
                    <w:adjustRightInd w:val="0"/>
                    <w:snapToGrid w:val="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015" w:type="pct"/>
                  <w:vMerge w:val="continue"/>
                  <w:noWrap w:val="0"/>
                  <w:vAlign w:val="center"/>
                </w:tcPr>
                <w:p>
                  <w:pPr>
                    <w:adjustRightInd w:val="0"/>
                    <w:snapToGrid w:val="0"/>
                    <w:jc w:val="center"/>
                    <w:rPr>
                      <w:color w:val="auto"/>
                    </w:rPr>
                  </w:pPr>
                  <w:bookmarkStart w:id="48" w:name="_Toc83158285"/>
                  <w:bookmarkStart w:id="49" w:name="_Toc83158450"/>
                </w:p>
              </w:tc>
              <w:tc>
                <w:tcPr>
                  <w:tcW w:w="1483" w:type="pct"/>
                  <w:noWrap w:val="0"/>
                  <w:vAlign w:val="center"/>
                </w:tcPr>
                <w:p>
                  <w:pPr>
                    <w:adjustRightInd w:val="0"/>
                    <w:snapToGrid w:val="0"/>
                    <w:jc w:val="center"/>
                    <w:rPr>
                      <w:color w:val="auto"/>
                    </w:rPr>
                  </w:pPr>
                  <w:r>
                    <w:rPr>
                      <w:color w:val="auto"/>
                    </w:rPr>
                    <w:t>1h平均</w:t>
                  </w:r>
                </w:p>
              </w:tc>
              <w:tc>
                <w:tcPr>
                  <w:tcW w:w="1161" w:type="pct"/>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200</w:t>
                  </w:r>
                </w:p>
              </w:tc>
              <w:tc>
                <w:tcPr>
                  <w:tcW w:w="1339" w:type="pct"/>
                  <w:vMerge w:val="continue"/>
                  <w:noWrap w:val="0"/>
                  <w:vAlign w:val="center"/>
                </w:tcPr>
                <w:p>
                  <w:pPr>
                    <w:adjustRightInd w:val="0"/>
                    <w:snapToGrid w:val="0"/>
                    <w:jc w:val="center"/>
                    <w:rPr>
                      <w:color w:val="auto"/>
                    </w:rPr>
                  </w:pPr>
                </w:p>
              </w:tc>
            </w:tr>
          </w:tbl>
          <w:p>
            <w:pPr>
              <w:pStyle w:val="157"/>
              <w:adjustRightInd w:val="0"/>
              <w:spacing w:line="360" w:lineRule="auto"/>
              <w:ind w:firstLine="481" w:firstLineChars="200"/>
              <w:jc w:val="left"/>
              <w:outlineLvl w:val="1"/>
              <w:rPr>
                <w:rFonts w:ascii="Times New Roman" w:hAnsi="Times New Roman"/>
                <w:b/>
                <w:bCs w:val="0"/>
                <w:color w:val="auto"/>
                <w:sz w:val="24"/>
              </w:rPr>
            </w:pPr>
            <w:r>
              <w:rPr>
                <w:rFonts w:hint="default" w:ascii="Times New Roman" w:hAnsi="Times New Roman" w:eastAsia="宋体" w:cs="Times New Roman"/>
                <w:b/>
                <w:bCs w:val="0"/>
                <w:color w:val="auto"/>
                <w:sz w:val="24"/>
                <w:lang w:val="en-US" w:eastAsia="zh-CN"/>
              </w:rPr>
              <w:t>1.</w:t>
            </w:r>
            <w:r>
              <w:rPr>
                <w:rFonts w:hint="eastAsia" w:ascii="Times New Roman" w:hAnsi="Times New Roman" w:eastAsia="宋体" w:cs="Times New Roman"/>
                <w:b/>
                <w:bCs w:val="0"/>
                <w:color w:val="auto"/>
                <w:sz w:val="24"/>
                <w:lang w:val="en-US" w:eastAsia="zh-CN"/>
              </w:rPr>
              <w:t xml:space="preserve">2 </w:t>
            </w:r>
            <w:r>
              <w:rPr>
                <w:rFonts w:ascii="Times New Roman" w:hAnsi="Times New Roman"/>
                <w:b/>
                <w:bCs w:val="0"/>
                <w:color w:val="auto"/>
                <w:sz w:val="24"/>
              </w:rPr>
              <w:t>地表水环境</w:t>
            </w:r>
            <w:bookmarkEnd w:id="48"/>
            <w:bookmarkEnd w:id="49"/>
          </w:p>
          <w:p>
            <w:pPr>
              <w:adjustRightInd w:val="0"/>
              <w:snapToGrid w:val="0"/>
              <w:spacing w:line="360" w:lineRule="auto"/>
              <w:ind w:firstLine="480" w:firstLineChars="200"/>
              <w:rPr>
                <w:rFonts w:hint="eastAsia" w:hAnsi="宋体" w:eastAsia="宋体"/>
                <w:color w:val="auto"/>
                <w:sz w:val="24"/>
                <w:lang w:eastAsia="zh-CN"/>
              </w:rPr>
            </w:pPr>
            <w:bookmarkStart w:id="50" w:name="_Toc83158286"/>
            <w:bookmarkStart w:id="51" w:name="_Toc83158451"/>
            <w:r>
              <w:rPr>
                <w:rFonts w:hint="eastAsia" w:hAnsi="宋体"/>
                <w:color w:val="auto"/>
                <w:sz w:val="24"/>
              </w:rPr>
              <w:t>经现场踏勘，项目区涉及的地表水体要为项目</w:t>
            </w:r>
            <w:r>
              <w:rPr>
                <w:rFonts w:hint="eastAsia" w:hAnsi="宋体"/>
                <w:color w:val="auto"/>
                <w:sz w:val="24"/>
                <w:lang w:val="en-US" w:eastAsia="zh-CN"/>
              </w:rPr>
              <w:t>区</w:t>
            </w:r>
            <w:r>
              <w:rPr>
                <w:rFonts w:hint="eastAsia" w:hAnsi="宋体"/>
                <w:color w:val="auto"/>
                <w:sz w:val="24"/>
              </w:rPr>
              <w:t>东</w:t>
            </w:r>
            <w:r>
              <w:rPr>
                <w:rFonts w:hint="eastAsia" w:hAnsi="宋体"/>
                <w:color w:val="auto"/>
                <w:sz w:val="24"/>
                <w:lang w:val="en-US" w:eastAsia="zh-CN"/>
              </w:rPr>
              <w:t>面</w:t>
            </w:r>
            <w:r>
              <w:rPr>
                <w:rFonts w:hint="eastAsia" w:hAnsi="宋体"/>
                <w:color w:val="auto"/>
                <w:sz w:val="24"/>
              </w:rPr>
              <w:t>3</w:t>
            </w:r>
            <w:r>
              <w:rPr>
                <w:rFonts w:hint="eastAsia" w:hAnsi="宋体"/>
                <w:color w:val="auto"/>
                <w:sz w:val="24"/>
                <w:lang w:val="en-US" w:eastAsia="zh-CN"/>
              </w:rPr>
              <w:t>40</w:t>
            </w:r>
            <w:r>
              <w:rPr>
                <w:rFonts w:hint="eastAsia" w:hAnsi="宋体"/>
                <w:color w:val="auto"/>
                <w:sz w:val="24"/>
              </w:rPr>
              <w:t>m处的普沙河</w:t>
            </w:r>
            <w:r>
              <w:rPr>
                <w:rFonts w:hint="eastAsia" w:hAnsi="宋体"/>
                <w:color w:val="auto"/>
                <w:sz w:val="24"/>
                <w:lang w:eastAsia="zh-CN"/>
              </w:rPr>
              <w:t>。</w:t>
            </w:r>
            <w:r>
              <w:rPr>
                <w:rFonts w:hint="eastAsia" w:hAnsi="宋体"/>
                <w:color w:val="auto"/>
                <w:sz w:val="24"/>
              </w:rPr>
              <w:t>根据《昆明市和滇中产业新区水功能区划》（2010~2030年）</w:t>
            </w:r>
            <w:r>
              <w:rPr>
                <w:rFonts w:hint="eastAsia" w:hAnsi="宋体"/>
                <w:color w:val="auto"/>
                <w:sz w:val="24"/>
                <w:lang w:eastAsia="zh-CN"/>
              </w:rPr>
              <w:t>，</w:t>
            </w:r>
            <w:r>
              <w:rPr>
                <w:rFonts w:hint="eastAsia" w:hAnsi="宋体"/>
                <w:color w:val="auto"/>
                <w:sz w:val="24"/>
                <w:lang w:val="en-US" w:eastAsia="zh-CN"/>
              </w:rPr>
              <w:t>本项目涉及区域属于“普沙河嵩明开发利用区”：源头至入牛栏江口，长21.1km，该段河流水资源开发利用较高，源头段自上而下分别建有干河水库、大石头水库，其中干河水库为新建水库水源，设计总库容510万m</w:t>
            </w:r>
            <w:r>
              <w:rPr>
                <w:rFonts w:hint="eastAsia" w:hAnsi="宋体"/>
                <w:color w:val="auto"/>
                <w:sz w:val="24"/>
                <w:vertAlign w:val="superscript"/>
                <w:lang w:val="en-US" w:eastAsia="zh-CN"/>
              </w:rPr>
              <w:t>3</w:t>
            </w:r>
            <w:r>
              <w:rPr>
                <w:rFonts w:hint="eastAsia" w:hAnsi="宋体"/>
                <w:color w:val="auto"/>
                <w:sz w:val="24"/>
                <w:lang w:val="en-US" w:eastAsia="zh-CN"/>
              </w:rPr>
              <w:t>；大石头水库为嵩明坝子大型灌区和下游城市生活生产主要供水水源之一，总库容1000万m</w:t>
            </w:r>
            <w:r>
              <w:rPr>
                <w:rFonts w:hint="eastAsia" w:hAnsi="宋体"/>
                <w:color w:val="auto"/>
                <w:sz w:val="24"/>
                <w:vertAlign w:val="superscript"/>
                <w:lang w:val="en-US" w:eastAsia="zh-CN"/>
              </w:rPr>
              <w:t>3</w:t>
            </w:r>
            <w:r>
              <w:rPr>
                <w:rFonts w:hint="eastAsia" w:hAnsi="宋体"/>
                <w:color w:val="auto"/>
                <w:sz w:val="24"/>
                <w:lang w:val="en-US" w:eastAsia="zh-CN"/>
              </w:rPr>
              <w:t>，2010年供水量991.5万m</w:t>
            </w:r>
            <w:r>
              <w:rPr>
                <w:rFonts w:hint="eastAsia" w:hAnsi="宋体"/>
                <w:color w:val="auto"/>
                <w:sz w:val="24"/>
                <w:vertAlign w:val="superscript"/>
                <w:lang w:val="en-US" w:eastAsia="zh-CN"/>
              </w:rPr>
              <w:t>3</w:t>
            </w:r>
            <w:r>
              <w:rPr>
                <w:rFonts w:hint="eastAsia" w:hAnsi="宋体"/>
                <w:color w:val="auto"/>
                <w:sz w:val="24"/>
                <w:lang w:val="en-US" w:eastAsia="zh-CN"/>
              </w:rPr>
              <w:t>。区域内水质现状为Ⅱ~劣V类，规划水平年水质保护目标按水功能二级区划执行。</w:t>
            </w:r>
            <w:r>
              <w:rPr>
                <w:rFonts w:hint="eastAsia" w:hAnsi="宋体"/>
                <w:color w:val="auto"/>
                <w:sz w:val="24"/>
              </w:rPr>
              <w:t>普沙河</w:t>
            </w:r>
            <w:r>
              <w:rPr>
                <w:rFonts w:hint="eastAsia" w:hAnsi="宋体"/>
                <w:color w:val="auto"/>
                <w:sz w:val="24"/>
                <w:lang w:val="en-US" w:eastAsia="zh-CN"/>
              </w:rPr>
              <w:t>执行</w:t>
            </w:r>
            <w:r>
              <w:rPr>
                <w:rFonts w:hint="eastAsia" w:hAnsi="宋体"/>
                <w:color w:val="auto"/>
                <w:sz w:val="24"/>
              </w:rPr>
              <w:t>《地表水环境质量标准》（GB3838-2002）中Ⅱ类水质标准</w:t>
            </w:r>
            <w:r>
              <w:rPr>
                <w:rFonts w:hint="eastAsia" w:hAnsi="宋体"/>
                <w:color w:val="auto"/>
                <w:sz w:val="24"/>
                <w:lang w:eastAsia="zh-CN"/>
              </w:rPr>
              <w:t>。</w:t>
            </w:r>
          </w:p>
          <w:bookmarkEnd w:id="50"/>
          <w:bookmarkEnd w:id="51"/>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6</w:t>
            </w:r>
            <w:r>
              <w:rPr>
                <w:rFonts w:hint="eastAsia" w:ascii="Times New Roman" w:hAnsi="Times New Roman" w:eastAsia="宋体" w:cs="Times New Roman"/>
                <w:b/>
                <w:bCs/>
                <w:color w:val="auto"/>
                <w:sz w:val="21"/>
                <w:szCs w:val="21"/>
              </w:rPr>
              <w:t>地表水环境质量标准 单位：mg/L</w:t>
            </w:r>
          </w:p>
          <w:tbl>
            <w:tblPr>
              <w:tblStyle w:val="89"/>
              <w:tblW w:w="498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29"/>
              <w:gridCol w:w="1329"/>
              <w:gridCol w:w="1033"/>
              <w:gridCol w:w="1166"/>
              <w:gridCol w:w="881"/>
              <w:gridCol w:w="771"/>
              <w:gridCol w:w="958"/>
              <w:gridCol w:w="11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774" w:type="pct"/>
                  <w:tcBorders>
                    <w:top w:val="single" w:color="auto" w:sz="4" w:space="0"/>
                    <w:bottom w:val="single" w:color="auto" w:sz="4" w:space="0"/>
                    <w:right w:val="single" w:color="auto" w:sz="4" w:space="0"/>
                  </w:tcBorders>
                  <w:noWrap w:val="0"/>
                  <w:vAlign w:val="center"/>
                </w:tcPr>
                <w:p>
                  <w:pPr>
                    <w:jc w:val="center"/>
                    <w:rPr>
                      <w:rFonts w:hint="default" w:eastAsia="宋体"/>
                      <w:color w:val="auto"/>
                      <w:szCs w:val="21"/>
                      <w:lang w:val="en-US" w:eastAsia="zh-CN"/>
                    </w:rPr>
                  </w:pPr>
                  <w:r>
                    <w:rPr>
                      <w:rFonts w:hint="eastAsia"/>
                      <w:color w:val="auto"/>
                      <w:szCs w:val="21"/>
                      <w:lang w:val="en-US" w:eastAsia="zh-CN"/>
                    </w:rPr>
                    <w:t>地表水体</w:t>
                  </w:r>
                </w:p>
              </w:tc>
              <w:tc>
                <w:tcPr>
                  <w:tcW w:w="774" w:type="pct"/>
                  <w:tcBorders>
                    <w:top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项目</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pH</w:t>
                  </w:r>
                </w:p>
              </w:tc>
              <w:tc>
                <w:tcPr>
                  <w:tcW w:w="679"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COD</w:t>
                  </w:r>
                </w:p>
              </w:tc>
              <w:tc>
                <w:tcPr>
                  <w:tcW w:w="513"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BOD</w:t>
                  </w:r>
                  <w:r>
                    <w:rPr>
                      <w:color w:val="auto"/>
                      <w:szCs w:val="21"/>
                      <w:vertAlign w:val="subscript"/>
                    </w:rPr>
                    <w:t>5</w:t>
                  </w: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氨氮</w:t>
                  </w:r>
                </w:p>
              </w:tc>
              <w:tc>
                <w:tcPr>
                  <w:tcW w:w="558"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石油类</w:t>
                  </w:r>
                </w:p>
              </w:tc>
              <w:tc>
                <w:tcPr>
                  <w:tcW w:w="646"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TP</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774" w:type="pct"/>
                  <w:tcBorders>
                    <w:top w:val="single" w:color="auto" w:sz="4" w:space="0"/>
                    <w:bottom w:val="single" w:color="auto" w:sz="4" w:space="0"/>
                    <w:right w:val="single" w:color="auto" w:sz="4" w:space="0"/>
                  </w:tcBorders>
                  <w:noWrap w:val="0"/>
                  <w:vAlign w:val="center"/>
                </w:tcPr>
                <w:p>
                  <w:pPr>
                    <w:jc w:val="center"/>
                    <w:rPr>
                      <w:rFonts w:hint="default" w:eastAsia="宋体"/>
                      <w:color w:val="auto"/>
                      <w:szCs w:val="21"/>
                      <w:lang w:val="en-US" w:eastAsia="zh-CN"/>
                    </w:rPr>
                  </w:pPr>
                  <w:bookmarkStart w:id="52" w:name="_Toc83158452"/>
                  <w:bookmarkStart w:id="53" w:name="_Toc83158287"/>
                  <w:r>
                    <w:rPr>
                      <w:rFonts w:hint="default" w:eastAsia="宋体"/>
                      <w:color w:val="auto"/>
                      <w:szCs w:val="21"/>
                      <w:lang w:val="en-US" w:eastAsia="zh-CN"/>
                    </w:rPr>
                    <w:t>普沙河</w:t>
                  </w:r>
                </w:p>
              </w:tc>
              <w:tc>
                <w:tcPr>
                  <w:tcW w:w="774" w:type="pct"/>
                  <w:tcBorders>
                    <w:top w:val="single" w:color="auto" w:sz="4" w:space="0"/>
                    <w:bottom w:val="single" w:color="auto" w:sz="4" w:space="0"/>
                    <w:right w:val="single" w:color="auto" w:sz="4" w:space="0"/>
                  </w:tcBorders>
                  <w:noWrap w:val="0"/>
                  <w:vAlign w:val="center"/>
                </w:tcPr>
                <w:p>
                  <w:pPr>
                    <w:jc w:val="center"/>
                    <w:rPr>
                      <w:color w:val="auto"/>
                      <w:szCs w:val="21"/>
                    </w:rPr>
                  </w:pPr>
                  <w:r>
                    <w:rPr>
                      <w:rFonts w:hint="eastAsia"/>
                      <w:color w:val="auto"/>
                      <w:szCs w:val="21"/>
                    </w:rPr>
                    <w:t>Ⅱ</w:t>
                  </w:r>
                  <w:r>
                    <w:rPr>
                      <w:color w:val="auto"/>
                      <w:szCs w:val="21"/>
                    </w:rPr>
                    <w:t>类标准</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Cs w:val="21"/>
                    </w:rPr>
                  </w:pPr>
                  <w:r>
                    <w:rPr>
                      <w:color w:val="auto"/>
                      <w:szCs w:val="21"/>
                    </w:rPr>
                    <w:t>6-9</w:t>
                  </w:r>
                </w:p>
              </w:tc>
              <w:tc>
                <w:tcPr>
                  <w:tcW w:w="67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kern w:val="2"/>
                      <w:sz w:val="21"/>
                      <w:szCs w:val="21"/>
                      <w:lang w:val="en-US" w:eastAsia="zh-CN" w:bidi="ar-SA"/>
                    </w:rPr>
                  </w:pPr>
                  <w:r>
                    <w:rPr>
                      <w:color w:val="auto"/>
                      <w:szCs w:val="21"/>
                    </w:rPr>
                    <w:t>≤</w:t>
                  </w:r>
                  <w:r>
                    <w:rPr>
                      <w:rFonts w:hint="eastAsia"/>
                      <w:color w:val="auto"/>
                      <w:szCs w:val="21"/>
                      <w:lang w:val="en-US" w:eastAsia="zh-CN"/>
                    </w:rPr>
                    <w:t>15</w:t>
                  </w:r>
                </w:p>
              </w:tc>
              <w:tc>
                <w:tcPr>
                  <w:tcW w:w="5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kern w:val="2"/>
                      <w:sz w:val="21"/>
                      <w:szCs w:val="21"/>
                      <w:lang w:val="en-US" w:eastAsia="zh-CN" w:bidi="ar-SA"/>
                    </w:rPr>
                  </w:pPr>
                  <w:r>
                    <w:rPr>
                      <w:color w:val="auto"/>
                      <w:szCs w:val="21"/>
                    </w:rPr>
                    <w:t>≤</w:t>
                  </w:r>
                  <w:r>
                    <w:rPr>
                      <w:rFonts w:hint="eastAsia"/>
                      <w:color w:val="auto"/>
                      <w:szCs w:val="21"/>
                      <w:lang w:val="en-US" w:eastAsia="zh-CN"/>
                    </w:rPr>
                    <w:t>3</w:t>
                  </w:r>
                </w:p>
              </w:tc>
              <w:tc>
                <w:tcPr>
                  <w:tcW w:w="44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kern w:val="2"/>
                      <w:sz w:val="21"/>
                      <w:szCs w:val="21"/>
                      <w:lang w:val="en-US" w:eastAsia="zh-CN" w:bidi="ar-SA"/>
                    </w:rPr>
                  </w:pPr>
                  <w:r>
                    <w:rPr>
                      <w:color w:val="auto"/>
                      <w:szCs w:val="21"/>
                    </w:rPr>
                    <w:t>≤</w:t>
                  </w:r>
                  <w:r>
                    <w:rPr>
                      <w:rFonts w:hint="eastAsia"/>
                      <w:color w:val="auto"/>
                      <w:szCs w:val="21"/>
                      <w:lang w:val="en-US" w:eastAsia="zh-CN"/>
                    </w:rPr>
                    <w:t>0.5</w:t>
                  </w:r>
                </w:p>
              </w:tc>
              <w:tc>
                <w:tcPr>
                  <w:tcW w:w="558"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kern w:val="2"/>
                      <w:sz w:val="21"/>
                      <w:szCs w:val="21"/>
                      <w:lang w:val="en-US" w:eastAsia="zh-CN" w:bidi="ar-SA"/>
                    </w:rPr>
                  </w:pPr>
                  <w:r>
                    <w:rPr>
                      <w:color w:val="auto"/>
                      <w:szCs w:val="21"/>
                    </w:rPr>
                    <w:t>≤0.</w:t>
                  </w:r>
                  <w:r>
                    <w:rPr>
                      <w:rFonts w:hint="eastAsia"/>
                      <w:color w:val="auto"/>
                      <w:szCs w:val="21"/>
                      <w:lang w:val="en-US" w:eastAsia="zh-CN"/>
                    </w:rPr>
                    <w:t>0</w:t>
                  </w:r>
                  <w:r>
                    <w:rPr>
                      <w:color w:val="auto"/>
                      <w:szCs w:val="21"/>
                    </w:rPr>
                    <w:t>5</w:t>
                  </w:r>
                </w:p>
              </w:tc>
              <w:tc>
                <w:tcPr>
                  <w:tcW w:w="6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kern w:val="2"/>
                      <w:sz w:val="21"/>
                      <w:szCs w:val="21"/>
                      <w:lang w:val="en-US" w:eastAsia="zh-CN" w:bidi="ar-SA"/>
                    </w:rPr>
                  </w:pPr>
                  <w:r>
                    <w:rPr>
                      <w:color w:val="auto"/>
                      <w:szCs w:val="21"/>
                    </w:rPr>
                    <w:t>≤0.</w:t>
                  </w:r>
                  <w:r>
                    <w:rPr>
                      <w:rFonts w:hint="eastAsia"/>
                      <w:color w:val="auto"/>
                      <w:szCs w:val="21"/>
                      <w:lang w:val="en-US" w:eastAsia="zh-CN"/>
                    </w:rPr>
                    <w:t>1</w:t>
                  </w:r>
                </w:p>
              </w:tc>
            </w:tr>
          </w:tbl>
          <w:p>
            <w:pPr>
              <w:pStyle w:val="157"/>
              <w:adjustRightInd w:val="0"/>
              <w:spacing w:line="360" w:lineRule="auto"/>
              <w:ind w:firstLine="481" w:firstLineChars="200"/>
              <w:jc w:val="left"/>
              <w:outlineLvl w:val="1"/>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1.3</w:t>
            </w:r>
            <w:r>
              <w:rPr>
                <w:rFonts w:hint="default" w:ascii="Times New Roman" w:hAnsi="Times New Roman" w:eastAsia="宋体" w:cs="Times New Roman"/>
                <w:b/>
                <w:bCs w:val="0"/>
                <w:color w:val="auto"/>
                <w:sz w:val="24"/>
                <w:lang w:val="en-US" w:eastAsia="zh-CN"/>
              </w:rPr>
              <w:t>声环境质量</w:t>
            </w:r>
          </w:p>
          <w:p>
            <w:pPr>
              <w:pStyle w:val="157"/>
              <w:adjustRightInd w:val="0"/>
              <w:spacing w:line="360" w:lineRule="auto"/>
              <w:ind w:firstLine="480" w:firstLineChars="200"/>
              <w:jc w:val="left"/>
              <w:outlineLvl w:val="1"/>
              <w:rPr>
                <w:rFonts w:ascii="Times New Roman" w:hAnsi="Times New Roman"/>
                <w:bCs/>
                <w:color w:val="auto"/>
                <w:sz w:val="24"/>
              </w:rPr>
            </w:pPr>
            <w:r>
              <w:rPr>
                <w:rFonts w:hint="eastAsia" w:ascii="Times New Roman" w:hAnsi="Times New Roman"/>
                <w:bCs/>
                <w:color w:val="auto"/>
                <w:sz w:val="24"/>
              </w:rPr>
              <w:t>项目位于</w:t>
            </w:r>
            <w:r>
              <w:rPr>
                <w:rFonts w:hint="eastAsia" w:ascii="Times New Roman" w:hAnsi="Times New Roman"/>
                <w:bCs/>
                <w:color w:val="auto"/>
                <w:sz w:val="24"/>
                <w:lang w:eastAsia="zh-CN"/>
              </w:rPr>
              <w:t>云南省昆明市嵩明县嵩阳街道山脚社区</w:t>
            </w:r>
            <w:r>
              <w:rPr>
                <w:rFonts w:hint="eastAsia" w:ascii="Times New Roman" w:hAnsi="Times New Roman"/>
                <w:bCs/>
                <w:color w:val="auto"/>
                <w:sz w:val="24"/>
              </w:rPr>
              <w:t>，</w:t>
            </w:r>
            <w:r>
              <w:rPr>
                <w:rFonts w:ascii="Times New Roman" w:hAnsi="Times New Roman"/>
                <w:bCs/>
                <w:color w:val="auto"/>
                <w:sz w:val="24"/>
              </w:rPr>
              <w:t>声环境执行《声环境质量标准》（GB3096-2008）</w:t>
            </w:r>
            <w:r>
              <w:rPr>
                <w:rFonts w:hint="eastAsia" w:ascii="Times New Roman" w:hAnsi="Times New Roman"/>
                <w:bCs/>
                <w:color w:val="auto"/>
                <w:sz w:val="24"/>
                <w:lang w:val="en-US" w:eastAsia="zh-CN"/>
              </w:rPr>
              <w:t>1</w:t>
            </w:r>
            <w:r>
              <w:rPr>
                <w:rFonts w:ascii="Times New Roman" w:hAnsi="Times New Roman"/>
                <w:bCs/>
                <w:color w:val="auto"/>
                <w:sz w:val="24"/>
              </w:rPr>
              <w:t>类标准。</w:t>
            </w:r>
            <w:bookmarkEnd w:id="52"/>
            <w:bookmarkEnd w:id="53"/>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 xml:space="preserve">7 </w:t>
            </w:r>
            <w:r>
              <w:rPr>
                <w:rFonts w:hint="eastAsia" w:ascii="Times New Roman" w:hAnsi="Times New Roman" w:eastAsia="宋体" w:cs="Times New Roman"/>
                <w:b/>
                <w:bCs/>
                <w:color w:val="auto"/>
                <w:sz w:val="21"/>
                <w:szCs w:val="21"/>
              </w:rPr>
              <w:t>声环境质量标准</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8"/>
              <w:gridCol w:w="1255"/>
              <w:gridCol w:w="1472"/>
              <w:gridCol w:w="1091"/>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538" w:type="dxa"/>
                  <w:vMerge w:val="restart"/>
                  <w:noWrap w:val="0"/>
                  <w:vAlign w:val="center"/>
                </w:tcPr>
                <w:p>
                  <w:pPr>
                    <w:adjustRightInd w:val="0"/>
                    <w:snapToGrid w:val="0"/>
                    <w:jc w:val="center"/>
                    <w:rPr>
                      <w:b/>
                      <w:bCs/>
                      <w:color w:val="auto"/>
                    </w:rPr>
                  </w:pPr>
                  <w:r>
                    <w:rPr>
                      <w:b/>
                      <w:bCs/>
                      <w:color w:val="auto"/>
                    </w:rPr>
                    <w:t>执行标准</w:t>
                  </w:r>
                </w:p>
              </w:tc>
              <w:tc>
                <w:tcPr>
                  <w:tcW w:w="1255" w:type="dxa"/>
                  <w:vMerge w:val="restart"/>
                  <w:noWrap w:val="0"/>
                  <w:vAlign w:val="center"/>
                </w:tcPr>
                <w:p>
                  <w:pPr>
                    <w:adjustRightInd w:val="0"/>
                    <w:snapToGrid w:val="0"/>
                    <w:jc w:val="center"/>
                    <w:rPr>
                      <w:b/>
                      <w:bCs/>
                      <w:color w:val="auto"/>
                    </w:rPr>
                  </w:pPr>
                  <w:r>
                    <w:rPr>
                      <w:b/>
                      <w:bCs/>
                      <w:color w:val="auto"/>
                    </w:rPr>
                    <w:t>级别</w:t>
                  </w:r>
                </w:p>
              </w:tc>
              <w:tc>
                <w:tcPr>
                  <w:tcW w:w="1472" w:type="dxa"/>
                  <w:vMerge w:val="restart"/>
                  <w:noWrap w:val="0"/>
                  <w:vAlign w:val="center"/>
                </w:tcPr>
                <w:p>
                  <w:pPr>
                    <w:adjustRightInd w:val="0"/>
                    <w:snapToGrid w:val="0"/>
                    <w:jc w:val="center"/>
                    <w:rPr>
                      <w:b/>
                      <w:bCs/>
                      <w:color w:val="auto"/>
                    </w:rPr>
                  </w:pPr>
                  <w:r>
                    <w:rPr>
                      <w:b/>
                      <w:bCs/>
                      <w:color w:val="auto"/>
                    </w:rPr>
                    <w:t>单位</w:t>
                  </w:r>
                </w:p>
              </w:tc>
              <w:tc>
                <w:tcPr>
                  <w:tcW w:w="2273" w:type="dxa"/>
                  <w:gridSpan w:val="2"/>
                  <w:noWrap w:val="0"/>
                  <w:vAlign w:val="center"/>
                </w:tcPr>
                <w:p>
                  <w:pPr>
                    <w:adjustRightInd w:val="0"/>
                    <w:snapToGrid w:val="0"/>
                    <w:jc w:val="center"/>
                    <w:rPr>
                      <w:b/>
                      <w:bCs/>
                      <w:color w:val="auto"/>
                    </w:rPr>
                  </w:pPr>
                  <w:r>
                    <w:rPr>
                      <w:b/>
                      <w:bCs/>
                      <w:color w:val="auto"/>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538" w:type="dxa"/>
                  <w:vMerge w:val="continue"/>
                  <w:noWrap w:val="0"/>
                  <w:vAlign w:val="center"/>
                </w:tcPr>
                <w:p>
                  <w:pPr>
                    <w:adjustRightInd w:val="0"/>
                    <w:snapToGrid w:val="0"/>
                    <w:jc w:val="center"/>
                    <w:rPr>
                      <w:b/>
                      <w:bCs/>
                      <w:color w:val="auto"/>
                    </w:rPr>
                  </w:pPr>
                </w:p>
              </w:tc>
              <w:tc>
                <w:tcPr>
                  <w:tcW w:w="1255" w:type="dxa"/>
                  <w:vMerge w:val="continue"/>
                  <w:noWrap w:val="0"/>
                  <w:vAlign w:val="center"/>
                </w:tcPr>
                <w:p>
                  <w:pPr>
                    <w:adjustRightInd w:val="0"/>
                    <w:snapToGrid w:val="0"/>
                    <w:jc w:val="center"/>
                    <w:rPr>
                      <w:b/>
                      <w:bCs/>
                      <w:color w:val="auto"/>
                    </w:rPr>
                  </w:pPr>
                </w:p>
              </w:tc>
              <w:tc>
                <w:tcPr>
                  <w:tcW w:w="1472" w:type="dxa"/>
                  <w:vMerge w:val="continue"/>
                  <w:noWrap w:val="0"/>
                  <w:vAlign w:val="center"/>
                </w:tcPr>
                <w:p>
                  <w:pPr>
                    <w:adjustRightInd w:val="0"/>
                    <w:snapToGrid w:val="0"/>
                    <w:jc w:val="center"/>
                    <w:rPr>
                      <w:b/>
                      <w:bCs/>
                      <w:color w:val="auto"/>
                    </w:rPr>
                  </w:pPr>
                </w:p>
              </w:tc>
              <w:tc>
                <w:tcPr>
                  <w:tcW w:w="1091" w:type="dxa"/>
                  <w:noWrap w:val="0"/>
                  <w:vAlign w:val="center"/>
                </w:tcPr>
                <w:p>
                  <w:pPr>
                    <w:adjustRightInd w:val="0"/>
                    <w:snapToGrid w:val="0"/>
                    <w:jc w:val="center"/>
                    <w:rPr>
                      <w:b/>
                      <w:bCs/>
                      <w:color w:val="auto"/>
                    </w:rPr>
                  </w:pPr>
                  <w:r>
                    <w:rPr>
                      <w:b/>
                      <w:bCs/>
                      <w:color w:val="auto"/>
                    </w:rPr>
                    <w:t>昼间</w:t>
                  </w:r>
                </w:p>
              </w:tc>
              <w:tc>
                <w:tcPr>
                  <w:tcW w:w="1182" w:type="dxa"/>
                  <w:noWrap w:val="0"/>
                  <w:vAlign w:val="center"/>
                </w:tcPr>
                <w:p>
                  <w:pPr>
                    <w:adjustRightInd w:val="0"/>
                    <w:snapToGrid w:val="0"/>
                    <w:jc w:val="center"/>
                    <w:rPr>
                      <w:b/>
                      <w:bCs/>
                      <w:color w:val="auto"/>
                    </w:rPr>
                  </w:pPr>
                  <w:r>
                    <w:rPr>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3538" w:type="dxa"/>
                  <w:noWrap w:val="0"/>
                  <w:vAlign w:val="center"/>
                </w:tcPr>
                <w:p>
                  <w:pPr>
                    <w:adjustRightInd w:val="0"/>
                    <w:snapToGrid w:val="0"/>
                    <w:jc w:val="center"/>
                    <w:rPr>
                      <w:color w:val="auto"/>
                    </w:rPr>
                  </w:pPr>
                  <w:r>
                    <w:rPr>
                      <w:color w:val="auto"/>
                    </w:rPr>
                    <w:t>《声环境质量标准》(GB3096-2008)</w:t>
                  </w:r>
                </w:p>
              </w:tc>
              <w:tc>
                <w:tcPr>
                  <w:tcW w:w="1255" w:type="dxa"/>
                  <w:noWrap w:val="0"/>
                  <w:vAlign w:val="center"/>
                </w:tcPr>
                <w:p>
                  <w:pPr>
                    <w:adjustRightInd w:val="0"/>
                    <w:snapToGrid w:val="0"/>
                    <w:jc w:val="center"/>
                    <w:rPr>
                      <w:color w:val="auto"/>
                    </w:rPr>
                  </w:pPr>
                  <w:r>
                    <w:rPr>
                      <w:rFonts w:hint="eastAsia"/>
                      <w:color w:val="auto"/>
                      <w:lang w:val="en-US" w:eastAsia="zh-CN"/>
                    </w:rPr>
                    <w:t>1</w:t>
                  </w:r>
                  <w:r>
                    <w:rPr>
                      <w:color w:val="auto"/>
                    </w:rPr>
                    <w:t>类</w:t>
                  </w:r>
                </w:p>
              </w:tc>
              <w:tc>
                <w:tcPr>
                  <w:tcW w:w="1472" w:type="dxa"/>
                  <w:noWrap w:val="0"/>
                  <w:vAlign w:val="center"/>
                </w:tcPr>
                <w:p>
                  <w:pPr>
                    <w:adjustRightInd w:val="0"/>
                    <w:snapToGrid w:val="0"/>
                    <w:jc w:val="center"/>
                    <w:rPr>
                      <w:color w:val="auto"/>
                    </w:rPr>
                  </w:pPr>
                  <w:r>
                    <w:rPr>
                      <w:color w:val="auto"/>
                    </w:rPr>
                    <w:t>dB（A）</w:t>
                  </w:r>
                </w:p>
              </w:tc>
              <w:tc>
                <w:tcPr>
                  <w:tcW w:w="1091" w:type="dxa"/>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55</w:t>
                  </w:r>
                </w:p>
              </w:tc>
              <w:tc>
                <w:tcPr>
                  <w:tcW w:w="1182" w:type="dxa"/>
                  <w:noWrap w:val="0"/>
                  <w:vAlign w:val="center"/>
                </w:tcPr>
                <w:p>
                  <w:pPr>
                    <w:adjustRightInd w:val="0"/>
                    <w:snapToGrid w:val="0"/>
                    <w:jc w:val="center"/>
                    <w:rPr>
                      <w:rFonts w:hint="default" w:eastAsia="宋体"/>
                      <w:color w:val="auto"/>
                      <w:lang w:val="en-US" w:eastAsia="zh-CN"/>
                    </w:rPr>
                  </w:pPr>
                  <w:r>
                    <w:rPr>
                      <w:rFonts w:hint="eastAsia"/>
                      <w:color w:val="auto"/>
                      <w:lang w:val="en-US" w:eastAsia="zh-CN"/>
                    </w:rPr>
                    <w:t>45</w:t>
                  </w:r>
                </w:p>
              </w:tc>
            </w:tr>
          </w:tbl>
          <w:p>
            <w:pPr>
              <w:pStyle w:val="157"/>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outlineLvl w:val="1"/>
              <w:rPr>
                <w:rFonts w:hint="default" w:ascii="Times New Roman" w:hAnsi="Times New Roman" w:eastAsia="宋体" w:cs="Times New Roman"/>
                <w:b/>
                <w:color w:val="auto"/>
                <w:sz w:val="28"/>
                <w:szCs w:val="28"/>
                <w:lang w:val="en-US" w:eastAsia="zh-CN"/>
              </w:rPr>
            </w:pPr>
            <w:bookmarkStart w:id="54" w:name="_Toc83158453"/>
            <w:bookmarkStart w:id="55" w:name="_Toc83158288"/>
            <w:r>
              <w:rPr>
                <w:rFonts w:hint="eastAsia" w:ascii="Times New Roman" w:hAnsi="Times New Roman" w:eastAsia="宋体" w:cs="Times New Roman"/>
                <w:b/>
                <w:color w:val="auto"/>
                <w:sz w:val="28"/>
                <w:szCs w:val="28"/>
                <w:lang w:val="en-US" w:eastAsia="zh-CN"/>
              </w:rPr>
              <w:t>2、</w:t>
            </w:r>
            <w:r>
              <w:rPr>
                <w:rFonts w:hint="default" w:ascii="Times New Roman" w:hAnsi="Times New Roman" w:eastAsia="宋体" w:cs="Times New Roman"/>
                <w:b/>
                <w:color w:val="auto"/>
                <w:sz w:val="28"/>
                <w:szCs w:val="28"/>
                <w:lang w:val="en-US" w:eastAsia="zh-CN"/>
              </w:rPr>
              <w:t>污染物排放标准</w:t>
            </w:r>
            <w:bookmarkEnd w:id="54"/>
            <w:bookmarkEnd w:id="55"/>
          </w:p>
          <w:p>
            <w:pPr>
              <w:spacing w:line="360" w:lineRule="auto"/>
              <w:ind w:firstLine="481" w:firstLineChars="200"/>
              <w:jc w:val="left"/>
              <w:rPr>
                <w:rFonts w:hint="default" w:ascii="Times New Roman" w:hAnsi="Times New Roman" w:eastAsia="宋体" w:cs="Times New Roman"/>
                <w:b/>
                <w:bCs w:val="0"/>
                <w:color w:val="auto"/>
                <w:sz w:val="24"/>
                <w:lang w:val="en-US" w:eastAsia="zh-CN"/>
              </w:rPr>
            </w:pPr>
            <w:bookmarkStart w:id="56" w:name="_Toc83158289"/>
            <w:bookmarkStart w:id="57" w:name="_Toc83158454"/>
            <w:r>
              <w:rPr>
                <w:rFonts w:hint="eastAsia" w:ascii="Times New Roman" w:hAnsi="Times New Roman" w:eastAsia="宋体" w:cs="Times New Roman"/>
                <w:b/>
                <w:bCs w:val="0"/>
                <w:color w:val="auto"/>
                <w:sz w:val="24"/>
                <w:lang w:val="en-US" w:eastAsia="zh-CN"/>
              </w:rPr>
              <w:t>2.1大气污染物</w:t>
            </w:r>
            <w:r>
              <w:rPr>
                <w:rFonts w:hint="default" w:ascii="Times New Roman" w:hAnsi="Times New Roman" w:eastAsia="宋体" w:cs="Times New Roman"/>
                <w:b/>
                <w:bCs w:val="0"/>
                <w:color w:val="auto"/>
                <w:sz w:val="24"/>
                <w:lang w:val="en-US" w:eastAsia="zh-CN"/>
              </w:rPr>
              <w:t>排放标准</w:t>
            </w:r>
          </w:p>
          <w:p>
            <w:pPr>
              <w:pStyle w:val="157"/>
              <w:snapToGrid/>
              <w:spacing w:line="360" w:lineRule="auto"/>
              <w:ind w:firstLine="480" w:firstLineChars="200"/>
              <w:jc w:val="left"/>
              <w:outlineLvl w:val="1"/>
              <w:rPr>
                <w:rFonts w:ascii="Times New Roman" w:hAnsi="Times New Roman"/>
                <w:bCs/>
                <w:color w:val="auto"/>
                <w:sz w:val="24"/>
              </w:rPr>
            </w:pPr>
            <w:r>
              <w:rPr>
                <w:rFonts w:hint="eastAsia" w:ascii="Times New Roman" w:hAnsi="Times New Roman"/>
                <w:bCs/>
                <w:color w:val="auto"/>
                <w:sz w:val="24"/>
              </w:rPr>
              <w:t>施工期：</w:t>
            </w:r>
            <w:r>
              <w:rPr>
                <w:rFonts w:hint="eastAsia" w:ascii="Times New Roman" w:hAnsi="Times New Roman"/>
                <w:bCs/>
                <w:color w:val="auto"/>
                <w:sz w:val="24"/>
                <w:lang w:val="en-US" w:eastAsia="zh-CN"/>
              </w:rPr>
              <w:t>项目施工期废气主要为施工产生的粉尘，呈无组织排放，粉尘</w:t>
            </w:r>
            <w:r>
              <w:rPr>
                <w:rFonts w:ascii="Times New Roman" w:hAnsi="Times New Roman"/>
                <w:bCs/>
                <w:color w:val="auto"/>
                <w:sz w:val="24"/>
              </w:rPr>
              <w:t>执行《大气污染物综合排放标准》（GB16297-1996）</w:t>
            </w:r>
            <w:r>
              <w:rPr>
                <w:rFonts w:hint="eastAsia" w:ascii="Times New Roman" w:hAnsi="Times New Roman"/>
                <w:bCs/>
                <w:color w:val="auto"/>
                <w:sz w:val="24"/>
                <w:lang w:val="en-US" w:eastAsia="zh-CN"/>
              </w:rPr>
              <w:t>中</w:t>
            </w:r>
            <w:r>
              <w:rPr>
                <w:rFonts w:hint="eastAsia" w:eastAsia="宋体"/>
                <w:color w:val="auto"/>
                <w:kern w:val="0"/>
                <w:sz w:val="24"/>
                <w:szCs w:val="24"/>
                <w:highlight w:val="none"/>
              </w:rPr>
              <w:t>无组织排放监控浓度限值要求，</w:t>
            </w:r>
            <w:r>
              <w:rPr>
                <w:rFonts w:hint="eastAsia" w:eastAsia="宋体"/>
                <w:color w:val="auto"/>
                <w:kern w:val="0"/>
                <w:sz w:val="24"/>
                <w:szCs w:val="24"/>
                <w:highlight w:val="none"/>
                <w:lang w:val="en-US" w:eastAsia="zh-CN"/>
              </w:rPr>
              <w:t>具体的排放限值详见下表。</w:t>
            </w:r>
            <w:bookmarkEnd w:id="56"/>
            <w:bookmarkEnd w:id="57"/>
          </w:p>
          <w:p>
            <w:pPr>
              <w:keepNext w:val="0"/>
              <w:keepLines w:val="0"/>
              <w:suppressLineNumbers w:val="0"/>
              <w:snapToGrid w:val="0"/>
              <w:spacing w:before="0" w:beforeAutospacing="0" w:after="0" w:afterAutospacing="0"/>
              <w:ind w:left="0" w:right="0"/>
              <w:jc w:val="center"/>
              <w:rPr>
                <w:rFonts w:hint="default" w:eastAsia="宋体"/>
                <w:b/>
                <w:color w:val="auto"/>
                <w:kern w:val="0"/>
                <w:sz w:val="24"/>
                <w:szCs w:val="24"/>
                <w:highlight w:val="none"/>
              </w:rPr>
            </w:pPr>
            <w:r>
              <w:rPr>
                <w:rFonts w:hint="eastAsia" w:eastAsia="宋体"/>
                <w:b/>
                <w:color w:val="auto"/>
                <w:kern w:val="0"/>
                <w:sz w:val="24"/>
                <w:szCs w:val="24"/>
                <w:highlight w:val="none"/>
              </w:rPr>
              <w:t>表3-</w:t>
            </w:r>
            <w:r>
              <w:rPr>
                <w:rFonts w:hint="eastAsia" w:eastAsia="宋体"/>
                <w:b/>
                <w:color w:val="auto"/>
                <w:kern w:val="0"/>
                <w:sz w:val="24"/>
                <w:szCs w:val="24"/>
                <w:highlight w:val="none"/>
                <w:lang w:val="en-US" w:eastAsia="zh-CN"/>
              </w:rPr>
              <w:t xml:space="preserve">8 </w:t>
            </w:r>
            <w:r>
              <w:rPr>
                <w:rFonts w:hint="eastAsia" w:eastAsia="宋体"/>
                <w:b/>
                <w:color w:val="auto"/>
                <w:kern w:val="0"/>
                <w:sz w:val="24"/>
                <w:szCs w:val="24"/>
                <w:highlight w:val="none"/>
              </w:rPr>
              <w:t>大气污染物综合排放标准 单位：mg/m</w:t>
            </w:r>
            <w:r>
              <w:rPr>
                <w:rFonts w:hint="eastAsia" w:eastAsia="宋体"/>
                <w:b/>
                <w:color w:val="auto"/>
                <w:kern w:val="0"/>
                <w:sz w:val="24"/>
                <w:szCs w:val="24"/>
                <w:highlight w:val="none"/>
                <w:vertAlign w:val="superscript"/>
              </w:rPr>
              <w:t>3</w:t>
            </w:r>
          </w:p>
          <w:tbl>
            <w:tblPr>
              <w:tblStyle w:val="8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03"/>
              <w:gridCol w:w="4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500" w:type="pct"/>
                  <w:noWrap w:val="0"/>
                  <w:vAlign w:val="center"/>
                </w:tcPr>
                <w:p>
                  <w:pPr>
                    <w:keepNext w:val="0"/>
                    <w:keepLines w:val="0"/>
                    <w:suppressLineNumbers w:val="0"/>
                    <w:spacing w:before="0" w:beforeAutospacing="0" w:after="0" w:afterAutospacing="0"/>
                    <w:ind w:left="0" w:right="0"/>
                    <w:jc w:val="center"/>
                    <w:rPr>
                      <w:rFonts w:hint="default" w:eastAsia="宋体"/>
                      <w:b/>
                      <w:color w:val="auto"/>
                      <w:kern w:val="0"/>
                      <w:sz w:val="21"/>
                      <w:szCs w:val="21"/>
                      <w:highlight w:val="none"/>
                    </w:rPr>
                  </w:pPr>
                  <w:r>
                    <w:rPr>
                      <w:rFonts w:hint="eastAsia" w:eastAsia="宋体"/>
                      <w:b/>
                      <w:color w:val="auto"/>
                      <w:kern w:val="0"/>
                      <w:sz w:val="21"/>
                      <w:szCs w:val="21"/>
                      <w:highlight w:val="none"/>
                    </w:rPr>
                    <w:t>项目</w:t>
                  </w:r>
                </w:p>
              </w:tc>
              <w:tc>
                <w:tcPr>
                  <w:tcW w:w="2500" w:type="pct"/>
                  <w:noWrap w:val="0"/>
                  <w:vAlign w:val="center"/>
                </w:tcPr>
                <w:p>
                  <w:pPr>
                    <w:keepNext w:val="0"/>
                    <w:keepLines w:val="0"/>
                    <w:suppressLineNumbers w:val="0"/>
                    <w:spacing w:before="0" w:beforeAutospacing="0" w:after="0" w:afterAutospacing="0"/>
                    <w:ind w:left="0" w:right="0"/>
                    <w:jc w:val="center"/>
                    <w:rPr>
                      <w:rFonts w:hint="default" w:eastAsia="宋体"/>
                      <w:b/>
                      <w:color w:val="auto"/>
                      <w:kern w:val="0"/>
                      <w:sz w:val="21"/>
                      <w:szCs w:val="21"/>
                      <w:highlight w:val="none"/>
                    </w:rPr>
                  </w:pPr>
                  <w:r>
                    <w:rPr>
                      <w:rFonts w:hint="eastAsia" w:eastAsia="宋体"/>
                      <w:b/>
                      <w:color w:val="auto"/>
                      <w:kern w:val="0"/>
                      <w:sz w:val="21"/>
                      <w:szCs w:val="21"/>
                      <w:highlight w:val="none"/>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2500" w:type="pct"/>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rPr>
                  </w:pPr>
                  <w:r>
                    <w:rPr>
                      <w:rFonts w:hint="default" w:eastAsia="宋体"/>
                      <w:color w:val="auto"/>
                      <w:kern w:val="0"/>
                      <w:sz w:val="21"/>
                      <w:szCs w:val="21"/>
                      <w:highlight w:val="none"/>
                    </w:rPr>
                    <w:t>无组织排放监控浓度限值</w:t>
                  </w:r>
                </w:p>
              </w:tc>
              <w:tc>
                <w:tcPr>
                  <w:tcW w:w="2500" w:type="pct"/>
                  <w:noWrap w:val="0"/>
                  <w:vAlign w:val="center"/>
                </w:tcPr>
                <w:p>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rPr>
                  </w:pPr>
                  <w:r>
                    <w:rPr>
                      <w:rFonts w:hint="default" w:eastAsia="宋体"/>
                      <w:color w:val="auto"/>
                      <w:kern w:val="0"/>
                      <w:sz w:val="21"/>
                      <w:szCs w:val="21"/>
                      <w:highlight w:val="none"/>
                    </w:rPr>
                    <w:t>≤1.0</w:t>
                  </w:r>
                </w:p>
              </w:tc>
            </w:tr>
          </w:tbl>
          <w:p>
            <w:pPr>
              <w:pStyle w:val="157"/>
              <w:snapToGrid/>
              <w:spacing w:line="360" w:lineRule="auto"/>
              <w:ind w:firstLine="480" w:firstLineChars="200"/>
              <w:jc w:val="left"/>
              <w:outlineLvl w:val="1"/>
              <w:rPr>
                <w:rFonts w:hint="default" w:ascii="Times New Roman" w:hAnsi="Times New Roman"/>
                <w:bCs/>
                <w:color w:val="auto"/>
                <w:sz w:val="24"/>
                <w:lang w:val="en-US"/>
              </w:rPr>
            </w:pPr>
            <w:r>
              <w:rPr>
                <w:rFonts w:hint="eastAsia" w:ascii="Times New Roman" w:hAnsi="Times New Roman"/>
                <w:bCs/>
                <w:color w:val="auto"/>
                <w:sz w:val="24"/>
              </w:rPr>
              <w:t>运营期</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项目运营期</w:t>
            </w:r>
            <w:r>
              <w:rPr>
                <w:rFonts w:hint="eastAsia" w:ascii="Times New Roman" w:hAnsi="Times New Roman"/>
                <w:bCs/>
                <w:color w:val="auto"/>
                <w:sz w:val="24"/>
                <w:lang w:eastAsia="zh-CN"/>
              </w:rPr>
              <w:t>废气主要是卫生间的臭味及汽车尾气，通过卫生管理及喷洒除臭剂等处理恶臭，汽车尾气通过自然扩撒。</w:t>
            </w:r>
            <w:r>
              <w:rPr>
                <w:rFonts w:hint="eastAsia" w:ascii="Times New Roman" w:hAnsi="Times New Roman"/>
                <w:bCs/>
                <w:color w:val="auto"/>
                <w:sz w:val="24"/>
                <w:lang w:val="en-US" w:eastAsia="zh-CN"/>
              </w:rPr>
              <w:t>因此不设置排放标准。</w:t>
            </w:r>
          </w:p>
          <w:p>
            <w:pPr>
              <w:spacing w:line="360" w:lineRule="auto"/>
              <w:ind w:firstLine="481" w:firstLineChars="200"/>
              <w:jc w:val="left"/>
              <w:rPr>
                <w:rFonts w:hint="eastAsia" w:ascii="Times New Roman" w:hAnsi="Times New Roman" w:eastAsia="宋体" w:cs="Times New Roman"/>
                <w:b/>
                <w:bCs w:val="0"/>
                <w:color w:val="auto"/>
                <w:sz w:val="24"/>
                <w:lang w:val="en-US" w:eastAsia="zh-CN"/>
              </w:rPr>
            </w:pPr>
            <w:bookmarkStart w:id="58" w:name="_Toc83158455"/>
            <w:bookmarkStart w:id="59" w:name="_Toc83158290"/>
            <w:r>
              <w:rPr>
                <w:rFonts w:hint="eastAsia" w:ascii="Times New Roman" w:hAnsi="Times New Roman" w:eastAsia="宋体" w:cs="Times New Roman"/>
                <w:b/>
                <w:bCs w:val="0"/>
                <w:color w:val="auto"/>
                <w:sz w:val="24"/>
                <w:lang w:val="en-US" w:eastAsia="zh-CN"/>
              </w:rPr>
              <w:t>2.2废水排放标准</w:t>
            </w:r>
            <w:bookmarkEnd w:id="58"/>
            <w:bookmarkEnd w:id="59"/>
          </w:p>
          <w:p>
            <w:pPr>
              <w:pStyle w:val="157"/>
              <w:snapToGrid/>
              <w:spacing w:line="360" w:lineRule="auto"/>
              <w:ind w:firstLine="480" w:firstLineChars="200"/>
              <w:jc w:val="left"/>
              <w:outlineLvl w:val="1"/>
              <w:rPr>
                <w:rFonts w:hint="eastAsia" w:ascii="Times New Roman" w:hAnsi="Times New Roman"/>
                <w:bCs/>
                <w:color w:val="auto"/>
                <w:sz w:val="24"/>
              </w:rPr>
            </w:pPr>
            <w:r>
              <w:rPr>
                <w:rFonts w:hint="eastAsia" w:ascii="Times New Roman" w:hAnsi="Times New Roman"/>
                <w:bCs/>
                <w:color w:val="auto"/>
                <w:sz w:val="24"/>
              </w:rPr>
              <w:t>施工期：项目</w:t>
            </w:r>
            <w:r>
              <w:rPr>
                <w:rFonts w:hint="eastAsia" w:ascii="Times New Roman" w:hAnsi="Times New Roman"/>
                <w:bCs/>
                <w:color w:val="auto"/>
                <w:sz w:val="24"/>
                <w:lang w:val="en-US" w:eastAsia="zh-CN"/>
              </w:rPr>
              <w:t>施工期产生</w:t>
            </w:r>
            <w:r>
              <w:rPr>
                <w:rFonts w:hint="eastAsia" w:ascii="Times New Roman" w:hAnsi="Times New Roman"/>
                <w:bCs/>
                <w:color w:val="auto"/>
                <w:sz w:val="24"/>
              </w:rPr>
              <w:t>的废水主要为少量生活废水和施工废水，采用沉淀池处理后回用于工程降尘洒水或周边绿化，不外排。</w:t>
            </w:r>
          </w:p>
          <w:p>
            <w:pPr>
              <w:pStyle w:val="157"/>
              <w:snapToGrid/>
              <w:spacing w:line="360" w:lineRule="auto"/>
              <w:ind w:firstLine="480" w:firstLineChars="200"/>
              <w:jc w:val="left"/>
              <w:outlineLvl w:val="1"/>
              <w:rPr>
                <w:rFonts w:hint="default" w:ascii="Times New Roman" w:hAnsi="Times New Roman" w:eastAsia="宋体"/>
                <w:bCs/>
                <w:color w:val="auto"/>
                <w:sz w:val="24"/>
                <w:lang w:val="en-US" w:eastAsia="zh-CN"/>
              </w:rPr>
            </w:pPr>
            <w:r>
              <w:rPr>
                <w:rFonts w:hint="eastAsia" w:ascii="Times New Roman" w:hAnsi="Times New Roman"/>
                <w:bCs/>
                <w:color w:val="auto"/>
                <w:sz w:val="24"/>
              </w:rPr>
              <w:t>运营期</w:t>
            </w:r>
            <w:r>
              <w:rPr>
                <w:rFonts w:hint="eastAsia" w:ascii="Times New Roman" w:hAnsi="Times New Roman"/>
                <w:bCs/>
                <w:color w:val="auto"/>
                <w:sz w:val="24"/>
                <w:lang w:eastAsia="zh-CN"/>
              </w:rPr>
              <w:t>：</w:t>
            </w:r>
            <w:r>
              <w:rPr>
                <w:rFonts w:hint="eastAsia" w:ascii="Times New Roman" w:hAnsi="Times New Roman"/>
                <w:bCs/>
                <w:color w:val="auto"/>
                <w:sz w:val="24"/>
              </w:rPr>
              <w:t>项目运营期</w:t>
            </w:r>
            <w:r>
              <w:rPr>
                <w:rFonts w:hint="eastAsia" w:ascii="Times New Roman" w:hAnsi="Times New Roman"/>
                <w:bCs/>
                <w:color w:val="auto"/>
                <w:sz w:val="24"/>
                <w:lang w:val="en-US" w:eastAsia="zh-CN"/>
              </w:rPr>
              <w:t>废水主要是游客和工作人员产生的生活废水。</w:t>
            </w:r>
            <w:r>
              <w:rPr>
                <w:rFonts w:hint="eastAsia" w:ascii="Times New Roman" w:hAnsi="Times New Roman"/>
                <w:bCs/>
                <w:color w:val="auto"/>
                <w:sz w:val="24"/>
              </w:rPr>
              <w:t>生活污水经过化粪池处理达到《污水排入城镇下水道水质标准》（GB/T31962-2015）表1中A级标准后进入市政污水收集管网。</w:t>
            </w:r>
            <w:r>
              <w:rPr>
                <w:rFonts w:hint="eastAsia" w:ascii="Times New Roman" w:hAnsi="Times New Roman"/>
                <w:bCs/>
                <w:color w:val="auto"/>
                <w:sz w:val="24"/>
                <w:lang w:val="en-US" w:eastAsia="zh-CN"/>
              </w:rPr>
              <w:t>运营期废水执行</w:t>
            </w:r>
            <w:r>
              <w:rPr>
                <w:rFonts w:hint="eastAsia" w:ascii="Times New Roman" w:hAnsi="Times New Roman"/>
                <w:bCs/>
                <w:color w:val="auto"/>
                <w:sz w:val="24"/>
              </w:rPr>
              <w:t>《污水排入城镇下水道水质标准》（GB/T31962-2015）表1中A级标准</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具体标准限制见下表。</w:t>
            </w:r>
          </w:p>
          <w:p>
            <w:pPr>
              <w:keepNext w:val="0"/>
              <w:keepLines w:val="0"/>
              <w:widowControl w:val="0"/>
              <w:numPr>
                <w:ilvl w:val="0"/>
                <w:numId w:val="0"/>
              </w:numPr>
              <w:suppressLineNumbers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表3-</w:t>
            </w:r>
            <w:r>
              <w:rPr>
                <w:rFonts w:hint="eastAsia" w:eastAsia="宋体"/>
                <w:b/>
                <w:bCs/>
                <w:color w:val="auto"/>
                <w:sz w:val="21"/>
                <w:szCs w:val="21"/>
                <w:highlight w:val="none"/>
                <w:lang w:val="en-US" w:eastAsia="zh-CN"/>
              </w:rPr>
              <w:t xml:space="preserve">9 </w:t>
            </w:r>
            <w:r>
              <w:rPr>
                <w:rFonts w:hint="eastAsia" w:ascii="Times New Roman" w:hAnsi="Times New Roman" w:eastAsia="宋体"/>
                <w:b/>
                <w:bCs/>
                <w:color w:val="auto"/>
                <w:sz w:val="21"/>
                <w:szCs w:val="21"/>
                <w:highlight w:val="none"/>
                <w:lang w:val="en-US" w:eastAsia="zh-CN"/>
              </w:rPr>
              <w:t>《污水排入城镇下水道水质标准》表1中A级标准</w:t>
            </w:r>
          </w:p>
          <w:tbl>
            <w:tblPr>
              <w:tblStyle w:val="90"/>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027"/>
              <w:gridCol w:w="1109"/>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bCs/>
                      <w:color w:val="auto"/>
                      <w:sz w:val="21"/>
                      <w:szCs w:val="21"/>
                      <w:highlight w:val="none"/>
                      <w:vertAlign w:val="baseline"/>
                      <w:lang w:val="en-US" w:eastAsia="zh-CN"/>
                    </w:rPr>
                  </w:pPr>
                  <w:r>
                    <w:rPr>
                      <w:rFonts w:hint="eastAsia" w:ascii="Times New Roman" w:eastAsia="宋体"/>
                      <w:b/>
                      <w:bCs/>
                      <w:color w:val="auto"/>
                      <w:sz w:val="21"/>
                      <w:szCs w:val="21"/>
                      <w:highlight w:val="none"/>
                      <w:vertAlign w:val="baseline"/>
                      <w:lang w:val="en-US" w:eastAsia="zh-CN"/>
                    </w:rPr>
                    <w:t>序号</w:t>
                  </w:r>
                </w:p>
              </w:tc>
              <w:tc>
                <w:tcPr>
                  <w:tcW w:w="30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auto"/>
                      <w:sz w:val="21"/>
                      <w:szCs w:val="21"/>
                      <w:highlight w:val="none"/>
                      <w:vertAlign w:val="baseline"/>
                      <w:lang w:val="en-US" w:eastAsia="zh-CN"/>
                    </w:rPr>
                  </w:pPr>
                  <w:r>
                    <w:rPr>
                      <w:rFonts w:hint="eastAsia" w:ascii="Times New Roman" w:eastAsia="宋体"/>
                      <w:b/>
                      <w:bCs/>
                      <w:color w:val="auto"/>
                      <w:sz w:val="21"/>
                      <w:szCs w:val="21"/>
                      <w:highlight w:val="none"/>
                      <w:vertAlign w:val="baseline"/>
                      <w:lang w:val="en-US" w:eastAsia="zh-CN"/>
                    </w:rPr>
                    <w:t>污染物</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bCs/>
                      <w:color w:val="auto"/>
                      <w:sz w:val="21"/>
                      <w:szCs w:val="21"/>
                      <w:highlight w:val="none"/>
                      <w:vertAlign w:val="baseline"/>
                      <w:lang w:val="en-US" w:eastAsia="zh-CN"/>
                    </w:rPr>
                  </w:pPr>
                  <w:r>
                    <w:rPr>
                      <w:rFonts w:hint="eastAsia" w:ascii="Times New Roman" w:eastAsia="宋体"/>
                      <w:b/>
                      <w:bCs/>
                      <w:color w:val="auto"/>
                      <w:sz w:val="21"/>
                      <w:szCs w:val="21"/>
                      <w:highlight w:val="none"/>
                      <w:vertAlign w:val="baseline"/>
                      <w:lang w:val="en-US" w:eastAsia="zh-CN"/>
                    </w:rPr>
                    <w:t>单位</w:t>
                  </w:r>
                </w:p>
              </w:tc>
              <w:tc>
                <w:tcPr>
                  <w:tcW w:w="344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auto"/>
                      <w:sz w:val="21"/>
                      <w:szCs w:val="21"/>
                      <w:highlight w:val="none"/>
                      <w:vertAlign w:val="baseline"/>
                      <w:lang w:val="en-US" w:eastAsia="zh-CN"/>
                    </w:rPr>
                  </w:pPr>
                  <w:r>
                    <w:rPr>
                      <w:rFonts w:hint="default" w:eastAsia="宋体"/>
                      <w:b/>
                      <w:bCs/>
                      <w:color w:val="auto"/>
                      <w:sz w:val="21"/>
                      <w:szCs w:val="21"/>
                      <w:highlight w:val="none"/>
                      <w:vertAlign w:val="baseli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val="0"/>
                      <w:bCs w:val="0"/>
                      <w:color w:val="auto"/>
                      <w:sz w:val="21"/>
                      <w:szCs w:val="21"/>
                      <w:highlight w:val="none"/>
                      <w:vertAlign w:val="baseline"/>
                      <w:lang w:val="en-US" w:eastAsia="zh-CN"/>
                    </w:rPr>
                  </w:pPr>
                  <w:r>
                    <w:rPr>
                      <w:rFonts w:hint="eastAsia" w:ascii="Times New Roman" w:eastAsia="宋体"/>
                      <w:b w:val="0"/>
                      <w:bCs w:val="0"/>
                      <w:color w:val="auto"/>
                      <w:sz w:val="21"/>
                      <w:szCs w:val="21"/>
                      <w:highlight w:val="none"/>
                      <w:vertAlign w:val="baseline"/>
                      <w:lang w:val="en-US" w:eastAsia="zh-CN"/>
                    </w:rPr>
                    <w:t>1</w:t>
                  </w:r>
                </w:p>
              </w:tc>
              <w:tc>
                <w:tcPr>
                  <w:tcW w:w="3027"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pH</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无量纲</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val="0"/>
                      <w:bCs w:val="0"/>
                      <w:color w:val="auto"/>
                      <w:sz w:val="21"/>
                      <w:szCs w:val="21"/>
                      <w:highlight w:val="none"/>
                      <w:vertAlign w:val="baseline"/>
                      <w:lang w:val="en-US" w:eastAsia="zh-CN"/>
                    </w:rPr>
                  </w:pPr>
                  <w:r>
                    <w:rPr>
                      <w:rFonts w:hint="eastAsia" w:ascii="Times New Roman" w:eastAsia="宋体"/>
                      <w:b w:val="0"/>
                      <w:bCs w:val="0"/>
                      <w:color w:val="auto"/>
                      <w:sz w:val="21"/>
                      <w:szCs w:val="21"/>
                      <w:highlight w:val="none"/>
                      <w:vertAlign w:val="baseline"/>
                      <w:lang w:val="en-US" w:eastAsia="zh-CN"/>
                    </w:rPr>
                    <w:t>2</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BOD</w:t>
                  </w:r>
                  <w:r>
                    <w:rPr>
                      <w:rFonts w:hint="default" w:ascii="Times New Roman" w:hAnsi="Times New Roman" w:cs="Times New Roman"/>
                      <w:b w:val="0"/>
                      <w:bCs w:val="0"/>
                      <w:color w:val="auto"/>
                      <w:highlight w:val="none"/>
                      <w:u w:val="none" w:color="auto"/>
                      <w:vertAlign w:val="subscript"/>
                    </w:rPr>
                    <w:t>5</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val="0"/>
                      <w:bCs w:val="0"/>
                      <w:color w:val="auto"/>
                      <w:sz w:val="21"/>
                      <w:szCs w:val="21"/>
                      <w:highlight w:val="none"/>
                      <w:vertAlign w:val="baseline"/>
                      <w:lang w:val="en-US" w:eastAsia="zh-CN"/>
                    </w:rPr>
                  </w:pPr>
                  <w:r>
                    <w:rPr>
                      <w:rFonts w:hint="eastAsia" w:ascii="Times New Roman" w:eastAsia="宋体"/>
                      <w:b w:val="0"/>
                      <w:bCs w:val="0"/>
                      <w:color w:val="auto"/>
                      <w:sz w:val="21"/>
                      <w:szCs w:val="21"/>
                      <w:highlight w:val="none"/>
                      <w:vertAlign w:val="baseline"/>
                      <w:lang w:val="en-US" w:eastAsia="zh-CN"/>
                    </w:rPr>
                    <w:t>3</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COD</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val="0"/>
                      <w:bCs w:val="0"/>
                      <w:color w:val="auto"/>
                      <w:sz w:val="21"/>
                      <w:szCs w:val="21"/>
                      <w:highlight w:val="none"/>
                      <w:vertAlign w:val="baseline"/>
                      <w:lang w:val="en-US" w:eastAsia="zh-CN"/>
                    </w:rPr>
                  </w:pPr>
                  <w:r>
                    <w:rPr>
                      <w:rFonts w:hint="eastAsia" w:ascii="Times New Roman" w:eastAsia="宋体"/>
                      <w:b w:val="0"/>
                      <w:bCs w:val="0"/>
                      <w:color w:val="auto"/>
                      <w:sz w:val="21"/>
                      <w:szCs w:val="21"/>
                      <w:highlight w:val="none"/>
                      <w:vertAlign w:val="baseline"/>
                      <w:lang w:val="en-US" w:eastAsia="zh-CN"/>
                    </w:rPr>
                    <w:t>4</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SS</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val="0"/>
                      <w:bCs w:val="0"/>
                      <w:color w:val="auto"/>
                      <w:sz w:val="21"/>
                      <w:szCs w:val="21"/>
                      <w:highlight w:val="none"/>
                      <w:vertAlign w:val="baseline"/>
                      <w:lang w:val="en-US" w:eastAsia="zh-CN"/>
                    </w:rPr>
                  </w:pPr>
                  <w:r>
                    <w:rPr>
                      <w:rFonts w:hint="eastAsia" w:ascii="Times New Roman" w:eastAsia="宋体"/>
                      <w:b w:val="0"/>
                      <w:bCs w:val="0"/>
                      <w:color w:val="auto"/>
                      <w:sz w:val="21"/>
                      <w:szCs w:val="21"/>
                      <w:highlight w:val="none"/>
                      <w:vertAlign w:val="baseline"/>
                      <w:lang w:val="en-US" w:eastAsia="zh-CN"/>
                    </w:rPr>
                    <w:t>5</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TN</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eastAsia="宋体"/>
                      <w:b w:val="0"/>
                      <w:bCs w:val="0"/>
                      <w:color w:val="auto"/>
                      <w:sz w:val="21"/>
                      <w:szCs w:val="21"/>
                      <w:highlight w:val="none"/>
                      <w:vertAlign w:val="baseline"/>
                      <w:lang w:val="en-US" w:eastAsia="zh-CN"/>
                    </w:rPr>
                  </w:pPr>
                  <w:r>
                    <w:rPr>
                      <w:rFonts w:hint="eastAsia" w:ascii="Times New Roman" w:eastAsia="宋体"/>
                      <w:b w:val="0"/>
                      <w:bCs w:val="0"/>
                      <w:color w:val="auto"/>
                      <w:sz w:val="21"/>
                      <w:szCs w:val="21"/>
                      <w:highlight w:val="none"/>
                      <w:vertAlign w:val="baseline"/>
                      <w:lang w:val="en-US" w:eastAsia="zh-CN"/>
                    </w:rPr>
                    <w:t>6</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TP</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val="0"/>
                      <w:bCs w:val="0"/>
                      <w:color w:val="auto"/>
                      <w:sz w:val="21"/>
                      <w:szCs w:val="21"/>
                      <w:highlight w:val="none"/>
                      <w:vertAlign w:val="baseline"/>
                      <w:lang w:val="en-US" w:eastAsia="zh-CN"/>
                    </w:rPr>
                  </w:pPr>
                  <w:r>
                    <w:rPr>
                      <w:rFonts w:hint="eastAsia" w:eastAsia="宋体"/>
                      <w:b w:val="0"/>
                      <w:bCs w:val="0"/>
                      <w:color w:val="auto"/>
                      <w:sz w:val="21"/>
                      <w:szCs w:val="21"/>
                      <w:highlight w:val="none"/>
                      <w:vertAlign w:val="baseline"/>
                      <w:lang w:val="en-US" w:eastAsia="zh-CN"/>
                    </w:rPr>
                    <w:t>7</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NH</w:t>
                  </w:r>
                  <w:r>
                    <w:rPr>
                      <w:rFonts w:hint="default" w:ascii="Times New Roman" w:hAnsi="Times New Roman" w:cs="Times New Roman"/>
                      <w:b w:val="0"/>
                      <w:bCs w:val="0"/>
                      <w:color w:val="auto"/>
                      <w:highlight w:val="none"/>
                      <w:u w:val="none" w:color="auto"/>
                      <w:vertAlign w:val="subscript"/>
                    </w:rPr>
                    <w:t>3</w:t>
                  </w:r>
                  <w:r>
                    <w:rPr>
                      <w:rFonts w:hint="default" w:ascii="Times New Roman" w:hAnsi="Times New Roman" w:cs="Times New Roman"/>
                      <w:b w:val="0"/>
                      <w:bCs w:val="0"/>
                      <w:color w:val="auto"/>
                      <w:highlight w:val="none"/>
                      <w:u w:val="none" w:color="auto"/>
                    </w:rPr>
                    <w:t>-N</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val="0"/>
                      <w:bCs w:val="0"/>
                      <w:color w:val="auto"/>
                      <w:sz w:val="21"/>
                      <w:szCs w:val="21"/>
                      <w:highlight w:val="none"/>
                      <w:vertAlign w:val="baseline"/>
                      <w:lang w:val="en-US" w:eastAsia="zh-CN"/>
                    </w:rPr>
                  </w:pPr>
                  <w:r>
                    <w:rPr>
                      <w:rFonts w:hint="eastAsia" w:eastAsia="宋体"/>
                      <w:b w:val="0"/>
                      <w:bCs w:val="0"/>
                      <w:color w:val="auto"/>
                      <w:sz w:val="21"/>
                      <w:szCs w:val="21"/>
                      <w:highlight w:val="none"/>
                      <w:vertAlign w:val="baseline"/>
                      <w:lang w:val="en-US" w:eastAsia="zh-CN"/>
                    </w:rPr>
                    <w:t>8</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动植物油</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val="0"/>
                      <w:bCs w:val="0"/>
                      <w:color w:val="auto"/>
                      <w:sz w:val="21"/>
                      <w:szCs w:val="21"/>
                      <w:highlight w:val="none"/>
                      <w:vertAlign w:val="baseline"/>
                      <w:lang w:val="en-US" w:eastAsia="zh-CN"/>
                    </w:rPr>
                  </w:pPr>
                  <w:r>
                    <w:rPr>
                      <w:rFonts w:hint="eastAsia" w:eastAsia="宋体"/>
                      <w:b w:val="0"/>
                      <w:bCs w:val="0"/>
                      <w:color w:val="auto"/>
                      <w:sz w:val="21"/>
                      <w:szCs w:val="21"/>
                      <w:highlight w:val="none"/>
                      <w:vertAlign w:val="baseline"/>
                      <w:lang w:val="en-US" w:eastAsia="zh-CN"/>
                    </w:rPr>
                    <w:t>9</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石油类</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val="0"/>
                      <w:bCs w:val="0"/>
                      <w:color w:val="auto"/>
                      <w:sz w:val="21"/>
                      <w:szCs w:val="21"/>
                      <w:highlight w:val="none"/>
                      <w:vertAlign w:val="baseline"/>
                      <w:lang w:val="en-US" w:eastAsia="zh-CN"/>
                    </w:rPr>
                  </w:pPr>
                  <w:r>
                    <w:rPr>
                      <w:rFonts w:hint="eastAsia" w:eastAsia="宋体"/>
                      <w:b w:val="0"/>
                      <w:bCs w:val="0"/>
                      <w:color w:val="auto"/>
                      <w:sz w:val="21"/>
                      <w:szCs w:val="21"/>
                      <w:highlight w:val="none"/>
                      <w:vertAlign w:val="baseline"/>
                      <w:lang w:val="en-US" w:eastAsia="zh-CN"/>
                    </w:rPr>
                    <w:t>10</w:t>
                  </w:r>
                </w:p>
              </w:tc>
              <w:tc>
                <w:tcPr>
                  <w:tcW w:w="30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b w:val="0"/>
                      <w:bCs w:val="0"/>
                      <w:color w:val="auto"/>
                      <w:kern w:val="2"/>
                      <w:sz w:val="21"/>
                      <w:szCs w:val="24"/>
                      <w:highlight w:val="none"/>
                      <w:u w:val="none" w:color="auto"/>
                      <w:lang w:val="en-US" w:eastAsia="zh-CN" w:bidi="ar-SA"/>
                    </w:rPr>
                  </w:pPr>
                  <w:r>
                    <w:rPr>
                      <w:rFonts w:hint="default" w:ascii="Times New Roman" w:hAnsi="Times New Roman" w:cs="Times New Roman"/>
                      <w:b w:val="0"/>
                      <w:bCs w:val="0"/>
                      <w:color w:val="auto"/>
                      <w:highlight w:val="none"/>
                      <w:u w:val="none" w:color="auto"/>
                    </w:rPr>
                    <w:t>阴离子表面活性剂</w:t>
                  </w:r>
                </w:p>
              </w:tc>
              <w:tc>
                <w:tcPr>
                  <w:tcW w:w="110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lang w:val="en-US" w:eastAsia="zh-CN"/>
                    </w:rPr>
                    <w:t>mg/L</w:t>
                  </w:r>
                </w:p>
              </w:tc>
              <w:tc>
                <w:tcPr>
                  <w:tcW w:w="3441" w:type="dxa"/>
                  <w:shd w:val="clear" w:color="auto" w:fill="auto"/>
                  <w:vAlign w:val="center"/>
                </w:tcPr>
                <w:p>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kern w:val="2"/>
                      <w:sz w:val="21"/>
                      <w:szCs w:val="20"/>
                      <w:highlight w:val="none"/>
                      <w:u w:val="none" w:color="auto"/>
                      <w:lang w:val="en-US" w:eastAsia="zh-CN" w:bidi="ar-SA"/>
                    </w:rPr>
                  </w:pPr>
                  <w:r>
                    <w:rPr>
                      <w:rFonts w:hint="default" w:ascii="Times New Roman" w:hAnsi="Times New Roman" w:cs="Times New Roman"/>
                      <w:b w:val="0"/>
                      <w:bCs w:val="0"/>
                      <w:color w:val="auto"/>
                      <w:highlight w:val="none"/>
                      <w:u w:val="none" w:color="auto"/>
                    </w:rPr>
                    <w:t>20</w:t>
                  </w:r>
                </w:p>
              </w:tc>
            </w:tr>
          </w:tbl>
          <w:p>
            <w:pPr>
              <w:spacing w:line="360" w:lineRule="auto"/>
              <w:ind w:firstLine="481" w:firstLineChars="200"/>
              <w:jc w:val="left"/>
              <w:rPr>
                <w:rFonts w:hint="eastAsia" w:ascii="Times New Roman" w:hAnsi="Times New Roman" w:eastAsia="宋体" w:cs="Times New Roman"/>
                <w:b/>
                <w:bCs w:val="0"/>
                <w:color w:val="auto"/>
                <w:sz w:val="24"/>
                <w:lang w:val="en-US" w:eastAsia="zh-CN"/>
              </w:rPr>
            </w:pPr>
            <w:bookmarkStart w:id="60" w:name="_Toc83158291"/>
            <w:bookmarkStart w:id="61" w:name="_Toc83158456"/>
            <w:r>
              <w:rPr>
                <w:rFonts w:hint="eastAsia" w:ascii="Times New Roman" w:hAnsi="Times New Roman" w:eastAsia="宋体" w:cs="Times New Roman"/>
                <w:b/>
                <w:bCs w:val="0"/>
                <w:color w:val="auto"/>
                <w:sz w:val="24"/>
                <w:lang w:val="en-US" w:eastAsia="zh-CN"/>
              </w:rPr>
              <w:t>2.3噪声排放标准</w:t>
            </w:r>
          </w:p>
          <w:p>
            <w:pPr>
              <w:pStyle w:val="157"/>
              <w:snapToGrid/>
              <w:spacing w:line="360" w:lineRule="auto"/>
              <w:ind w:firstLine="480" w:firstLineChars="200"/>
              <w:jc w:val="left"/>
              <w:outlineLvl w:val="1"/>
              <w:rPr>
                <w:rFonts w:hint="eastAsia" w:ascii="Times New Roman" w:hAnsi="Times New Roman" w:eastAsia="宋体"/>
                <w:bCs/>
                <w:color w:val="auto"/>
                <w:sz w:val="24"/>
                <w:lang w:eastAsia="zh-CN"/>
              </w:rPr>
            </w:pPr>
            <w:r>
              <w:rPr>
                <w:rFonts w:ascii="Times New Roman" w:hAnsi="Times New Roman"/>
                <w:bCs/>
                <w:color w:val="auto"/>
                <w:sz w:val="24"/>
              </w:rPr>
              <w:t>施工期</w:t>
            </w:r>
            <w:r>
              <w:rPr>
                <w:rFonts w:hint="eastAsia" w:ascii="Times New Roman" w:hAnsi="Times New Roman"/>
                <w:bCs/>
                <w:color w:val="auto"/>
                <w:sz w:val="24"/>
                <w:lang w:eastAsia="zh-CN"/>
              </w:rPr>
              <w:t>：</w:t>
            </w:r>
            <w:r>
              <w:rPr>
                <w:rFonts w:ascii="Times New Roman" w:hAnsi="Times New Roman"/>
                <w:bCs/>
                <w:color w:val="auto"/>
                <w:sz w:val="24"/>
              </w:rPr>
              <w:t>噪声排放执行《建筑施工场界环境噪声排放标准》（GB12523-2011）</w:t>
            </w:r>
            <w:r>
              <w:rPr>
                <w:rFonts w:hint="eastAsia" w:ascii="Times New Roman" w:hAnsi="Times New Roman"/>
                <w:bCs/>
                <w:color w:val="auto"/>
                <w:sz w:val="24"/>
                <w:lang w:eastAsia="zh-CN"/>
              </w:rPr>
              <w:t>，</w:t>
            </w:r>
            <w:r>
              <w:rPr>
                <w:rFonts w:ascii="Times New Roman" w:hAnsi="Times New Roman"/>
                <w:bCs/>
                <w:color w:val="auto"/>
                <w:sz w:val="24"/>
              </w:rPr>
              <w:t>标准值见下表</w:t>
            </w:r>
            <w:r>
              <w:rPr>
                <w:rFonts w:hint="eastAsia" w:ascii="Times New Roman" w:hAnsi="Times New Roman"/>
                <w:bCs/>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表3-10 建筑施工场界环境噪声排放标准 单位：dB（A）</w:t>
            </w:r>
          </w:p>
          <w:tbl>
            <w:tblPr>
              <w:tblStyle w:val="8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3100"/>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60" w:type="pct"/>
                  <w:noWrap w:val="0"/>
                  <w:vAlign w:val="center"/>
                </w:tcPr>
                <w:p>
                  <w:pPr>
                    <w:jc w:val="center"/>
                    <w:rPr>
                      <w:b/>
                      <w:bCs/>
                      <w:color w:val="auto"/>
                      <w:szCs w:val="21"/>
                    </w:rPr>
                  </w:pPr>
                  <w:r>
                    <w:rPr>
                      <w:rFonts w:hint="eastAsia"/>
                      <w:b/>
                      <w:bCs/>
                      <w:color w:val="auto"/>
                      <w:szCs w:val="21"/>
                      <w:lang w:val="en-US" w:eastAsia="zh-CN"/>
                    </w:rPr>
                    <w:t>时段</w:t>
                  </w:r>
                </w:p>
              </w:tc>
              <w:tc>
                <w:tcPr>
                  <w:tcW w:w="1803" w:type="pct"/>
                  <w:noWrap w:val="0"/>
                  <w:vAlign w:val="center"/>
                </w:tcPr>
                <w:p>
                  <w:pPr>
                    <w:jc w:val="center"/>
                    <w:rPr>
                      <w:b/>
                      <w:bCs/>
                      <w:color w:val="auto"/>
                      <w:szCs w:val="21"/>
                    </w:rPr>
                  </w:pPr>
                  <w:r>
                    <w:rPr>
                      <w:b/>
                      <w:bCs/>
                      <w:color w:val="auto"/>
                      <w:szCs w:val="21"/>
                    </w:rPr>
                    <w:t>昼间</w:t>
                  </w:r>
                </w:p>
              </w:tc>
              <w:tc>
                <w:tcPr>
                  <w:tcW w:w="1736" w:type="pct"/>
                  <w:noWrap w:val="0"/>
                  <w:vAlign w:val="center"/>
                </w:tcPr>
                <w:p>
                  <w:pPr>
                    <w:jc w:val="center"/>
                    <w:rPr>
                      <w:b/>
                      <w:bCs/>
                      <w:color w:val="auto"/>
                      <w:szCs w:val="21"/>
                    </w:rPr>
                  </w:pPr>
                  <w:r>
                    <w:rPr>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60" w:type="pct"/>
                  <w:noWrap w:val="0"/>
                  <w:vAlign w:val="center"/>
                </w:tcPr>
                <w:p>
                  <w:pPr>
                    <w:adjustRightInd w:val="0"/>
                    <w:snapToGrid w:val="0"/>
                    <w:spacing w:line="360" w:lineRule="atLeast"/>
                    <w:jc w:val="center"/>
                    <w:rPr>
                      <w:rFonts w:hint="eastAsia" w:eastAsia="宋体"/>
                      <w:color w:val="auto"/>
                      <w:szCs w:val="21"/>
                      <w:lang w:eastAsia="zh-CN"/>
                    </w:rPr>
                  </w:pPr>
                  <w:r>
                    <w:rPr>
                      <w:rFonts w:hint="eastAsia"/>
                      <w:color w:val="auto"/>
                      <w:lang w:val="en-US" w:eastAsia="zh-CN"/>
                    </w:rPr>
                    <w:t>标准值</w:t>
                  </w:r>
                </w:p>
              </w:tc>
              <w:tc>
                <w:tcPr>
                  <w:tcW w:w="1803" w:type="pct"/>
                  <w:noWrap w:val="0"/>
                  <w:vAlign w:val="center"/>
                </w:tcPr>
                <w:p>
                  <w:pPr>
                    <w:adjustRightInd w:val="0"/>
                    <w:snapToGrid w:val="0"/>
                    <w:spacing w:line="360" w:lineRule="atLeast"/>
                    <w:jc w:val="center"/>
                    <w:rPr>
                      <w:color w:val="auto"/>
                      <w:szCs w:val="21"/>
                    </w:rPr>
                  </w:pPr>
                  <w:r>
                    <w:rPr>
                      <w:color w:val="auto"/>
                    </w:rPr>
                    <w:t>70</w:t>
                  </w:r>
                </w:p>
              </w:tc>
              <w:tc>
                <w:tcPr>
                  <w:tcW w:w="1736" w:type="pct"/>
                  <w:noWrap w:val="0"/>
                  <w:vAlign w:val="center"/>
                </w:tcPr>
                <w:p>
                  <w:pPr>
                    <w:adjustRightInd w:val="0"/>
                    <w:snapToGrid w:val="0"/>
                    <w:spacing w:line="360" w:lineRule="atLeast"/>
                    <w:jc w:val="center"/>
                    <w:rPr>
                      <w:color w:val="auto"/>
                      <w:szCs w:val="21"/>
                    </w:rPr>
                  </w:pPr>
                  <w:r>
                    <w:rPr>
                      <w:color w:val="auto"/>
                    </w:rPr>
                    <w:t>55</w:t>
                  </w:r>
                </w:p>
              </w:tc>
            </w:tr>
          </w:tbl>
          <w:p>
            <w:pPr>
              <w:pStyle w:val="157"/>
              <w:snapToGrid/>
              <w:spacing w:line="360" w:lineRule="auto"/>
              <w:ind w:firstLine="480" w:firstLineChars="200"/>
              <w:jc w:val="left"/>
              <w:outlineLvl w:val="1"/>
              <w:rPr>
                <w:rFonts w:ascii="Times New Roman" w:hAnsi="Times New Roman"/>
                <w:bCs/>
                <w:color w:val="auto"/>
                <w:sz w:val="24"/>
              </w:rPr>
            </w:pPr>
            <w:r>
              <w:rPr>
                <w:rFonts w:ascii="Times New Roman" w:hAnsi="Times New Roman"/>
                <w:bCs/>
                <w:color w:val="auto"/>
                <w:sz w:val="24"/>
              </w:rPr>
              <w:t>营运期</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项目运营期无生产设施设备，因此不设置排放标准。</w:t>
            </w:r>
            <w:bookmarkEnd w:id="60"/>
            <w:bookmarkEnd w:id="61"/>
          </w:p>
          <w:p>
            <w:pPr>
              <w:spacing w:line="360" w:lineRule="auto"/>
              <w:ind w:firstLine="481" w:firstLineChars="200"/>
              <w:jc w:val="left"/>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2.4固体废物控制指标</w:t>
            </w:r>
          </w:p>
          <w:p>
            <w:pPr>
              <w:spacing w:line="360" w:lineRule="auto"/>
              <w:ind w:firstLine="480" w:firstLineChars="200"/>
              <w:rPr>
                <w:rFonts w:hint="eastAsia"/>
                <w:bCs/>
                <w:color w:val="auto"/>
                <w:sz w:val="24"/>
              </w:rPr>
            </w:pPr>
            <w:r>
              <w:rPr>
                <w:rFonts w:hint="eastAsia"/>
                <w:bCs/>
                <w:color w:val="auto"/>
                <w:sz w:val="24"/>
                <w:lang w:val="en-US" w:eastAsia="zh-CN"/>
              </w:rPr>
              <w:t>项目</w:t>
            </w:r>
            <w:r>
              <w:rPr>
                <w:rFonts w:hint="eastAsia"/>
                <w:bCs/>
                <w:color w:val="auto"/>
                <w:sz w:val="24"/>
              </w:rPr>
              <w:t>一般工业固体废物贮存执行</w:t>
            </w:r>
            <w:r>
              <w:rPr>
                <w:rFonts w:hint="eastAsia"/>
                <w:bCs/>
                <w:color w:val="auto"/>
                <w:sz w:val="24"/>
                <w:lang w:eastAsia="zh-CN"/>
              </w:rPr>
              <w:t>《</w:t>
            </w:r>
            <w:r>
              <w:rPr>
                <w:rFonts w:hint="eastAsia"/>
                <w:bCs/>
                <w:color w:val="auto"/>
                <w:sz w:val="24"/>
              </w:rPr>
              <w:t>一般工业固体废物贮存和填埋污染控制标准》（GB 18599-2020）。</w:t>
            </w:r>
          </w:p>
          <w:p>
            <w:pPr>
              <w:spacing w:line="36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56" w:type="dxa"/>
            <w:noWrap w:val="0"/>
            <w:vAlign w:val="center"/>
          </w:tcPr>
          <w:p>
            <w:pPr>
              <w:adjustRightInd w:val="0"/>
              <w:snapToGrid w:val="0"/>
              <w:jc w:val="center"/>
              <w:rPr>
                <w:color w:val="auto"/>
                <w:kern w:val="0"/>
                <w:sz w:val="24"/>
              </w:rPr>
            </w:pPr>
            <w:r>
              <w:rPr>
                <w:color w:val="auto"/>
                <w:kern w:val="0"/>
                <w:sz w:val="24"/>
              </w:rPr>
              <w:t>其他</w:t>
            </w:r>
          </w:p>
        </w:tc>
        <w:tc>
          <w:tcPr>
            <w:tcW w:w="8832" w:type="dxa"/>
            <w:noWrap w:val="0"/>
            <w:vAlign w:val="center"/>
          </w:tcPr>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根据环境保护部《关于印发&lt;建设项目主要污染物排放总量指标审核及管理暂行办法&gt;的通知》</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环发[2014]197 号</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，需对 SO</w:t>
            </w:r>
            <w:r>
              <w:rPr>
                <w:rFonts w:hint="eastAsia" w:ascii="Times New Roman" w:hAnsi="Times New Roman" w:eastAsia="宋体" w:cs="Times New Roman"/>
                <w:bCs/>
                <w:color w:val="auto"/>
                <w:sz w:val="24"/>
                <w:vertAlign w:val="subscript"/>
              </w:rPr>
              <w:t>2</w:t>
            </w:r>
            <w:r>
              <w:rPr>
                <w:rFonts w:hint="eastAsia" w:ascii="Times New Roman" w:hAnsi="Times New Roman" w:eastAsia="宋体" w:cs="Times New Roman"/>
                <w:bCs/>
                <w:color w:val="auto"/>
                <w:sz w:val="24"/>
              </w:rPr>
              <w:t>、NO</w:t>
            </w:r>
            <w:r>
              <w:rPr>
                <w:rFonts w:hint="eastAsia" w:ascii="Times New Roman" w:hAnsi="Times New Roman" w:eastAsia="宋体" w:cs="Times New Roman"/>
                <w:bCs/>
                <w:color w:val="auto"/>
                <w:sz w:val="24"/>
                <w:vertAlign w:val="subscript"/>
              </w:rPr>
              <w:t>x</w:t>
            </w:r>
            <w:r>
              <w:rPr>
                <w:rFonts w:hint="eastAsia" w:ascii="Times New Roman" w:hAnsi="Times New Roman" w:eastAsia="宋体" w:cs="Times New Roman"/>
                <w:bCs/>
                <w:color w:val="auto"/>
                <w:sz w:val="24"/>
              </w:rPr>
              <w:t>、COD、NH</w:t>
            </w:r>
            <w:r>
              <w:rPr>
                <w:rFonts w:hint="eastAsia" w:ascii="Times New Roman" w:hAnsi="Times New Roman" w:eastAsia="宋体" w:cs="Times New Roman"/>
                <w:bCs/>
                <w:color w:val="auto"/>
                <w:sz w:val="24"/>
                <w:vertAlign w:val="subscript"/>
              </w:rPr>
              <w:t>3</w:t>
            </w:r>
            <w:r>
              <w:rPr>
                <w:rFonts w:hint="eastAsia" w:ascii="Times New Roman" w:hAnsi="Times New Roman" w:eastAsia="宋体" w:cs="Times New Roman"/>
                <w:bCs/>
                <w:color w:val="auto"/>
                <w:sz w:val="24"/>
              </w:rPr>
              <w:t>-N 等污染物进行总量控制。</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1、废气</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本项目不涉及废气总量控制指标。</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2、废水</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项目森林公园内产生的生活污水经过化粪池处理达到《污水排入城镇下水道水质标准》（GB/T31962-2015）表1中A级标准后进入市政污水收集管网</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进入嵩明县第一污水处理厂处理</w:t>
            </w:r>
            <w:r>
              <w:rPr>
                <w:rFonts w:hint="eastAsia" w:ascii="Times New Roman" w:hAnsi="Times New Roman" w:eastAsia="宋体" w:cs="Times New Roman"/>
                <w:bCs/>
                <w:color w:val="auto"/>
                <w:sz w:val="24"/>
              </w:rPr>
              <w:t>。因此本项目无需再申请废水总量。</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3、固体废物</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项目产生的固体废物得到合理处置，处置率达100%，故不设总量控制指标。</w:t>
            </w:r>
          </w:p>
          <w:p>
            <w:pPr>
              <w:pStyle w:val="126"/>
              <w:rPr>
                <w:color w:val="auto"/>
              </w:rPr>
            </w:pPr>
          </w:p>
          <w:p>
            <w:pPr>
              <w:pStyle w:val="126"/>
              <w:rPr>
                <w:color w:val="auto"/>
              </w:rPr>
            </w:pPr>
          </w:p>
        </w:tc>
      </w:tr>
    </w:tbl>
    <w:p>
      <w:pPr>
        <w:pStyle w:val="82"/>
        <w:keepNext w:val="0"/>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黑体"/>
          <w:snapToGrid w:val="0"/>
          <w:color w:val="auto"/>
          <w:sz w:val="30"/>
          <w:szCs w:val="30"/>
        </w:rPr>
      </w:pPr>
      <w:bookmarkStart w:id="62" w:name="_Toc83158292"/>
      <w:bookmarkStart w:id="63" w:name="_Toc83158457"/>
      <w:r>
        <w:rPr>
          <w:rFonts w:hint="eastAsia" w:ascii="黑体" w:hAnsi="黑体" w:eastAsia="黑体" w:cs="黑体"/>
          <w:snapToGrid w:val="0"/>
          <w:color w:val="auto"/>
          <w:sz w:val="30"/>
          <w:szCs w:val="30"/>
        </w:rPr>
        <w:t>四、生态环境影响分析</w:t>
      </w:r>
      <w:bookmarkEnd w:id="62"/>
      <w:bookmarkEnd w:id="63"/>
    </w:p>
    <w:tbl>
      <w:tblPr>
        <w:tblStyle w:val="89"/>
        <w:tblW w:w="93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56" w:type="dxa"/>
            <w:noWrap w:val="0"/>
            <w:tcMar>
              <w:left w:w="28" w:type="dxa"/>
              <w:right w:w="28" w:type="dxa"/>
            </w:tcMar>
            <w:vAlign w:val="center"/>
          </w:tcPr>
          <w:p>
            <w:pPr>
              <w:pStyle w:val="82"/>
              <w:adjustRightInd w:val="0"/>
              <w:snapToGrid w:val="0"/>
              <w:spacing w:before="0" w:beforeAutospacing="0" w:after="0" w:afterAutospacing="0"/>
              <w:jc w:val="center"/>
              <w:rPr>
                <w:rFonts w:ascii="Times New Roman" w:hAnsi="Times New Roman"/>
                <w:bCs/>
                <w:color w:val="auto"/>
                <w:kern w:val="2"/>
                <w:sz w:val="21"/>
                <w:szCs w:val="21"/>
                <w:lang w:val="en-US" w:eastAsia="zh-CN"/>
              </w:rPr>
            </w:pPr>
            <w:bookmarkStart w:id="64" w:name="_Hlk49796138"/>
            <w:r>
              <w:rPr>
                <w:rFonts w:ascii="Times New Roman" w:hAnsi="Times New Roman"/>
                <w:bCs/>
                <w:color w:val="auto"/>
                <w:spacing w:val="10"/>
                <w:kern w:val="2"/>
                <w:szCs w:val="24"/>
                <w:lang w:val="en-US" w:eastAsia="zh-CN"/>
              </w:rPr>
              <w:t>施工期生态环境影响分析</w:t>
            </w:r>
            <w:bookmarkEnd w:id="64"/>
          </w:p>
        </w:tc>
        <w:tc>
          <w:tcPr>
            <w:tcW w:w="8910" w:type="dxa"/>
            <w:noWrap w:val="0"/>
            <w:vAlign w:val="top"/>
          </w:tcPr>
          <w:p>
            <w:pPr>
              <w:pStyle w:val="126"/>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both"/>
              <w:textAlignment w:val="auto"/>
              <w:rPr>
                <w:rFonts w:hint="default" w:ascii="Times New Roman" w:hAnsi="Times New Roman" w:eastAsia="宋体" w:cs="Times New Roman"/>
                <w:b/>
                <w:color w:val="auto"/>
                <w:sz w:val="28"/>
                <w:szCs w:val="28"/>
                <w:lang w:val="en-US" w:eastAsia="zh-CN"/>
              </w:rPr>
            </w:pPr>
            <w:bookmarkStart w:id="65" w:name="_Toc83158293"/>
            <w:bookmarkStart w:id="66" w:name="_Toc83158458"/>
            <w:r>
              <w:rPr>
                <w:rFonts w:hint="eastAsia" w:ascii="Times New Roman" w:hAnsi="Times New Roman" w:eastAsia="宋体" w:cs="Times New Roman"/>
                <w:b/>
                <w:color w:val="auto"/>
                <w:sz w:val="28"/>
                <w:szCs w:val="28"/>
                <w:lang w:val="en-US" w:eastAsia="zh-CN"/>
              </w:rPr>
              <w:t>1、</w:t>
            </w:r>
            <w:r>
              <w:rPr>
                <w:rFonts w:hint="default" w:ascii="Times New Roman" w:hAnsi="Times New Roman" w:eastAsia="宋体" w:cs="Times New Roman"/>
                <w:b/>
                <w:color w:val="auto"/>
                <w:sz w:val="28"/>
                <w:szCs w:val="28"/>
              </w:rPr>
              <w:t>施工期</w:t>
            </w:r>
            <w:r>
              <w:rPr>
                <w:rFonts w:hint="default" w:ascii="Times New Roman" w:hAnsi="Times New Roman" w:eastAsia="宋体" w:cs="Times New Roman"/>
                <w:b/>
                <w:color w:val="auto"/>
                <w:sz w:val="28"/>
                <w:szCs w:val="28"/>
                <w:lang w:val="en-US" w:eastAsia="zh-CN"/>
              </w:rPr>
              <w:t>工艺流程简述及</w:t>
            </w:r>
            <w:r>
              <w:rPr>
                <w:rFonts w:hint="default" w:ascii="Times New Roman" w:hAnsi="Times New Roman" w:eastAsia="宋体" w:cs="Times New Roman"/>
                <w:b/>
                <w:color w:val="auto"/>
                <w:sz w:val="28"/>
                <w:szCs w:val="28"/>
              </w:rPr>
              <w:t>产污</w:t>
            </w:r>
            <w:r>
              <w:rPr>
                <w:rFonts w:hint="default" w:ascii="Times New Roman" w:hAnsi="Times New Roman" w:eastAsia="宋体" w:cs="Times New Roman"/>
                <w:b/>
                <w:color w:val="auto"/>
                <w:sz w:val="28"/>
                <w:szCs w:val="28"/>
                <w:lang w:val="en-US" w:eastAsia="zh-CN"/>
              </w:rPr>
              <w:t>节点</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本项目的施工开挖</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建筑物建设、装修</w:t>
            </w:r>
            <w:r>
              <w:rPr>
                <w:rFonts w:hint="default" w:ascii="Times New Roman" w:hAnsi="Times New Roman" w:eastAsia="宋体" w:cs="Times New Roman"/>
                <w:color w:val="auto"/>
                <w:sz w:val="24"/>
              </w:rPr>
              <w:t>。</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施工期主要污染源有：施工期机械噪声、扬尘、运输及动力设备运行产生的燃油废气、固体废物；</w:t>
            </w:r>
            <w:r>
              <w:rPr>
                <w:rFonts w:hint="eastAsia" w:ascii="Times New Roman" w:hAnsi="Times New Roman" w:eastAsia="宋体" w:cs="Times New Roman"/>
                <w:color w:val="auto"/>
                <w:sz w:val="24"/>
                <w:lang w:val="en-US" w:eastAsia="zh-CN"/>
              </w:rPr>
              <w:t>施工作业对评价区生态环境破坏可能导致的水土流失和植被破坏；</w:t>
            </w:r>
            <w:r>
              <w:rPr>
                <w:rFonts w:hint="default" w:ascii="Times New Roman" w:hAnsi="Times New Roman" w:eastAsia="宋体" w:cs="Times New Roman"/>
                <w:color w:val="auto"/>
                <w:sz w:val="24"/>
              </w:rPr>
              <w:t>施工人员生活废水、生活垃圾，项目施工流程及各阶段产污环节见。</w:t>
            </w:r>
          </w:p>
          <w:p>
            <w:pPr>
              <w:pStyle w:val="126"/>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both"/>
              <w:textAlignment w:val="auto"/>
              <w:rPr>
                <w:rFonts w:hint="default"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val="en-US" w:eastAsia="zh-CN"/>
              </w:rPr>
              <w:t>2、施工期污染影响因素</w:t>
            </w:r>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项目施工期的污染影响因素如下表所示。</w:t>
            </w:r>
          </w:p>
          <w:p>
            <w:pPr>
              <w:pStyle w:val="65"/>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rPr>
            </w:pPr>
            <w:r>
              <w:rPr>
                <w:rFonts w:hint="eastAsia"/>
                <w:color w:val="auto"/>
                <w:sz w:val="21"/>
                <w:szCs w:val="21"/>
              </w:rPr>
              <w:t>表</w:t>
            </w:r>
            <w:r>
              <w:rPr>
                <w:rFonts w:hint="eastAsia"/>
                <w:color w:val="auto"/>
                <w:sz w:val="21"/>
                <w:szCs w:val="21"/>
                <w:lang w:val="en-US" w:eastAsia="zh-CN"/>
              </w:rPr>
              <w:t>4.1.2</w:t>
            </w:r>
            <w:r>
              <w:rPr>
                <w:color w:val="auto"/>
                <w:sz w:val="21"/>
                <w:szCs w:val="21"/>
              </w:rPr>
              <w:t>-1</w:t>
            </w:r>
            <w:r>
              <w:rPr>
                <w:rFonts w:hint="eastAsia"/>
                <w:color w:val="auto"/>
                <w:sz w:val="21"/>
                <w:szCs w:val="21"/>
                <w:lang w:val="en-US" w:eastAsia="zh-CN"/>
              </w:rPr>
              <w:t xml:space="preserve"> </w:t>
            </w:r>
            <w:r>
              <w:rPr>
                <w:rFonts w:hint="eastAsia"/>
                <w:color w:val="auto"/>
                <w:sz w:val="21"/>
                <w:szCs w:val="21"/>
              </w:rPr>
              <w:t>施工期污染影响因素一览表</w:t>
            </w:r>
          </w:p>
          <w:tbl>
            <w:tblPr>
              <w:tblStyle w:val="8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3123"/>
              <w:gridCol w:w="2899"/>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color w:val="auto"/>
                      <w:sz w:val="21"/>
                      <w:szCs w:val="21"/>
                      <w:lang w:val="de-DE"/>
                    </w:rPr>
                  </w:pPr>
                  <w:r>
                    <w:rPr>
                      <w:rFonts w:hint="default" w:ascii="Times New Roman" w:hAnsi="Times New Roman" w:eastAsia="宋体" w:cs="Times New Roman"/>
                      <w:b/>
                      <w:color w:val="auto"/>
                      <w:sz w:val="21"/>
                      <w:szCs w:val="21"/>
                      <w:lang w:val="de-DE"/>
                    </w:rPr>
                    <w:t>类别</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color w:val="auto"/>
                      <w:sz w:val="21"/>
                      <w:szCs w:val="21"/>
                      <w:lang w:val="de-DE"/>
                    </w:rPr>
                  </w:pPr>
                  <w:r>
                    <w:rPr>
                      <w:rFonts w:hint="default" w:ascii="Times New Roman" w:hAnsi="Times New Roman" w:eastAsia="宋体" w:cs="Times New Roman"/>
                      <w:b/>
                      <w:color w:val="auto"/>
                      <w:sz w:val="21"/>
                      <w:szCs w:val="21"/>
                      <w:lang w:val="de-DE"/>
                    </w:rPr>
                    <w:t>污染源</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color w:val="auto"/>
                      <w:sz w:val="21"/>
                      <w:szCs w:val="21"/>
                      <w:lang w:val="de-DE"/>
                    </w:rPr>
                  </w:pPr>
                  <w:r>
                    <w:rPr>
                      <w:rFonts w:hint="default" w:ascii="Times New Roman" w:hAnsi="Times New Roman" w:eastAsia="宋体" w:cs="Times New Roman"/>
                      <w:b/>
                      <w:color w:val="auto"/>
                      <w:sz w:val="21"/>
                      <w:szCs w:val="21"/>
                      <w:lang w:val="de-DE"/>
                    </w:rPr>
                    <w:t>污染物</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color w:val="auto"/>
                      <w:sz w:val="21"/>
                      <w:szCs w:val="21"/>
                      <w:lang w:val="de-DE"/>
                    </w:rPr>
                  </w:pPr>
                  <w:r>
                    <w:rPr>
                      <w:rFonts w:hint="default" w:ascii="Times New Roman" w:hAnsi="Times New Roman" w:eastAsia="宋体" w:cs="Times New Roman"/>
                      <w:b/>
                      <w:color w:val="auto"/>
                      <w:sz w:val="21"/>
                      <w:szCs w:val="21"/>
                      <w:lang w:val="de-DE"/>
                    </w:rPr>
                    <w:t>产生特性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废气</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施工扬尘、交通</w:t>
                  </w:r>
                  <w:r>
                    <w:rPr>
                      <w:rFonts w:hint="eastAsia" w:ascii="Times New Roman" w:hAnsi="Times New Roman" w:eastAsia="宋体" w:cs="Times New Roman"/>
                      <w:color w:val="auto"/>
                      <w:sz w:val="21"/>
                      <w:szCs w:val="21"/>
                      <w:lang w:val="en-US" w:eastAsia="zh-CN"/>
                    </w:rPr>
                    <w:t>运输</w:t>
                  </w:r>
                  <w:r>
                    <w:rPr>
                      <w:rFonts w:hint="default" w:ascii="Times New Roman" w:hAnsi="Times New Roman" w:eastAsia="宋体" w:cs="Times New Roman"/>
                      <w:color w:val="auto"/>
                      <w:sz w:val="21"/>
                      <w:szCs w:val="21"/>
                      <w:lang w:val="de-DE"/>
                    </w:rPr>
                    <w:t>扬尘</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rPr>
                    <w:t>扬尘（</w:t>
                  </w:r>
                  <w:r>
                    <w:rPr>
                      <w:rFonts w:hint="default" w:ascii="Times New Roman" w:hAnsi="Times New Roman" w:eastAsia="宋体" w:cs="Times New Roman"/>
                      <w:color w:val="auto"/>
                      <w:sz w:val="21"/>
                      <w:szCs w:val="21"/>
                      <w:lang w:val="de-DE"/>
                    </w:rPr>
                    <w:t>TSP</w:t>
                  </w:r>
                  <w:r>
                    <w:rPr>
                      <w:rFonts w:hint="default" w:ascii="Times New Roman" w:hAnsi="Times New Roman" w:eastAsia="宋体" w:cs="Times New Roman"/>
                      <w:color w:val="auto"/>
                      <w:sz w:val="21"/>
                      <w:szCs w:val="21"/>
                    </w:rPr>
                    <w:t>）</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sz w:val="21"/>
                      <w:szCs w:val="21"/>
                      <w:lang w:val="de-DE"/>
                    </w:rPr>
                  </w:pP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施工机械和车辆</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x</w:t>
                  </w:r>
                  <w:r>
                    <w:rPr>
                      <w:rFonts w:hint="default" w:ascii="Times New Roman" w:hAnsi="Times New Roman" w:eastAsia="宋体" w:cs="Times New Roman"/>
                      <w:bCs/>
                      <w:color w:val="auto"/>
                      <w:sz w:val="21"/>
                      <w:szCs w:val="21"/>
                    </w:rPr>
                    <w:t>、CO及CH</w:t>
                  </w:r>
                  <w:r>
                    <w:rPr>
                      <w:rFonts w:hint="default" w:ascii="Times New Roman" w:hAnsi="Times New Roman" w:eastAsia="宋体" w:cs="Times New Roman"/>
                      <w:bCs/>
                      <w:color w:val="auto"/>
                      <w:sz w:val="21"/>
                      <w:szCs w:val="21"/>
                      <w:vertAlign w:val="subscript"/>
                    </w:rPr>
                    <w:t>x</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w w:val="95"/>
                      <w:sz w:val="21"/>
                      <w:szCs w:val="21"/>
                    </w:rPr>
                  </w:pPr>
                  <w:r>
                    <w:rPr>
                      <w:rFonts w:hint="default" w:ascii="Times New Roman" w:hAnsi="Times New Roman" w:eastAsia="宋体" w:cs="Times New Roman"/>
                      <w:color w:val="auto"/>
                      <w:sz w:val="21"/>
                      <w:szCs w:val="21"/>
                      <w:lang w:val="de-DE"/>
                    </w:rPr>
                    <w:t>间歇，无组织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废水</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rPr>
                    <w:t>施工废水</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SS、石油类</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4"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sz w:val="21"/>
                      <w:szCs w:val="21"/>
                      <w:lang w:val="de-DE"/>
                    </w:rPr>
                  </w:pP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rPr>
                    <w:t>生活污水</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COD</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de-DE"/>
                    </w:rPr>
                    <w:t>BOD</w:t>
                  </w:r>
                  <w:r>
                    <w:rPr>
                      <w:rFonts w:hint="default" w:ascii="Times New Roman" w:hAnsi="Times New Roman" w:eastAsia="宋体" w:cs="Times New Roman"/>
                      <w:color w:val="auto"/>
                      <w:sz w:val="21"/>
                      <w:szCs w:val="21"/>
                      <w:vertAlign w:val="subscript"/>
                      <w:lang w:val="de-DE"/>
                    </w:rPr>
                    <w:t>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de-DE"/>
                    </w:rPr>
                    <w:t>SS</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de-DE"/>
                    </w:rPr>
                    <w:t>NH</w:t>
                  </w:r>
                  <w:r>
                    <w:rPr>
                      <w:rFonts w:hint="default" w:ascii="Times New Roman" w:hAnsi="Times New Roman" w:eastAsia="宋体" w:cs="Times New Roman"/>
                      <w:color w:val="auto"/>
                      <w:sz w:val="21"/>
                      <w:szCs w:val="21"/>
                      <w:vertAlign w:val="subscript"/>
                      <w:lang w:val="de-DE"/>
                    </w:rPr>
                    <w:t>3</w:t>
                  </w:r>
                  <w:r>
                    <w:rPr>
                      <w:rFonts w:hint="default" w:ascii="Times New Roman" w:hAnsi="Times New Roman" w:eastAsia="宋体" w:cs="Times New Roman"/>
                      <w:color w:val="auto"/>
                      <w:sz w:val="21"/>
                      <w:szCs w:val="21"/>
                      <w:lang w:val="de-DE"/>
                    </w:rPr>
                    <w:t>-N等</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4"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sz w:val="21"/>
                      <w:szCs w:val="21"/>
                      <w:lang w:val="de-DE"/>
                    </w:rPr>
                  </w:pP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雨季地表径流</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SS</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固废</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场地平整及开挖</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土石方</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sz w:val="21"/>
                      <w:szCs w:val="21"/>
                      <w:lang w:val="de-DE"/>
                    </w:rPr>
                  </w:pP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施工人员</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生活垃圾</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sz w:val="21"/>
                      <w:szCs w:val="21"/>
                      <w:lang w:val="de-DE"/>
                    </w:rPr>
                  </w:pP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土建</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建筑垃圾</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噪声</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bCs/>
                      <w:color w:val="auto"/>
                      <w:sz w:val="21"/>
                      <w:szCs w:val="21"/>
                    </w:rPr>
                    <w:t>施工机械及车辆</w:t>
                  </w:r>
                </w:p>
              </w:tc>
              <w:tc>
                <w:tcPr>
                  <w:tcW w:w="28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噪声</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de-DE"/>
                    </w:rPr>
                  </w:pPr>
                  <w:r>
                    <w:rPr>
                      <w:rFonts w:hint="default" w:ascii="Times New Roman" w:hAnsi="Times New Roman" w:eastAsia="宋体" w:cs="Times New Roman"/>
                      <w:color w:val="auto"/>
                      <w:sz w:val="21"/>
                      <w:szCs w:val="21"/>
                      <w:lang w:val="de-DE"/>
                    </w:rPr>
                    <w:t>间歇</w:t>
                  </w:r>
                </w:p>
              </w:tc>
            </w:tr>
          </w:tbl>
          <w:p>
            <w:pPr>
              <w:pStyle w:val="126"/>
              <w:keepNext w:val="0"/>
              <w:keepLines w:val="0"/>
              <w:pageBreakBefore w:val="0"/>
              <w:widowControl w:val="0"/>
              <w:kinsoku/>
              <w:wordWrap/>
              <w:overflowPunct/>
              <w:topLinePunct w:val="0"/>
              <w:autoSpaceDE w:val="0"/>
              <w:autoSpaceDN w:val="0"/>
              <w:bidi w:val="0"/>
              <w:adjustRightInd w:val="0"/>
              <w:snapToGrid/>
              <w:spacing w:line="360" w:lineRule="auto"/>
              <w:ind w:firstLine="481"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4.1.2.1 施工期生态环境影响因素</w:t>
            </w:r>
          </w:p>
          <w:p>
            <w:pPr>
              <w:autoSpaceDE w:val="0"/>
              <w:autoSpaceDN w:val="0"/>
              <w:adjustRightInd w:val="0"/>
              <w:spacing w:line="360" w:lineRule="auto"/>
              <w:ind w:firstLine="480" w:firstLineChars="200"/>
              <w:jc w:val="left"/>
              <w:rPr>
                <w:color w:val="auto"/>
                <w:kern w:val="0"/>
                <w:sz w:val="24"/>
              </w:rPr>
            </w:pPr>
            <w:r>
              <w:rPr>
                <w:color w:val="auto"/>
                <w:kern w:val="0"/>
                <w:sz w:val="24"/>
              </w:rPr>
              <w:t>根据本工程的特点、施工工艺，分析工程施工阶段对项目周围的生态影响因素。项目施工期生态环境影响因素见下表。</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color w:val="auto"/>
                <w:kern w:val="0"/>
                <w:sz w:val="24"/>
              </w:rPr>
            </w:pPr>
            <w:r>
              <w:rPr>
                <w:rFonts w:hint="eastAsia"/>
                <w:b/>
                <w:color w:val="auto"/>
                <w:kern w:val="0"/>
                <w:sz w:val="24"/>
                <w:lang w:val="en-US" w:eastAsia="zh-CN"/>
              </w:rPr>
              <w:t xml:space="preserve"> </w:t>
            </w:r>
            <w:r>
              <w:rPr>
                <w:rFonts w:hint="eastAsia" w:ascii="Times New Roman" w:hAnsi="Times New Roman" w:eastAsia="宋体" w:cs="Times New Roman"/>
                <w:b/>
                <w:bCs/>
                <w:color w:val="auto"/>
                <w:kern w:val="28"/>
                <w:sz w:val="21"/>
                <w:szCs w:val="21"/>
                <w:lang w:val="en-US" w:eastAsia="zh-CN" w:bidi="ar-SA"/>
              </w:rPr>
              <w:t>表4.1.2-2 项目施工期生态环境影响因素</w:t>
            </w:r>
          </w:p>
          <w:tbl>
            <w:tblPr>
              <w:tblStyle w:val="89"/>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4412"/>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0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b/>
                      <w:color w:val="auto"/>
                      <w:kern w:val="0"/>
                      <w:sz w:val="21"/>
                      <w:szCs w:val="21"/>
                    </w:rPr>
                  </w:pPr>
                  <w:r>
                    <w:rPr>
                      <w:rFonts w:hint="eastAsia"/>
                      <w:b/>
                      <w:color w:val="auto"/>
                      <w:kern w:val="0"/>
                      <w:sz w:val="21"/>
                      <w:szCs w:val="21"/>
                    </w:rPr>
                    <w:t>工程建设活动</w:t>
                  </w:r>
                </w:p>
              </w:tc>
              <w:tc>
                <w:tcPr>
                  <w:tcW w:w="441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b/>
                      <w:color w:val="auto"/>
                      <w:kern w:val="0"/>
                      <w:sz w:val="21"/>
                      <w:szCs w:val="21"/>
                    </w:rPr>
                  </w:pPr>
                  <w:r>
                    <w:rPr>
                      <w:rFonts w:hint="eastAsia"/>
                      <w:b/>
                      <w:color w:val="auto"/>
                      <w:kern w:val="0"/>
                      <w:sz w:val="21"/>
                      <w:szCs w:val="21"/>
                    </w:rPr>
                    <w:t>生态影响因素</w:t>
                  </w:r>
                </w:p>
              </w:tc>
              <w:tc>
                <w:tcPr>
                  <w:tcW w:w="2259"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b/>
                      <w:color w:val="auto"/>
                      <w:kern w:val="0"/>
                      <w:sz w:val="21"/>
                      <w:szCs w:val="21"/>
                    </w:rPr>
                  </w:pPr>
                  <w:r>
                    <w:rPr>
                      <w:rFonts w:hint="eastAsia"/>
                      <w:b/>
                      <w:color w:val="auto"/>
                      <w:kern w:val="0"/>
                      <w:sz w:val="21"/>
                      <w:szCs w:val="21"/>
                    </w:rPr>
                    <w:t>影响因子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0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r>
                    <w:rPr>
                      <w:rFonts w:hint="eastAsia"/>
                      <w:color w:val="auto"/>
                      <w:kern w:val="0"/>
                      <w:sz w:val="21"/>
                      <w:szCs w:val="21"/>
                    </w:rPr>
                    <w:t>土建及土石方工程</w:t>
                  </w:r>
                </w:p>
              </w:tc>
              <w:tc>
                <w:tcPr>
                  <w:tcW w:w="441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r>
                    <w:rPr>
                      <w:rFonts w:hint="eastAsia"/>
                      <w:color w:val="auto"/>
                      <w:kern w:val="0"/>
                      <w:sz w:val="21"/>
                      <w:szCs w:val="21"/>
                    </w:rPr>
                    <w:t>永久占用土地、改变土地利用现状功能；破坏地表植被、水土流失</w:t>
                  </w:r>
                </w:p>
              </w:tc>
              <w:tc>
                <w:tcPr>
                  <w:tcW w:w="2259"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r>
                    <w:rPr>
                      <w:rFonts w:hint="eastAsia"/>
                      <w:color w:val="auto"/>
                      <w:kern w:val="0"/>
                      <w:sz w:val="21"/>
                      <w:szCs w:val="21"/>
                    </w:rPr>
                    <w:t>植被、植物、土地利用、动物、水土流失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0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r>
                    <w:rPr>
                      <w:rFonts w:hint="eastAsia"/>
                      <w:color w:val="auto"/>
                      <w:kern w:val="0"/>
                      <w:sz w:val="21"/>
                      <w:szCs w:val="21"/>
                    </w:rPr>
                    <w:t>施工机械及施工车辆运输</w:t>
                  </w:r>
                </w:p>
              </w:tc>
              <w:tc>
                <w:tcPr>
                  <w:tcW w:w="441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r>
                    <w:rPr>
                      <w:rFonts w:hint="eastAsia"/>
                      <w:color w:val="auto"/>
                      <w:kern w:val="0"/>
                      <w:sz w:val="21"/>
                      <w:szCs w:val="21"/>
                    </w:rPr>
                    <w:t>对周围动物活动及栖息造成影响</w:t>
                  </w:r>
                </w:p>
              </w:tc>
              <w:tc>
                <w:tcPr>
                  <w:tcW w:w="2259"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r>
                    <w:rPr>
                      <w:rFonts w:hint="eastAsia"/>
                      <w:color w:val="auto"/>
                      <w:kern w:val="0"/>
                      <w:sz w:val="21"/>
                      <w:szCs w:val="21"/>
                    </w:rPr>
                    <w:t>施工临时占地</w:t>
                  </w:r>
                </w:p>
              </w:tc>
              <w:tc>
                <w:tcPr>
                  <w:tcW w:w="4412" w:type="dxa"/>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r>
                    <w:rPr>
                      <w:rFonts w:hint="eastAsia"/>
                      <w:color w:val="auto"/>
                      <w:kern w:val="0"/>
                      <w:sz w:val="21"/>
                      <w:szCs w:val="21"/>
                    </w:rPr>
                    <w:t>临时占用部分土地，改变土地利用功能；破坏地表植被、水土流失</w:t>
                  </w:r>
                </w:p>
              </w:tc>
              <w:tc>
                <w:tcPr>
                  <w:tcW w:w="2259"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rPr>
                  </w:pPr>
                </w:p>
              </w:tc>
            </w:tr>
          </w:tbl>
          <w:p>
            <w:pPr>
              <w:pStyle w:val="126"/>
              <w:keepNext w:val="0"/>
              <w:keepLines w:val="0"/>
              <w:pageBreakBefore w:val="0"/>
              <w:widowControl w:val="0"/>
              <w:kinsoku/>
              <w:wordWrap/>
              <w:overflowPunct/>
              <w:topLinePunct w:val="0"/>
              <w:autoSpaceDE w:val="0"/>
              <w:autoSpaceDN w:val="0"/>
              <w:bidi w:val="0"/>
              <w:adjustRightInd w:val="0"/>
              <w:snapToGrid/>
              <w:spacing w:line="360" w:lineRule="auto"/>
              <w:ind w:firstLine="481"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（1）对土地利用的影响分析</w:t>
            </w:r>
          </w:p>
          <w:p>
            <w:pPr>
              <w:adjustRightInd w:val="0"/>
              <w:snapToGrid w:val="0"/>
              <w:spacing w:line="360" w:lineRule="auto"/>
              <w:ind w:firstLine="480" w:firstLineChars="200"/>
              <w:rPr>
                <w:rFonts w:hint="eastAsia"/>
                <w:color w:val="auto"/>
                <w:kern w:val="0"/>
                <w:sz w:val="24"/>
              </w:rPr>
            </w:pPr>
            <w:r>
              <w:rPr>
                <w:rFonts w:hint="eastAsia"/>
                <w:color w:val="auto"/>
                <w:kern w:val="0"/>
                <w:sz w:val="24"/>
              </w:rPr>
              <w:t>工程施工占地改变了原有土地利用的性质和功能。永久占地部分永久性的改变了土地性质，是无法恢复的；临时占地在施工结束后可通过恢复植被和土地复垦等措施使其原来土地的性质和功能得到一定程度的恢复。本工程施工占地占用灌木林地和草地，这将使其原有生态功能丧失，对当地生态环境造成一定不利影响。</w:t>
            </w:r>
          </w:p>
          <w:p>
            <w:pPr>
              <w:adjustRightInd w:val="0"/>
              <w:snapToGrid w:val="0"/>
              <w:spacing w:line="360" w:lineRule="auto"/>
              <w:ind w:firstLine="480" w:firstLineChars="200"/>
              <w:rPr>
                <w:rFonts w:hint="eastAsia"/>
                <w:color w:val="auto"/>
                <w:kern w:val="0"/>
                <w:sz w:val="24"/>
              </w:rPr>
            </w:pPr>
            <w:r>
              <w:rPr>
                <w:rFonts w:hint="eastAsia"/>
                <w:color w:val="auto"/>
                <w:kern w:val="0"/>
                <w:sz w:val="24"/>
              </w:rPr>
              <w:t>由于施工永久占地面积不大</w:t>
            </w:r>
            <w:r>
              <w:rPr>
                <w:rFonts w:hint="eastAsia"/>
                <w:color w:val="auto"/>
                <w:kern w:val="0"/>
                <w:sz w:val="24"/>
                <w:lang w:eastAsia="zh-CN"/>
              </w:rPr>
              <w:t>，</w:t>
            </w:r>
            <w:r>
              <w:rPr>
                <w:rFonts w:hint="eastAsia"/>
                <w:color w:val="auto"/>
                <w:kern w:val="0"/>
                <w:sz w:val="24"/>
              </w:rPr>
              <w:t>为减少项目建设占地对土地利用的不利影响，建设单位在征地过程中应办理相关土地和林地交纳政府规定的林地补偿费。施工结束后应尽快采取措施恢复工程施工期间临时占用的</w:t>
            </w:r>
            <w:r>
              <w:rPr>
                <w:rFonts w:hint="eastAsia"/>
                <w:color w:val="auto"/>
                <w:kern w:val="0"/>
                <w:sz w:val="24"/>
                <w:lang w:val="en-US" w:eastAsia="zh-CN"/>
              </w:rPr>
              <w:t>临时用地</w:t>
            </w:r>
            <w:r>
              <w:rPr>
                <w:rFonts w:hint="eastAsia"/>
                <w:color w:val="auto"/>
                <w:kern w:val="0"/>
                <w:sz w:val="24"/>
              </w:rPr>
              <w:t>，将对土地利用的不利影响降到最低限度。</w:t>
            </w:r>
          </w:p>
          <w:p>
            <w:pPr>
              <w:adjustRightInd w:val="0"/>
              <w:snapToGrid w:val="0"/>
              <w:spacing w:line="360" w:lineRule="auto"/>
              <w:ind w:firstLine="480" w:firstLineChars="200"/>
              <w:rPr>
                <w:rFonts w:hint="eastAsia" w:cs="宋体"/>
                <w:color w:val="auto"/>
                <w:sz w:val="24"/>
                <w:szCs w:val="20"/>
              </w:rPr>
            </w:pPr>
            <w:r>
              <w:rPr>
                <w:rFonts w:hint="eastAsia"/>
                <w:color w:val="auto"/>
                <w:kern w:val="0"/>
                <w:sz w:val="24"/>
              </w:rPr>
              <w:t>而且项目服务期满使用结束后将进行恢复、交还，恢复至原有土地性质。对土地利用的影响将进一步减小，随着使用权流转结束而消失</w:t>
            </w:r>
            <w:r>
              <w:rPr>
                <w:rFonts w:hint="eastAsia"/>
                <w:color w:val="auto"/>
                <w:kern w:val="28"/>
                <w:sz w:val="24"/>
              </w:rPr>
              <w:t>。</w:t>
            </w:r>
          </w:p>
          <w:p>
            <w:pPr>
              <w:pStyle w:val="126"/>
              <w:snapToGrid w:val="0"/>
              <w:spacing w:line="360" w:lineRule="auto"/>
              <w:ind w:firstLine="481" w:firstLineChars="200"/>
              <w:jc w:val="both"/>
              <w:rPr>
                <w:rFonts w:cs="宋体"/>
                <w:b/>
                <w:bCs/>
                <w:color w:val="auto"/>
              </w:rPr>
            </w:pPr>
            <w:r>
              <w:rPr>
                <w:rFonts w:hint="eastAsia" w:cs="宋体"/>
                <w:b/>
                <w:bCs/>
                <w:color w:val="auto"/>
                <w:lang w:eastAsia="zh-CN"/>
              </w:rPr>
              <w:t>（</w:t>
            </w:r>
            <w:r>
              <w:rPr>
                <w:rFonts w:hint="eastAsia" w:cs="宋体"/>
                <w:b/>
                <w:bCs/>
                <w:color w:val="auto"/>
                <w:lang w:val="en-US" w:eastAsia="zh-CN"/>
              </w:rPr>
              <w:t>2</w:t>
            </w:r>
            <w:r>
              <w:rPr>
                <w:rFonts w:hint="eastAsia" w:cs="宋体"/>
                <w:b/>
                <w:bCs/>
                <w:color w:val="auto"/>
                <w:lang w:eastAsia="zh-CN"/>
              </w:rPr>
              <w:t>）</w:t>
            </w:r>
            <w:r>
              <w:rPr>
                <w:rFonts w:hint="eastAsia" w:cs="宋体"/>
                <w:b/>
                <w:bCs/>
                <w:color w:val="auto"/>
              </w:rPr>
              <w:t>对植被及植物的影响分析</w:t>
            </w:r>
          </w:p>
          <w:p>
            <w:pPr>
              <w:spacing w:line="360" w:lineRule="auto"/>
              <w:ind w:firstLine="482"/>
              <w:rPr>
                <w:rFonts w:hint="eastAsia" w:hAnsi="宋体"/>
                <w:color w:val="auto"/>
                <w:sz w:val="24"/>
              </w:rPr>
            </w:pPr>
            <w:r>
              <w:rPr>
                <w:rFonts w:hint="eastAsia" w:hAnsi="宋体"/>
                <w:color w:val="auto"/>
                <w:sz w:val="24"/>
                <w:lang w:val="en-US" w:eastAsia="zh-CN"/>
              </w:rPr>
              <w:t>项目</w:t>
            </w:r>
            <w:r>
              <w:rPr>
                <w:rFonts w:hint="eastAsia" w:hAnsi="宋体"/>
                <w:color w:val="auto"/>
                <w:sz w:val="24"/>
              </w:rPr>
              <w:t xml:space="preserve">建设征地区主要自然植被类型为稀树灌木草丛，植物主要为云南松 </w:t>
            </w:r>
            <w:r>
              <w:rPr>
                <w:rFonts w:hint="default" w:ascii="Times New Roman" w:hAnsi="Times New Roman" w:eastAsia="宋体" w:cs="Times New Roman"/>
                <w:b w:val="0"/>
                <w:bCs w:val="0"/>
                <w:i/>
                <w:iCs/>
                <w:color w:val="auto"/>
                <w:sz w:val="24"/>
                <w:lang w:val="en-US" w:eastAsia="zh-CN"/>
              </w:rPr>
              <w:t>Pinus yunnanensis</w:t>
            </w:r>
            <w:r>
              <w:rPr>
                <w:rFonts w:hint="eastAsia" w:hAnsi="宋体"/>
                <w:color w:val="auto"/>
                <w:sz w:val="24"/>
              </w:rPr>
              <w:t>、</w:t>
            </w:r>
            <w:r>
              <w:rPr>
                <w:rFonts w:hint="default" w:ascii="Times New Roman" w:hAnsi="Times New Roman" w:eastAsia="宋体" w:cs="Times New Roman"/>
                <w:color w:val="auto"/>
                <w:sz w:val="24"/>
                <w:lang w:val="en-US" w:eastAsia="zh-CN"/>
              </w:rPr>
              <w:t xml:space="preserve">云南油杉 </w:t>
            </w:r>
            <w:r>
              <w:rPr>
                <w:rFonts w:hint="default" w:ascii="Times New Roman" w:hAnsi="Times New Roman" w:eastAsia="宋体" w:cs="Times New Roman"/>
                <w:i/>
                <w:iCs/>
                <w:color w:val="auto"/>
                <w:sz w:val="24"/>
                <w:lang w:val="en-US" w:eastAsia="zh-CN"/>
              </w:rPr>
              <w:t>Keteleeria evelyniana</w:t>
            </w:r>
            <w:r>
              <w:rPr>
                <w:rFonts w:hint="default" w:ascii="Times New Roman" w:hAnsi="Times New Roman" w:eastAsia="宋体" w:cs="Times New Roman"/>
                <w:color w:val="auto"/>
                <w:sz w:val="24"/>
                <w:lang w:val="en-US" w:eastAsia="zh-CN"/>
              </w:rPr>
              <w:t xml:space="preserve">、旱冬瓜 </w:t>
            </w:r>
            <w:r>
              <w:rPr>
                <w:rFonts w:hint="default" w:ascii="Times New Roman" w:hAnsi="Times New Roman" w:eastAsia="宋体" w:cs="Times New Roman"/>
                <w:i/>
                <w:iCs/>
                <w:color w:val="auto"/>
                <w:sz w:val="24"/>
                <w:lang w:val="en-US" w:eastAsia="zh-CN"/>
              </w:rPr>
              <w:t>Alnus nepalensis</w:t>
            </w:r>
            <w:r>
              <w:rPr>
                <w:rFonts w:hint="default" w:ascii="Times New Roman" w:hAnsi="Times New Roman" w:eastAsia="宋体" w:cs="Times New Roman"/>
                <w:color w:val="auto"/>
                <w:sz w:val="24"/>
                <w:lang w:val="en-US" w:eastAsia="zh-CN"/>
              </w:rPr>
              <w:t xml:space="preserve">、麻栎 </w:t>
            </w:r>
            <w:r>
              <w:rPr>
                <w:rFonts w:hint="default" w:ascii="Times New Roman" w:hAnsi="Times New Roman" w:eastAsia="宋体" w:cs="Times New Roman"/>
                <w:i/>
                <w:iCs/>
                <w:color w:val="auto"/>
                <w:sz w:val="24"/>
                <w:lang w:val="en-US" w:eastAsia="zh-CN"/>
              </w:rPr>
              <w:t>Quercus acutissima</w:t>
            </w:r>
            <w:r>
              <w:rPr>
                <w:rFonts w:hint="default" w:ascii="Times New Roman" w:hAnsi="Times New Roman" w:eastAsia="宋体" w:cs="Times New Roman"/>
                <w:color w:val="auto"/>
                <w:sz w:val="24"/>
                <w:lang w:val="en-US" w:eastAsia="zh-CN"/>
              </w:rPr>
              <w:t xml:space="preserve">、栓皮栎 </w:t>
            </w:r>
            <w:r>
              <w:rPr>
                <w:rFonts w:hint="default" w:ascii="Times New Roman" w:hAnsi="Times New Roman" w:eastAsia="宋体" w:cs="Times New Roman"/>
                <w:i/>
                <w:iCs/>
                <w:color w:val="auto"/>
                <w:sz w:val="24"/>
                <w:lang w:val="en-US" w:eastAsia="zh-CN"/>
              </w:rPr>
              <w:t>Quercus variabilis</w:t>
            </w:r>
            <w:r>
              <w:rPr>
                <w:rFonts w:hint="default" w:ascii="Times New Roman" w:hAnsi="Times New Roman" w:eastAsia="宋体" w:cs="Times New Roman"/>
                <w:color w:val="auto"/>
                <w:sz w:val="24"/>
                <w:lang w:val="en-US" w:eastAsia="zh-CN"/>
              </w:rPr>
              <w:t xml:space="preserve">、银木荷 </w:t>
            </w:r>
            <w:r>
              <w:rPr>
                <w:rFonts w:hint="default" w:ascii="Times New Roman" w:hAnsi="Times New Roman" w:eastAsia="宋体" w:cs="Times New Roman"/>
                <w:i/>
                <w:iCs/>
                <w:color w:val="auto"/>
                <w:sz w:val="24"/>
                <w:lang w:val="en-US" w:eastAsia="zh-CN"/>
              </w:rPr>
              <w:t>Schima argentea</w:t>
            </w:r>
            <w:r>
              <w:rPr>
                <w:rFonts w:hint="default" w:ascii="Times New Roman" w:hAnsi="Times New Roman" w:eastAsia="宋体" w:cs="Times New Roman"/>
                <w:color w:val="auto"/>
                <w:sz w:val="24"/>
                <w:lang w:val="en-US" w:eastAsia="zh-CN"/>
              </w:rPr>
              <w:t xml:space="preserve">、茶梨 </w:t>
            </w:r>
            <w:r>
              <w:rPr>
                <w:rFonts w:hint="default" w:ascii="Times New Roman" w:hAnsi="Times New Roman" w:eastAsia="宋体" w:cs="Times New Roman"/>
                <w:i/>
                <w:iCs/>
                <w:color w:val="auto"/>
                <w:sz w:val="24"/>
                <w:lang w:val="en-US" w:eastAsia="zh-CN"/>
              </w:rPr>
              <w:t>Anneslea fragrans</w:t>
            </w:r>
            <w:r>
              <w:rPr>
                <w:rFonts w:hint="eastAsia" w:hAnsi="宋体"/>
                <w:color w:val="auto"/>
                <w:sz w:val="24"/>
              </w:rPr>
              <w:t xml:space="preserve"> 等，上述植物为</w:t>
            </w:r>
            <w:r>
              <w:rPr>
                <w:rFonts w:hint="eastAsia" w:hAnsi="宋体"/>
                <w:color w:val="auto"/>
                <w:sz w:val="24"/>
                <w:lang w:val="en-US" w:eastAsia="zh-CN"/>
              </w:rPr>
              <w:t>昆明市嵩明县</w:t>
            </w:r>
            <w:r>
              <w:rPr>
                <w:rFonts w:hint="eastAsia" w:hAnsi="宋体"/>
                <w:color w:val="auto"/>
                <w:sz w:val="24"/>
              </w:rPr>
              <w:t>当地的常见植被类型，并且较大程度受到区域人为活动影响，也呈现明显的次生化。该植被类型在植物物种多样性等方面较森林植被低，且受季节变化影响较大，工程建设对该植被类型的占用不会对当地植被总体造成很大影响。工程施工期间人员的活动势必对植被和植物造成了一定的影响，但是项目区分布的植物群落和植物种类在</w:t>
            </w:r>
            <w:r>
              <w:rPr>
                <w:rFonts w:hint="eastAsia" w:hAnsi="宋体"/>
                <w:color w:val="auto"/>
                <w:sz w:val="24"/>
                <w:lang w:val="en-US" w:eastAsia="zh-CN"/>
              </w:rPr>
              <w:t>嵩明县</w:t>
            </w:r>
            <w:r>
              <w:rPr>
                <w:rFonts w:hint="eastAsia" w:hAnsi="宋体"/>
                <w:color w:val="auto"/>
                <w:sz w:val="24"/>
              </w:rPr>
              <w:t>的其他区域以及云南省的许多区域都可以发现，因此这种影响不会导致植物群落和植被的消失；而且建设单位将通过人工措施恢复受到影响的植被，在及时采取恢复措施后，工程对植被的影响是可以接受的。</w:t>
            </w:r>
          </w:p>
          <w:p>
            <w:pPr>
              <w:spacing w:line="360" w:lineRule="auto"/>
              <w:ind w:firstLine="482"/>
              <w:rPr>
                <w:rFonts w:hint="eastAsia" w:hAnsi="宋体"/>
                <w:color w:val="auto"/>
                <w:sz w:val="24"/>
              </w:rPr>
            </w:pPr>
            <w:r>
              <w:rPr>
                <w:rFonts w:hint="eastAsia" w:hAnsi="宋体"/>
                <w:color w:val="auto"/>
                <w:sz w:val="24"/>
              </w:rPr>
              <w:t>根据现场调查，评价区域没有国家和云南省重点保护野生植物种类分布，也没有调查到地方狭域特有植物种类分布。工程建设以临时占地为主，且以次生草丛植被为主，造成的植物资源影响有限，不会造成任何植物种类项目区域栖息地的丧失，不造成任何植物种类在评价区的消失。</w:t>
            </w:r>
          </w:p>
          <w:p>
            <w:pPr>
              <w:spacing w:line="360" w:lineRule="auto"/>
              <w:ind w:firstLine="482"/>
              <w:rPr>
                <w:rFonts w:hint="eastAsia" w:hAnsi="宋体"/>
                <w:color w:val="auto"/>
                <w:sz w:val="24"/>
              </w:rPr>
            </w:pPr>
            <w:r>
              <w:rPr>
                <w:rFonts w:hint="eastAsia" w:hAnsi="宋体"/>
                <w:color w:val="auto"/>
                <w:sz w:val="24"/>
              </w:rPr>
              <w:t>另外，因工程建设施工和运营，项目周边人为活动将加剧，若施工作业不当、超范围占地施工，或由于施工人员随意进入周边林区活动，乱砍滥伐、采集野生植物等，将扩大工程建设对植被及植物资源的影响。若施工用火不慎引发森林火灾等，还将对区域植被造成大的破坏。因此，项目应加强施工期管理，严格控制施工范围，严禁乱砍乱伐和盗伐等行为的发生，严防森林火灾，避免不当施工作业对周边植被造成破坏。</w:t>
            </w:r>
          </w:p>
          <w:p>
            <w:pPr>
              <w:spacing w:line="360" w:lineRule="auto"/>
              <w:ind w:firstLine="482"/>
              <w:rPr>
                <w:color w:val="auto"/>
                <w:sz w:val="24"/>
              </w:rPr>
            </w:pPr>
            <w:r>
              <w:rPr>
                <w:rFonts w:hint="eastAsia" w:hAnsi="宋体"/>
                <w:color w:val="auto"/>
                <w:sz w:val="24"/>
              </w:rPr>
              <w:t>综上，项目施工占地使部分植物遭到了破坏，导致了这些植物种群数量的减少和分布生境的减小，但这些物种在</w:t>
            </w:r>
            <w:r>
              <w:rPr>
                <w:rFonts w:hint="eastAsia" w:hAnsi="宋体"/>
                <w:color w:val="auto"/>
                <w:sz w:val="24"/>
                <w:lang w:val="en-US" w:eastAsia="zh-CN"/>
              </w:rPr>
              <w:t>嵩明县</w:t>
            </w:r>
            <w:r>
              <w:rPr>
                <w:rFonts w:hint="eastAsia" w:hAnsi="宋体"/>
                <w:color w:val="auto"/>
                <w:sz w:val="24"/>
              </w:rPr>
              <w:t>境内广为分布，本工程不会造成任何物种的灭绝，所产生的影响是有限的、局部的。工程建设可能造成的山林火灾风险，在采取措施后其风险是可控的。</w:t>
            </w:r>
          </w:p>
          <w:p>
            <w:pPr>
              <w:pStyle w:val="126"/>
              <w:snapToGrid w:val="0"/>
              <w:spacing w:line="360" w:lineRule="auto"/>
              <w:ind w:firstLine="481" w:firstLineChars="200"/>
              <w:jc w:val="both"/>
              <w:rPr>
                <w:rFonts w:hint="eastAsia" w:cs="宋体"/>
                <w:b/>
                <w:bCs/>
                <w:color w:val="auto"/>
              </w:rPr>
            </w:pPr>
            <w:r>
              <w:rPr>
                <w:rFonts w:hint="eastAsia" w:cs="宋体"/>
                <w:b/>
                <w:bCs/>
                <w:color w:val="auto"/>
                <w:lang w:eastAsia="zh-CN"/>
              </w:rPr>
              <w:t>（</w:t>
            </w:r>
            <w:r>
              <w:rPr>
                <w:rFonts w:hint="eastAsia" w:cs="宋体"/>
                <w:b/>
                <w:bCs/>
                <w:color w:val="auto"/>
                <w:lang w:val="en-US" w:eastAsia="zh-CN"/>
              </w:rPr>
              <w:t>3</w:t>
            </w:r>
            <w:r>
              <w:rPr>
                <w:rFonts w:hint="eastAsia" w:cs="宋体"/>
                <w:b/>
                <w:bCs/>
                <w:color w:val="auto"/>
                <w:lang w:eastAsia="zh-CN"/>
              </w:rPr>
              <w:t>）</w:t>
            </w:r>
            <w:r>
              <w:rPr>
                <w:rFonts w:hint="eastAsia" w:cs="宋体"/>
                <w:b/>
                <w:bCs/>
                <w:color w:val="auto"/>
              </w:rPr>
              <w:t>对动物的影响分析</w:t>
            </w:r>
          </w:p>
          <w:p>
            <w:pPr>
              <w:spacing w:line="360" w:lineRule="auto"/>
              <w:ind w:firstLine="482"/>
              <w:rPr>
                <w:rFonts w:hint="eastAsia"/>
                <w:color w:val="auto"/>
                <w:sz w:val="24"/>
              </w:rPr>
            </w:pPr>
            <w:r>
              <w:rPr>
                <w:rFonts w:hint="eastAsia"/>
                <w:color w:val="auto"/>
                <w:sz w:val="24"/>
              </w:rPr>
              <w:t>工程对陆生脊椎动物的影响主要表现在施工占地和开挖对生境的破坏，以及施工机械排放的噪声和废气的干扰等。由于爬行动物活动范围狭小，施工占地和开挖将可能破坏蛇目种类的洞穴和栖息地，迫使它们向外迁移寻找新的栖息场所；兽类因活动能力较强，受到施工干扰后将会迁移到较远的安全地带，场区无大型兽类的活动踪迹，主要为</w:t>
            </w:r>
            <w:r>
              <w:rPr>
                <w:color w:val="auto"/>
                <w:sz w:val="24"/>
              </w:rPr>
              <w:t>啮齿类</w:t>
            </w:r>
            <w:r>
              <w:rPr>
                <w:rFonts w:hint="eastAsia"/>
                <w:color w:val="auto"/>
                <w:sz w:val="24"/>
              </w:rPr>
              <w:t>小型种类，因此，工程建设不会导致哺乳类动物在工程区附近消失和种群数量锐减；</w:t>
            </w:r>
            <w:r>
              <w:rPr>
                <w:color w:val="auto"/>
                <w:sz w:val="24"/>
              </w:rPr>
              <w:t>鸟类具有较强的趋避能力，会飞离项目区，重新寻找周边新的适宜生境和栖息地</w:t>
            </w:r>
            <w:r>
              <w:rPr>
                <w:rFonts w:hint="eastAsia"/>
                <w:color w:val="auto"/>
                <w:sz w:val="24"/>
              </w:rPr>
              <w:t>，</w:t>
            </w:r>
            <w:r>
              <w:rPr>
                <w:color w:val="auto"/>
                <w:sz w:val="24"/>
              </w:rPr>
              <w:t>因此，在施工期上述鸟类受到施工干扰，将减少到</w:t>
            </w:r>
            <w:r>
              <w:rPr>
                <w:rFonts w:hint="eastAsia"/>
                <w:color w:val="auto"/>
                <w:sz w:val="24"/>
              </w:rPr>
              <w:t>项目区附近</w:t>
            </w:r>
            <w:r>
              <w:rPr>
                <w:color w:val="auto"/>
                <w:sz w:val="24"/>
              </w:rPr>
              <w:t>觅食、活动</w:t>
            </w:r>
            <w:r>
              <w:rPr>
                <w:rFonts w:hint="eastAsia"/>
                <w:color w:val="auto"/>
                <w:sz w:val="24"/>
              </w:rPr>
              <w:t>。但以上鸟类运动能力较强，生境范围在峨山县广泛分布，项目</w:t>
            </w:r>
            <w:r>
              <w:rPr>
                <w:color w:val="auto"/>
                <w:sz w:val="24"/>
              </w:rPr>
              <w:t>施工不会造成当地鸟类物种灭绝或数量锐减，也不会造成鸟类多样性的明显降低。</w:t>
            </w:r>
          </w:p>
          <w:p>
            <w:pPr>
              <w:spacing w:line="360" w:lineRule="auto"/>
              <w:ind w:firstLine="482"/>
              <w:rPr>
                <w:color w:val="auto"/>
                <w:sz w:val="24"/>
              </w:rPr>
            </w:pPr>
            <w:r>
              <w:rPr>
                <w:rFonts w:hint="eastAsia"/>
                <w:color w:val="auto"/>
                <w:sz w:val="24"/>
              </w:rPr>
              <w:t>根据调查，</w:t>
            </w:r>
            <w:r>
              <w:rPr>
                <w:rFonts w:hint="eastAsia"/>
                <w:bCs/>
                <w:color w:val="auto"/>
                <w:kern w:val="0"/>
                <w:sz w:val="24"/>
              </w:rPr>
              <w:t>项目占地范围内未发现国家和省级重点保护野生动物分布</w:t>
            </w:r>
            <w:r>
              <w:rPr>
                <w:rFonts w:hint="eastAsia"/>
                <w:color w:val="auto"/>
                <w:sz w:val="24"/>
              </w:rPr>
              <w:t>，项目</w:t>
            </w:r>
            <w:r>
              <w:rPr>
                <w:rFonts w:hint="eastAsia"/>
                <w:bCs/>
                <w:color w:val="auto"/>
                <w:sz w:val="24"/>
              </w:rPr>
              <w:t>建设对评价区的动物影响较小</w:t>
            </w:r>
            <w:r>
              <w:rPr>
                <w:bCs/>
                <w:color w:val="auto"/>
                <w:sz w:val="24"/>
              </w:rPr>
              <w:t>。</w:t>
            </w:r>
          </w:p>
          <w:p>
            <w:pPr>
              <w:spacing w:line="360" w:lineRule="auto"/>
              <w:ind w:firstLine="482"/>
              <w:rPr>
                <w:color w:val="auto"/>
                <w:sz w:val="24"/>
              </w:rPr>
            </w:pPr>
            <w:r>
              <w:rPr>
                <w:color w:val="auto"/>
                <w:sz w:val="24"/>
              </w:rPr>
              <w:t>从长远看，</w:t>
            </w:r>
            <w:r>
              <w:rPr>
                <w:rFonts w:hint="eastAsia"/>
                <w:color w:val="auto"/>
                <w:sz w:val="24"/>
              </w:rPr>
              <w:t>陆生脊椎动物的</w:t>
            </w:r>
            <w:r>
              <w:rPr>
                <w:color w:val="auto"/>
                <w:sz w:val="24"/>
              </w:rPr>
              <w:t>物种多样性</w:t>
            </w:r>
            <w:r>
              <w:rPr>
                <w:rFonts w:hint="eastAsia"/>
                <w:color w:val="auto"/>
                <w:sz w:val="24"/>
              </w:rPr>
              <w:t>不会有</w:t>
            </w:r>
            <w:r>
              <w:rPr>
                <w:color w:val="auto"/>
                <w:sz w:val="24"/>
              </w:rPr>
              <w:t>可预见的较大变化</w:t>
            </w:r>
            <w:r>
              <w:rPr>
                <w:rFonts w:hint="eastAsia"/>
                <w:color w:val="auto"/>
                <w:sz w:val="24"/>
              </w:rPr>
              <w:t>，</w:t>
            </w:r>
            <w:r>
              <w:rPr>
                <w:color w:val="auto"/>
                <w:sz w:val="24"/>
              </w:rPr>
              <w:t>动物在</w:t>
            </w:r>
            <w:r>
              <w:rPr>
                <w:rFonts w:hint="eastAsia"/>
                <w:color w:val="auto"/>
                <w:sz w:val="24"/>
              </w:rPr>
              <w:t>施工活动等</w:t>
            </w:r>
            <w:r>
              <w:rPr>
                <w:color w:val="auto"/>
                <w:sz w:val="24"/>
              </w:rPr>
              <w:t>各种干扰增大的条件下均可以逃离而不致造成个体死亡。动物原来的栖息地丧失迫使动物外迁，但由于当地大多数动物密度不高，且被破坏的栖息地在当地所占比例有限，所以</w:t>
            </w:r>
            <w:r>
              <w:rPr>
                <w:rFonts w:hint="eastAsia"/>
                <w:color w:val="auto"/>
                <w:sz w:val="24"/>
              </w:rPr>
              <w:t>项目建设对区域内野生动物的</w:t>
            </w:r>
            <w:r>
              <w:rPr>
                <w:color w:val="auto"/>
                <w:sz w:val="24"/>
              </w:rPr>
              <w:t>间接影响并不严重。</w:t>
            </w:r>
          </w:p>
          <w:p>
            <w:pPr>
              <w:pStyle w:val="126"/>
              <w:snapToGrid w:val="0"/>
              <w:spacing w:line="360" w:lineRule="auto"/>
              <w:ind w:firstLine="481" w:firstLineChars="200"/>
              <w:jc w:val="both"/>
              <w:rPr>
                <w:rFonts w:hint="eastAsia" w:cs="宋体"/>
                <w:b/>
                <w:bCs/>
                <w:color w:val="auto"/>
              </w:rPr>
            </w:pPr>
            <w:r>
              <w:rPr>
                <w:rFonts w:hint="eastAsia" w:cs="宋体"/>
                <w:b/>
                <w:bCs/>
                <w:color w:val="auto"/>
                <w:lang w:eastAsia="zh-CN"/>
              </w:rPr>
              <w:t>（</w:t>
            </w:r>
            <w:r>
              <w:rPr>
                <w:rFonts w:hint="eastAsia" w:cs="宋体"/>
                <w:b/>
                <w:bCs/>
                <w:color w:val="auto"/>
                <w:lang w:val="en-US" w:eastAsia="zh-CN"/>
              </w:rPr>
              <w:t>4</w:t>
            </w:r>
            <w:r>
              <w:rPr>
                <w:rFonts w:hint="eastAsia" w:cs="宋体"/>
                <w:b/>
                <w:bCs/>
                <w:color w:val="auto"/>
                <w:lang w:eastAsia="zh-CN"/>
              </w:rPr>
              <w:t>）</w:t>
            </w:r>
            <w:r>
              <w:rPr>
                <w:rFonts w:hint="eastAsia" w:cs="宋体"/>
                <w:b/>
                <w:bCs/>
                <w:color w:val="auto"/>
              </w:rPr>
              <w:t>水土流失影响分析</w:t>
            </w:r>
          </w:p>
          <w:p>
            <w:pPr>
              <w:spacing w:line="360" w:lineRule="auto"/>
              <w:ind w:firstLine="480" w:firstLineChars="200"/>
              <w:rPr>
                <w:color w:val="auto"/>
                <w:sz w:val="24"/>
              </w:rPr>
            </w:pPr>
            <w:r>
              <w:rPr>
                <w:rFonts w:hAnsi="宋体"/>
                <w:color w:val="auto"/>
                <w:sz w:val="24"/>
              </w:rPr>
              <w:t>项目征地范围内的地表将受到不同程度的破坏，局部地貌将发生较大的改变，且具有强度较大，影响范围及时段集中的特点，如不采取水土保持措施，</w:t>
            </w:r>
            <w:r>
              <w:rPr>
                <w:rFonts w:hint="eastAsia" w:hAnsi="宋体"/>
                <w:color w:val="auto"/>
                <w:sz w:val="24"/>
              </w:rPr>
              <w:t>会造成</w:t>
            </w:r>
            <w:r>
              <w:rPr>
                <w:rFonts w:hAnsi="宋体"/>
                <w:color w:val="auto"/>
                <w:sz w:val="24"/>
              </w:rPr>
              <w:t>开挖形成裸露地面</w:t>
            </w:r>
            <w:r>
              <w:rPr>
                <w:rFonts w:hint="eastAsia" w:hAnsi="宋体"/>
                <w:color w:val="auto"/>
                <w:sz w:val="24"/>
              </w:rPr>
              <w:t>产生</w:t>
            </w:r>
            <w:r>
              <w:rPr>
                <w:rFonts w:hAnsi="宋体"/>
                <w:color w:val="auto"/>
                <w:sz w:val="24"/>
              </w:rPr>
              <w:t>水土流失，很容易对区域土地生产力</w:t>
            </w:r>
            <w:r>
              <w:rPr>
                <w:rFonts w:hint="eastAsia" w:hAnsi="宋体"/>
                <w:color w:val="auto"/>
                <w:sz w:val="24"/>
              </w:rPr>
              <w:t>、</w:t>
            </w:r>
            <w:r>
              <w:rPr>
                <w:rFonts w:hAnsi="宋体"/>
                <w:color w:val="auto"/>
                <w:sz w:val="24"/>
              </w:rPr>
              <w:t>区域生态环境、工程本身等造成不同程度的危害，其具体表现为以下几个方法：</w:t>
            </w:r>
          </w:p>
          <w:p>
            <w:pPr>
              <w:spacing w:line="360" w:lineRule="auto"/>
              <w:ind w:firstLine="481" w:firstLineChars="200"/>
              <w:rPr>
                <w:b/>
                <w:bCs/>
                <w:color w:val="auto"/>
                <w:sz w:val="24"/>
              </w:rPr>
            </w:pPr>
            <w:r>
              <w:rPr>
                <w:rFonts w:hint="eastAsia"/>
                <w:b/>
                <w:bCs/>
                <w:color w:val="auto"/>
                <w:sz w:val="24"/>
              </w:rPr>
              <w:t>1）</w:t>
            </w:r>
            <w:r>
              <w:rPr>
                <w:rFonts w:hAnsi="宋体"/>
                <w:b/>
                <w:bCs/>
                <w:color w:val="auto"/>
                <w:sz w:val="24"/>
              </w:rPr>
              <w:t>对区域生态环境的影响</w:t>
            </w:r>
          </w:p>
          <w:p>
            <w:pPr>
              <w:spacing w:line="360" w:lineRule="auto"/>
              <w:ind w:firstLine="480" w:firstLineChars="200"/>
              <w:rPr>
                <w:color w:val="auto"/>
                <w:sz w:val="24"/>
              </w:rPr>
            </w:pPr>
            <w:r>
              <w:rPr>
                <w:rFonts w:hint="eastAsia" w:hAnsi="宋体"/>
                <w:color w:val="auto"/>
                <w:sz w:val="24"/>
              </w:rPr>
              <w:t>①</w:t>
            </w:r>
            <w:r>
              <w:rPr>
                <w:rFonts w:hAnsi="宋体"/>
                <w:color w:val="auto"/>
                <w:sz w:val="24"/>
              </w:rPr>
              <w:t>对植被的影响</w:t>
            </w:r>
          </w:p>
          <w:p>
            <w:pPr>
              <w:spacing w:line="360" w:lineRule="auto"/>
              <w:ind w:firstLine="480" w:firstLineChars="200"/>
              <w:rPr>
                <w:color w:val="auto"/>
                <w:sz w:val="24"/>
              </w:rPr>
            </w:pPr>
            <w:r>
              <w:rPr>
                <w:rFonts w:hAnsi="宋体"/>
                <w:color w:val="auto"/>
                <w:sz w:val="24"/>
              </w:rPr>
              <w:t>项目区原地貌植被主要为草地。项目建设会使遭到破坏，林草覆盖度降低，影响局域生态环境。</w:t>
            </w:r>
          </w:p>
          <w:p>
            <w:pPr>
              <w:spacing w:line="360" w:lineRule="auto"/>
              <w:ind w:firstLine="480" w:firstLineChars="200"/>
              <w:rPr>
                <w:color w:val="auto"/>
                <w:sz w:val="24"/>
              </w:rPr>
            </w:pPr>
            <w:r>
              <w:rPr>
                <w:rFonts w:hint="eastAsia" w:hAnsi="宋体"/>
                <w:color w:val="auto"/>
                <w:sz w:val="24"/>
              </w:rPr>
              <w:t>②</w:t>
            </w:r>
            <w:r>
              <w:rPr>
                <w:rFonts w:hAnsi="宋体"/>
                <w:color w:val="auto"/>
                <w:sz w:val="24"/>
              </w:rPr>
              <w:t>对地貌的影响</w:t>
            </w:r>
          </w:p>
          <w:p>
            <w:pPr>
              <w:spacing w:line="360" w:lineRule="auto"/>
              <w:ind w:firstLine="480" w:firstLineChars="200"/>
              <w:rPr>
                <w:color w:val="auto"/>
                <w:sz w:val="24"/>
              </w:rPr>
            </w:pPr>
            <w:r>
              <w:rPr>
                <w:rFonts w:hAnsi="宋体"/>
                <w:color w:val="auto"/>
                <w:sz w:val="24"/>
              </w:rPr>
              <w:t>项目建设区改变原有地貌，可能增加滑坡、崩塌等重力侵蚀的发生。</w:t>
            </w:r>
          </w:p>
          <w:p>
            <w:pPr>
              <w:spacing w:line="360" w:lineRule="auto"/>
              <w:ind w:firstLine="481" w:firstLineChars="200"/>
              <w:rPr>
                <w:b/>
                <w:bCs/>
                <w:color w:val="auto"/>
                <w:sz w:val="24"/>
              </w:rPr>
            </w:pPr>
            <w:r>
              <w:rPr>
                <w:rFonts w:hint="eastAsia"/>
                <w:b/>
                <w:bCs/>
                <w:color w:val="auto"/>
                <w:sz w:val="24"/>
              </w:rPr>
              <w:t>2）</w:t>
            </w:r>
            <w:r>
              <w:rPr>
                <w:rFonts w:hAnsi="宋体"/>
                <w:b/>
                <w:bCs/>
                <w:color w:val="auto"/>
                <w:sz w:val="24"/>
              </w:rPr>
              <w:t>对工程项目本身可能造成的危害</w:t>
            </w:r>
          </w:p>
          <w:p>
            <w:pPr>
              <w:adjustRightInd w:val="0"/>
              <w:snapToGrid w:val="0"/>
              <w:spacing w:line="360" w:lineRule="auto"/>
              <w:ind w:firstLine="480" w:firstLineChars="200"/>
              <w:rPr>
                <w:rFonts w:hAnsi="宋体"/>
                <w:color w:val="auto"/>
                <w:sz w:val="24"/>
              </w:rPr>
            </w:pPr>
            <w:r>
              <w:rPr>
                <w:rFonts w:hAnsi="宋体"/>
                <w:color w:val="auto"/>
                <w:sz w:val="24"/>
              </w:rPr>
              <w:t>项目有</w:t>
            </w:r>
            <w:r>
              <w:rPr>
                <w:rFonts w:hint="eastAsia" w:hAnsi="宋体"/>
                <w:color w:val="auto"/>
                <w:sz w:val="24"/>
              </w:rPr>
              <w:t>一定量</w:t>
            </w:r>
            <w:r>
              <w:rPr>
                <w:rFonts w:hAnsi="宋体"/>
                <w:color w:val="auto"/>
                <w:sz w:val="24"/>
              </w:rPr>
              <w:t>的土石方工程，基础开挖、局部场地平整等施工行为严重影响了这些单元土层的稳定性，为水土流失的加剧创造了条件。特别是施工道路区域，对于可能发生滑坡、崩塌、泥石流等灾害的路段，由于路基的施工，如果防护不当可能会导致上述地质灾害活跃，如果不及时做好相应路段的治理，一旦灾害发生，将直接对工程施工的正常进行和道路运营安全造成严重影响。</w:t>
            </w:r>
          </w:p>
          <w:p>
            <w:pPr>
              <w:adjustRightInd w:val="0"/>
              <w:snapToGrid w:val="0"/>
              <w:spacing w:line="360" w:lineRule="auto"/>
              <w:ind w:firstLine="480" w:firstLineChars="200"/>
              <w:rPr>
                <w:rFonts w:hAnsi="宋体"/>
                <w:color w:val="auto"/>
                <w:sz w:val="24"/>
              </w:rPr>
            </w:pPr>
            <w:r>
              <w:rPr>
                <w:rFonts w:hAnsi="宋体"/>
                <w:color w:val="auto"/>
                <w:sz w:val="24"/>
              </w:rPr>
              <w:t>项目</w:t>
            </w:r>
            <w:r>
              <w:rPr>
                <w:rFonts w:hint="eastAsia" w:hAnsi="宋体"/>
                <w:color w:val="auto"/>
                <w:sz w:val="24"/>
              </w:rPr>
              <w:t>建筑物</w:t>
            </w:r>
            <w:r>
              <w:rPr>
                <w:rFonts w:hAnsi="宋体"/>
                <w:color w:val="auto"/>
                <w:sz w:val="24"/>
              </w:rPr>
              <w:t>开挖扰动区域采用撒播种草进行植被恢复</w:t>
            </w:r>
            <w:r>
              <w:rPr>
                <w:rFonts w:hint="eastAsia" w:hAnsi="宋体"/>
                <w:color w:val="auto"/>
                <w:sz w:val="24"/>
              </w:rPr>
              <w:t>的方式，项目区主要为丘陵地貌，</w:t>
            </w:r>
            <w:r>
              <w:rPr>
                <w:rFonts w:hAnsi="宋体"/>
                <w:color w:val="auto"/>
                <w:sz w:val="24"/>
              </w:rPr>
              <w:t>土壤主要为</w:t>
            </w:r>
            <w:r>
              <w:rPr>
                <w:rFonts w:hint="eastAsia"/>
                <w:color w:val="auto"/>
                <w:sz w:val="24"/>
              </w:rPr>
              <w:t>紫色土</w:t>
            </w:r>
            <w:r>
              <w:rPr>
                <w:rFonts w:hAnsi="宋体"/>
                <w:color w:val="auto"/>
                <w:sz w:val="24"/>
              </w:rPr>
              <w:t>，土层厚度</w:t>
            </w:r>
            <w:r>
              <w:rPr>
                <w:color w:val="auto"/>
                <w:sz w:val="24"/>
              </w:rPr>
              <w:t>50cm</w:t>
            </w:r>
            <w:r>
              <w:rPr>
                <w:rFonts w:hAnsi="宋体"/>
                <w:color w:val="auto"/>
                <w:sz w:val="24"/>
              </w:rPr>
              <w:t>左右，土壤较为贫瘠，植被多为人工栽植的矮小灌木坡林；由于海拔较高地下水埋藏较深，无季节性积水，无水淹可能性</w:t>
            </w:r>
            <w:r>
              <w:rPr>
                <w:rFonts w:hint="eastAsia" w:hAnsi="宋体"/>
                <w:color w:val="auto"/>
                <w:sz w:val="24"/>
              </w:rPr>
              <w:t>，选取</w:t>
            </w:r>
            <w:r>
              <w:rPr>
                <w:rFonts w:hAnsi="宋体"/>
                <w:color w:val="auto"/>
                <w:sz w:val="24"/>
              </w:rPr>
              <w:t>当地适生、抗逆性强、耐阴的</w:t>
            </w:r>
            <w:r>
              <w:rPr>
                <w:rFonts w:hint="eastAsia" w:hAnsi="宋体"/>
                <w:color w:val="auto"/>
                <w:sz w:val="24"/>
              </w:rPr>
              <w:t>植物种类。</w:t>
            </w:r>
          </w:p>
          <w:p>
            <w:pPr>
              <w:adjustRightInd w:val="0"/>
              <w:snapToGrid w:val="0"/>
              <w:spacing w:line="360" w:lineRule="auto"/>
              <w:ind w:firstLine="480" w:firstLineChars="200"/>
              <w:rPr>
                <w:rFonts w:hAnsi="宋体"/>
                <w:color w:val="auto"/>
                <w:sz w:val="24"/>
              </w:rPr>
            </w:pPr>
            <w:r>
              <w:rPr>
                <w:rFonts w:hint="eastAsia" w:hAnsi="宋体"/>
                <w:color w:val="auto"/>
                <w:sz w:val="24"/>
              </w:rPr>
              <w:t>综上所述，本项目在采取水土保持方案中提出的工程措施和植被恢复措施后，能有效的控制项目水土流失产生的影响。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textAlignment w:val="auto"/>
              <w:rPr>
                <w:rFonts w:hint="default" w:hAnsi="宋体"/>
                <w:b/>
                <w:bCs/>
                <w:color w:val="auto"/>
                <w:sz w:val="24"/>
                <w:lang w:val="en-US"/>
              </w:rPr>
            </w:pPr>
            <w:r>
              <w:rPr>
                <w:rFonts w:hint="eastAsia" w:hAnsi="宋体"/>
                <w:b/>
                <w:bCs/>
                <w:color w:val="auto"/>
                <w:sz w:val="24"/>
                <w:lang w:val="en-US" w:eastAsia="zh-CN"/>
              </w:rPr>
              <w:t>4.1.2.2 施工期大气影响分析</w:t>
            </w:r>
          </w:p>
          <w:p>
            <w:pPr>
              <w:tabs>
                <w:tab w:val="left" w:pos="2100"/>
              </w:tabs>
              <w:spacing w:line="360" w:lineRule="auto"/>
              <w:ind w:firstLine="480" w:firstLineChars="200"/>
              <w:rPr>
                <w:color w:val="auto"/>
                <w:sz w:val="24"/>
              </w:rPr>
            </w:pPr>
            <w:r>
              <w:rPr>
                <w:rFonts w:hint="eastAsia"/>
                <w:color w:val="auto"/>
                <w:sz w:val="24"/>
              </w:rPr>
              <w:t>项目施工期大气污染物主要是施工扬尘、交通</w:t>
            </w:r>
            <w:r>
              <w:rPr>
                <w:rFonts w:hint="eastAsia"/>
                <w:color w:val="auto"/>
                <w:sz w:val="24"/>
                <w:lang w:val="en-US" w:eastAsia="zh-CN"/>
              </w:rPr>
              <w:t>运输</w:t>
            </w:r>
            <w:r>
              <w:rPr>
                <w:rFonts w:hint="eastAsia"/>
                <w:color w:val="auto"/>
                <w:sz w:val="24"/>
              </w:rPr>
              <w:t>扬尘</w:t>
            </w:r>
            <w:r>
              <w:rPr>
                <w:rFonts w:hint="eastAsia"/>
                <w:color w:val="auto"/>
                <w:sz w:val="24"/>
                <w:lang w:eastAsia="zh-CN"/>
              </w:rPr>
              <w:t>、施工机械和车辆废气</w:t>
            </w:r>
            <w:r>
              <w:rPr>
                <w:color w:val="auto"/>
                <w:sz w:val="24"/>
              </w:rPr>
              <w:t>。</w:t>
            </w:r>
          </w:p>
          <w:p>
            <w:pPr>
              <w:spacing w:line="360" w:lineRule="auto"/>
              <w:ind w:firstLine="481" w:firstLineChars="200"/>
              <w:rPr>
                <w:b/>
                <w:color w:val="auto"/>
                <w:sz w:val="24"/>
              </w:rPr>
            </w:pPr>
            <w:r>
              <w:rPr>
                <w:rFonts w:hint="eastAsia" w:hAnsi="宋体"/>
                <w:b/>
                <w:color w:val="auto"/>
                <w:sz w:val="24"/>
                <w:lang w:eastAsia="zh-CN"/>
              </w:rPr>
              <w:t>（</w:t>
            </w:r>
            <w:r>
              <w:rPr>
                <w:rFonts w:hint="eastAsia" w:hAnsi="宋体"/>
                <w:b/>
                <w:color w:val="auto"/>
                <w:sz w:val="24"/>
                <w:lang w:val="en-US" w:eastAsia="zh-CN"/>
              </w:rPr>
              <w:t>1</w:t>
            </w:r>
            <w:r>
              <w:rPr>
                <w:rFonts w:hint="eastAsia" w:hAnsi="宋体"/>
                <w:b/>
                <w:color w:val="auto"/>
                <w:sz w:val="24"/>
                <w:lang w:eastAsia="zh-CN"/>
              </w:rPr>
              <w:t>）施工场地扬尘影响分析</w:t>
            </w:r>
          </w:p>
          <w:p>
            <w:pPr>
              <w:spacing w:line="360" w:lineRule="auto"/>
              <w:ind w:firstLine="480" w:firstLineChars="200"/>
              <w:rPr>
                <w:rFonts w:hint="eastAsia"/>
                <w:color w:val="auto"/>
                <w:sz w:val="24"/>
              </w:rPr>
            </w:pPr>
            <w:r>
              <w:rPr>
                <w:rFonts w:hint="eastAsia"/>
                <w:color w:val="auto"/>
                <w:sz w:val="24"/>
              </w:rPr>
              <w:t>施工期对大气环境影响最大的是施工扬尘。施工扬尘污染主要产生于平整场地、挖土填方、物料装卸和运输等环节。</w:t>
            </w:r>
          </w:p>
          <w:p>
            <w:pPr>
              <w:spacing w:line="360" w:lineRule="auto"/>
              <w:ind w:firstLine="480" w:firstLineChars="200"/>
              <w:rPr>
                <w:rFonts w:hint="eastAsia"/>
                <w:color w:val="auto"/>
                <w:sz w:val="24"/>
              </w:rPr>
            </w:pPr>
            <w:r>
              <w:rPr>
                <w:rFonts w:hint="eastAsia"/>
                <w:color w:val="auto"/>
                <w:sz w:val="24"/>
              </w:rPr>
              <w:t>根据北京环境科学研究院对建筑工程施工工地的扬尘测定结果，在风速为2.4m/s时，建筑施工扬尘的影响范围为其下风向150m之内，被影响地区的TSP浓度日平均值为0.491mg/m</w:t>
            </w:r>
            <w:r>
              <w:rPr>
                <w:rFonts w:hint="eastAsia"/>
                <w:color w:val="auto"/>
                <w:sz w:val="24"/>
                <w:vertAlign w:val="superscript"/>
              </w:rPr>
              <w:t>3</w:t>
            </w:r>
            <w:r>
              <w:rPr>
                <w:rFonts w:hint="eastAsia"/>
                <w:color w:val="auto"/>
                <w:sz w:val="24"/>
              </w:rPr>
              <w:t>，为上风向对照点的</w:t>
            </w:r>
            <w:r>
              <w:rPr>
                <w:rFonts w:hint="eastAsia"/>
                <w:color w:val="auto"/>
                <w:sz w:val="24"/>
                <w:lang w:val="en-US" w:eastAsia="zh-CN"/>
              </w:rPr>
              <w:t>1</w:t>
            </w:r>
            <w:r>
              <w:rPr>
                <w:rFonts w:hint="eastAsia"/>
                <w:color w:val="auto"/>
                <w:sz w:val="24"/>
              </w:rPr>
              <w:t>.5倍，相当于环境空气二级标准的1.6倍。在干燥和风速较大的天气情况下，施工现场近地面粉尘浓度会超过环境空气二级标准中日平均值0.3mg/m</w:t>
            </w:r>
            <w:r>
              <w:rPr>
                <w:rFonts w:hint="eastAsia"/>
                <w:color w:val="auto"/>
                <w:sz w:val="24"/>
                <w:vertAlign w:val="superscript"/>
              </w:rPr>
              <w:t>3</w:t>
            </w:r>
            <w:r>
              <w:rPr>
                <w:rFonts w:hint="eastAsia"/>
                <w:color w:val="auto"/>
                <w:sz w:val="24"/>
              </w:rPr>
              <w:t>的1～40倍。只有在200m处才低于0.5mg/m</w:t>
            </w:r>
            <w:r>
              <w:rPr>
                <w:rFonts w:hint="eastAsia"/>
                <w:color w:val="auto"/>
                <w:sz w:val="24"/>
                <w:vertAlign w:val="superscript"/>
              </w:rPr>
              <w:t>3</w:t>
            </w:r>
            <w:r>
              <w:rPr>
                <w:rFonts w:hint="eastAsia"/>
                <w:color w:val="auto"/>
                <w:sz w:val="24"/>
              </w:rPr>
              <w:t>。施工扬尘最大产生时间将出现在土方开挖阶段。由于该阶段裸露浮土较多，产生量较大。加之施工场地泥土风干后随着车辆的碾压和行驶，在区域内易带起扬尘，污染环境。</w:t>
            </w:r>
          </w:p>
          <w:p>
            <w:pPr>
              <w:spacing w:line="360" w:lineRule="auto"/>
              <w:ind w:firstLine="480" w:firstLineChars="200"/>
              <w:rPr>
                <w:rFonts w:hint="default"/>
                <w:color w:val="auto"/>
                <w:sz w:val="24"/>
                <w:lang w:val="en-US" w:eastAsia="zh-CN"/>
              </w:rPr>
            </w:pPr>
            <w:r>
              <w:rPr>
                <w:rFonts w:hint="eastAsia"/>
                <w:color w:val="auto"/>
                <w:sz w:val="24"/>
                <w:lang w:val="en-US" w:eastAsia="zh-CN"/>
              </w:rPr>
              <w:t>项目</w:t>
            </w:r>
            <w:r>
              <w:rPr>
                <w:rFonts w:hint="eastAsia"/>
                <w:color w:val="auto"/>
                <w:sz w:val="24"/>
              </w:rPr>
              <w:t>工程量小，产生扬尘少</w:t>
            </w:r>
            <w:r>
              <w:rPr>
                <w:rFonts w:hint="eastAsia"/>
                <w:color w:val="auto"/>
                <w:sz w:val="24"/>
                <w:lang w:eastAsia="zh-CN"/>
              </w:rPr>
              <w:t>。</w:t>
            </w:r>
            <w:r>
              <w:rPr>
                <w:rFonts w:hint="eastAsia"/>
                <w:color w:val="auto"/>
                <w:sz w:val="24"/>
                <w:lang w:val="en-US" w:eastAsia="zh-CN"/>
              </w:rPr>
              <w:t>在对施工时采取洒水降尘、围挡作业等措施后，可有效减少扬尘产生，对场地周围环境敏感点影响较小，且施工作业扬尘产生仅在施工作业时产生，施工作业结束后施工作业扬尘随之消失，施工作业扬尘只是暂时的。因此项目施工作业扬尘对周围环境空气影响较小。</w:t>
            </w:r>
          </w:p>
          <w:p>
            <w:pPr>
              <w:spacing w:line="360" w:lineRule="auto"/>
              <w:ind w:firstLine="481" w:firstLineChars="200"/>
              <w:rPr>
                <w:rFonts w:hint="eastAsia"/>
                <w:b/>
                <w:color w:val="auto"/>
                <w:sz w:val="24"/>
                <w:lang w:eastAsia="zh-CN"/>
              </w:rPr>
            </w:pPr>
            <w:r>
              <w:rPr>
                <w:rFonts w:hint="eastAsia"/>
                <w:b/>
                <w:color w:val="auto"/>
                <w:sz w:val="24"/>
                <w:lang w:eastAsia="zh-CN"/>
              </w:rPr>
              <w:t>（</w:t>
            </w:r>
            <w:r>
              <w:rPr>
                <w:rFonts w:hint="eastAsia"/>
                <w:b/>
                <w:color w:val="auto"/>
                <w:sz w:val="24"/>
                <w:lang w:val="en-US" w:eastAsia="zh-CN"/>
              </w:rPr>
              <w:t>2</w:t>
            </w:r>
            <w:r>
              <w:rPr>
                <w:rFonts w:hint="eastAsia"/>
                <w:b/>
                <w:color w:val="auto"/>
                <w:sz w:val="24"/>
                <w:lang w:eastAsia="zh-CN"/>
              </w:rPr>
              <w:t>）交通运输扬尘影响分析</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施工期间交通运输将产生扬尘，汽车产生的道路扬尘量与车速、车型、车流量、风速、道路表面积尘量、尘土湿度等因素有关。根据交通部公路研究所对施工现场车辆扬尘监测结果，下风向150m处的扬尘瞬时浓度可达到 3.49mg/m</w:t>
            </w:r>
            <w:r>
              <w:rPr>
                <w:rFonts w:hint="eastAsia"/>
                <w:b w:val="0"/>
                <w:bCs/>
                <w:color w:val="auto"/>
                <w:sz w:val="24"/>
                <w:vertAlign w:val="superscript"/>
                <w:lang w:eastAsia="zh-CN"/>
              </w:rPr>
              <w:t>3</w:t>
            </w:r>
            <w:r>
              <w:rPr>
                <w:rFonts w:hint="eastAsia"/>
                <w:b w:val="0"/>
                <w:bCs/>
                <w:color w:val="auto"/>
                <w:sz w:val="24"/>
                <w:lang w:eastAsia="zh-CN"/>
              </w:rPr>
              <w:t>。此外，物料拉运或堆放过程中，遮盖不严密也会产生粉尘污染。在运输高峰时期，运输车辆产生的扬尘会对道路周边的</w:t>
            </w:r>
            <w:r>
              <w:rPr>
                <w:rFonts w:hint="eastAsia"/>
                <w:color w:val="auto"/>
                <w:sz w:val="24"/>
                <w:lang w:val="en-US" w:eastAsia="zh-CN"/>
              </w:rPr>
              <w:t>住户</w:t>
            </w:r>
            <w:r>
              <w:rPr>
                <w:rFonts w:hint="eastAsia"/>
                <w:b w:val="0"/>
                <w:bCs/>
                <w:color w:val="auto"/>
                <w:sz w:val="24"/>
                <w:lang w:eastAsia="zh-CN"/>
              </w:rPr>
              <w:t>产生一定的不利影响。</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但由于经过</w:t>
            </w:r>
            <w:r>
              <w:rPr>
                <w:rFonts w:hint="eastAsia"/>
                <w:color w:val="auto"/>
                <w:sz w:val="24"/>
                <w:lang w:val="en-US" w:eastAsia="zh-CN"/>
              </w:rPr>
              <w:t>住户</w:t>
            </w:r>
            <w:r>
              <w:rPr>
                <w:rFonts w:hint="eastAsia"/>
                <w:b w:val="0"/>
                <w:bCs/>
                <w:color w:val="auto"/>
                <w:sz w:val="24"/>
                <w:lang w:val="en-US" w:eastAsia="zh-CN"/>
              </w:rPr>
              <w:t>的都是</w:t>
            </w:r>
            <w:r>
              <w:rPr>
                <w:rFonts w:hint="eastAsia"/>
                <w:b w:val="0"/>
                <w:bCs/>
                <w:color w:val="auto"/>
                <w:sz w:val="24"/>
                <w:lang w:eastAsia="zh-CN"/>
              </w:rPr>
              <w:t>通村公路，为硬化的水泥路面，且由于项目无土石方外运经过</w:t>
            </w:r>
            <w:r>
              <w:rPr>
                <w:rFonts w:hint="eastAsia"/>
                <w:b w:val="0"/>
                <w:bCs/>
                <w:color w:val="auto"/>
                <w:sz w:val="24"/>
                <w:lang w:val="en-US" w:eastAsia="zh-CN"/>
              </w:rPr>
              <w:t>村庄</w:t>
            </w:r>
            <w:r>
              <w:rPr>
                <w:rFonts w:hint="eastAsia"/>
                <w:b w:val="0"/>
                <w:bCs/>
                <w:color w:val="auto"/>
                <w:sz w:val="24"/>
                <w:lang w:eastAsia="zh-CN"/>
              </w:rPr>
              <w:t>；因使用商品混凝土，粉尘物料运输量很小，交通扬尘起尘量不大。因此，交通运输扬尘影响</w:t>
            </w:r>
            <w:r>
              <w:rPr>
                <w:rFonts w:hint="eastAsia"/>
                <w:b w:val="0"/>
                <w:bCs/>
                <w:color w:val="auto"/>
                <w:sz w:val="24"/>
                <w:lang w:val="en-US" w:eastAsia="zh-CN"/>
              </w:rPr>
              <w:t>较小</w:t>
            </w:r>
            <w:r>
              <w:rPr>
                <w:rFonts w:hint="eastAsia"/>
                <w:b w:val="0"/>
                <w:bCs/>
                <w:color w:val="auto"/>
                <w:sz w:val="24"/>
                <w:lang w:eastAsia="zh-CN"/>
              </w:rPr>
              <w:t>。</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运输的车辆必须车身整洁，装载车厢完好，装载货物堆码整齐，运输建筑材料及建筑垃圾的车辆加盖蓬布以减少洒落，不得污染道路。</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施工期扬尘影响是暂时的，随着施工的完成，影响也将消失，对周围大气环境产生的影响</w:t>
            </w:r>
            <w:r>
              <w:rPr>
                <w:rFonts w:hint="eastAsia"/>
                <w:b w:val="0"/>
                <w:bCs/>
                <w:color w:val="auto"/>
                <w:sz w:val="24"/>
                <w:lang w:val="en-US" w:eastAsia="zh-CN"/>
              </w:rPr>
              <w:t>较小</w:t>
            </w:r>
            <w:r>
              <w:rPr>
                <w:rFonts w:hint="eastAsia"/>
                <w:b w:val="0"/>
                <w:bCs/>
                <w:color w:val="auto"/>
                <w:sz w:val="24"/>
                <w:lang w:eastAsia="zh-CN"/>
              </w:rPr>
              <w:t>。</w:t>
            </w:r>
          </w:p>
          <w:p>
            <w:pPr>
              <w:spacing w:line="360" w:lineRule="auto"/>
              <w:ind w:firstLine="481" w:firstLineChars="200"/>
              <w:rPr>
                <w:rFonts w:hint="eastAsia"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lang w:eastAsia="zh-CN"/>
              </w:rPr>
              <w:t>）施工机械和车辆废气</w:t>
            </w:r>
          </w:p>
          <w:p>
            <w:pPr>
              <w:spacing w:line="360" w:lineRule="auto"/>
              <w:ind w:firstLine="480" w:firstLineChars="200"/>
              <w:rPr>
                <w:rFonts w:hint="eastAsia"/>
                <w:b w:val="0"/>
                <w:bCs/>
                <w:color w:val="auto"/>
                <w:sz w:val="24"/>
                <w:lang w:eastAsia="zh-CN"/>
              </w:rPr>
            </w:pPr>
            <w:r>
              <w:rPr>
                <w:rFonts w:hint="eastAsia"/>
                <w:b w:val="0"/>
                <w:bCs/>
                <w:color w:val="auto"/>
                <w:sz w:val="24"/>
                <w:lang w:eastAsia="zh-CN"/>
              </w:rPr>
              <w:t>该项目施工期废气主要来源于运输车辆及其它燃油机械施工时产生的废气，其中的污染物主要有烟尘、NOx、CO及CHx等，会对环境空气造成一定影响。施工机械废气具有间断性产生、产生量较小、产生点相对分散、易被稀释扩散等特点。项目区处于半山坡地形，周边无特别高的山体，有利于大气扩散，一般情况下，施工机械和运输车辆所产生的废气污染在空气中经自然扩散和稀释后，对项目区域的空气环境质量影响</w:t>
            </w:r>
            <w:r>
              <w:rPr>
                <w:rFonts w:hint="eastAsia"/>
                <w:b w:val="0"/>
                <w:bCs/>
                <w:color w:val="auto"/>
                <w:sz w:val="24"/>
                <w:lang w:val="en-US" w:eastAsia="zh-CN"/>
              </w:rPr>
              <w:t>较小</w:t>
            </w:r>
            <w:r>
              <w:rPr>
                <w:rFonts w:hint="eastAsia"/>
                <w:b w:val="0"/>
                <w:bCs/>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textAlignment w:val="auto"/>
              <w:rPr>
                <w:rFonts w:hAnsi="宋体"/>
                <w:b/>
                <w:bCs/>
                <w:color w:val="auto"/>
                <w:sz w:val="24"/>
              </w:rPr>
            </w:pPr>
            <w:r>
              <w:rPr>
                <w:rFonts w:hint="eastAsia" w:hAnsi="宋体"/>
                <w:b/>
                <w:bCs/>
                <w:color w:val="auto"/>
                <w:sz w:val="24"/>
                <w:lang w:val="en-US" w:eastAsia="zh-CN"/>
              </w:rPr>
              <w:t>4.1.2.3 施工期</w:t>
            </w:r>
            <w:r>
              <w:rPr>
                <w:rFonts w:hint="eastAsia" w:hAnsi="宋体"/>
                <w:b/>
                <w:bCs/>
                <w:color w:val="auto"/>
                <w:sz w:val="24"/>
              </w:rPr>
              <w:t>水环境影响分析</w:t>
            </w:r>
          </w:p>
          <w:p>
            <w:pPr>
              <w:spacing w:line="360" w:lineRule="auto"/>
              <w:ind w:firstLine="480" w:firstLineChars="200"/>
              <w:rPr>
                <w:rFonts w:ascii="宋体" w:hAnsi="宋体"/>
                <w:color w:val="auto"/>
                <w:sz w:val="24"/>
              </w:rPr>
            </w:pPr>
            <w:r>
              <w:rPr>
                <w:rFonts w:hint="eastAsia"/>
                <w:color w:val="auto"/>
                <w:sz w:val="24"/>
              </w:rPr>
              <w:t>项目施工期废水主要包括</w:t>
            </w:r>
            <w:r>
              <w:rPr>
                <w:rFonts w:hint="eastAsia"/>
                <w:color w:val="auto"/>
                <w:sz w:val="24"/>
                <w:lang w:val="en-US" w:eastAsia="zh-CN"/>
              </w:rPr>
              <w:t>施工生产废水</w:t>
            </w:r>
            <w:r>
              <w:rPr>
                <w:rFonts w:hint="eastAsia"/>
                <w:color w:val="auto"/>
                <w:sz w:val="24"/>
              </w:rPr>
              <w:t>、施工</w:t>
            </w:r>
            <w:r>
              <w:rPr>
                <w:rFonts w:hint="eastAsia"/>
                <w:color w:val="auto"/>
                <w:sz w:val="24"/>
                <w:lang w:val="en-US" w:eastAsia="zh-CN"/>
              </w:rPr>
              <w:t>人员</w:t>
            </w:r>
            <w:r>
              <w:rPr>
                <w:rFonts w:hint="eastAsia"/>
                <w:color w:val="auto"/>
                <w:sz w:val="24"/>
              </w:rPr>
              <w:t>生活污水</w:t>
            </w:r>
            <w:r>
              <w:rPr>
                <w:rFonts w:hint="eastAsia"/>
                <w:color w:val="auto"/>
                <w:sz w:val="24"/>
                <w:lang w:val="en-US" w:eastAsia="zh-CN"/>
              </w:rPr>
              <w:t>和</w:t>
            </w:r>
            <w:r>
              <w:rPr>
                <w:rFonts w:hint="eastAsia"/>
                <w:color w:val="auto"/>
                <w:sz w:val="24"/>
              </w:rPr>
              <w:t>雨季</w:t>
            </w:r>
            <w:r>
              <w:rPr>
                <w:rFonts w:hint="eastAsia"/>
                <w:color w:val="auto"/>
                <w:sz w:val="24"/>
                <w:lang w:val="en-US" w:eastAsia="zh-CN"/>
              </w:rPr>
              <w:t>地表</w:t>
            </w:r>
            <w:r>
              <w:rPr>
                <w:rFonts w:hint="eastAsia"/>
                <w:color w:val="auto"/>
                <w:sz w:val="24"/>
              </w:rPr>
              <w:t>径流。</w:t>
            </w:r>
          </w:p>
          <w:p>
            <w:pPr>
              <w:spacing w:line="360" w:lineRule="auto"/>
              <w:ind w:firstLine="481" w:firstLineChars="200"/>
              <w:rPr>
                <w:rFonts w:hint="eastAsia" w:hAnsi="宋体"/>
                <w:b/>
                <w:bCs/>
                <w:color w:val="auto"/>
                <w:sz w:val="24"/>
              </w:rPr>
            </w:pPr>
            <w:r>
              <w:rPr>
                <w:rFonts w:hint="eastAsia" w:hAnsi="宋体"/>
                <w:b/>
                <w:bCs/>
                <w:color w:val="auto"/>
                <w:sz w:val="24"/>
              </w:rPr>
              <w:t>（1）施工生产废水</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本项目施工废水主要来源于基础施工混凝土养护过程。施工废水中污染物主要为 SS，浓度在 200~2000mg/L。项目根据施工片区设置临时沉淀池，施工废水收集于临时沉淀池内，经沉淀处理后，回用作施工或场地洒水降尘，不外排，对地表水环境不造成影响。</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建筑施工废水主要为混凝土养护废水、工具清洗废水等。废水中所含污染物主要为SS，浓度约为3000mg/L左右，预计排放强度为1.5m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鉴于本工程所处地区水源匮乏，施工用水较困难，为尽可能节约用水，减低工程施工成本，减轻对周围环境的污染，生产废水经沉淀池处理后全部回用于混凝土养护和道路浇洒等，不外排，不会对周围地表水体产生影响。</w:t>
            </w:r>
          </w:p>
          <w:p>
            <w:pPr>
              <w:spacing w:line="360" w:lineRule="auto"/>
              <w:ind w:firstLine="481" w:firstLineChars="200"/>
              <w:rPr>
                <w:rFonts w:hint="eastAsia" w:hAnsi="宋体"/>
                <w:b/>
                <w:bCs/>
                <w:color w:val="auto"/>
                <w:sz w:val="24"/>
              </w:rPr>
            </w:pPr>
            <w:r>
              <w:rPr>
                <w:rFonts w:hint="eastAsia" w:hAnsi="宋体"/>
                <w:b/>
                <w:bCs/>
                <w:color w:val="auto"/>
                <w:sz w:val="24"/>
              </w:rPr>
              <w:t>（2）施工生活污水</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项目平均施工人员平均约为</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0人，，施工人员在生活区住宿，会产生一定量的生活污水，用水量按0.06m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/人·d进行估算，则用水量为6m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/d，废水产生系数取0.9，则废水量为5.4m</w:t>
            </w:r>
            <w:r>
              <w:rPr>
                <w:rFonts w:hint="eastAsia"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rPr>
              <w:t>/d，沉淀后回用。经类比，生活污水的主要污染物及浓度为COD100mg/L，SS300mg/L，氨氮30mg/L，磷酸盐5mg/L，收集沉淀池沉淀后回用周边绿化。施工生活区</w:t>
            </w:r>
            <w:r>
              <w:rPr>
                <w:rFonts w:hint="eastAsia" w:ascii="Times New Roman" w:hAnsi="Times New Roman" w:eastAsia="宋体" w:cs="Times New Roman"/>
                <w:color w:val="auto"/>
                <w:sz w:val="24"/>
                <w:lang w:val="en-US" w:eastAsia="zh-CN"/>
              </w:rPr>
              <w:t>设置1</w:t>
            </w:r>
            <w:r>
              <w:rPr>
                <w:rFonts w:hint="eastAsia" w:ascii="Times New Roman" w:hAnsi="Times New Roman" w:eastAsia="宋体" w:cs="Times New Roman"/>
                <w:color w:val="auto"/>
                <w:sz w:val="24"/>
              </w:rPr>
              <w:t>个旱厕，定时由当地百姓清运用作农肥，施工结束将旱厕拆除复耕，不会对周边水体造成明显影响。</w:t>
            </w:r>
          </w:p>
          <w:p>
            <w:pPr>
              <w:spacing w:line="360" w:lineRule="auto"/>
              <w:ind w:firstLine="481" w:firstLineChars="200"/>
              <w:rPr>
                <w:rFonts w:hint="eastAsia" w:ascii="Times New Roman" w:hAnsi="宋体" w:eastAsia="宋体" w:cs="Times New Roman"/>
                <w:b/>
                <w:bCs/>
                <w:color w:val="auto"/>
                <w:sz w:val="24"/>
              </w:rPr>
            </w:pPr>
            <w:r>
              <w:rPr>
                <w:rFonts w:hint="eastAsia" w:ascii="Times New Roman" w:hAnsi="宋体" w:eastAsia="宋体" w:cs="Times New Roman"/>
                <w:b/>
                <w:bCs/>
                <w:color w:val="auto"/>
                <w:sz w:val="24"/>
              </w:rPr>
              <w:t>（3）雨季径流</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雨季径流主要为雨季降水冲涮施工场地产生，其产生量根据降雨情况不同而不同，所含污染物主要为SS和微量石油类，其中SS浓度为200～500mg/L左右。道路区在地势低处设置排水沟，排水沟末端设置沉淀池，废水经沉淀后再外排，对周围地表水体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textAlignment w:val="auto"/>
              <w:rPr>
                <w:rFonts w:hint="default" w:hAnsi="宋体"/>
                <w:b/>
                <w:bCs/>
                <w:color w:val="auto"/>
                <w:sz w:val="24"/>
                <w:lang w:val="en-US"/>
              </w:rPr>
            </w:pPr>
            <w:r>
              <w:rPr>
                <w:rFonts w:hint="eastAsia" w:hAnsi="宋体"/>
                <w:b/>
                <w:bCs/>
                <w:color w:val="auto"/>
                <w:sz w:val="24"/>
              </w:rPr>
              <w:t>4.1.2.</w:t>
            </w:r>
            <w:r>
              <w:rPr>
                <w:rFonts w:hint="eastAsia" w:hAnsi="宋体"/>
                <w:b/>
                <w:bCs/>
                <w:color w:val="auto"/>
                <w:sz w:val="24"/>
                <w:lang w:val="en-US" w:eastAsia="zh-CN"/>
              </w:rPr>
              <w:t>4 施工噪声影响分析</w:t>
            </w:r>
          </w:p>
          <w:p>
            <w:pPr>
              <w:spacing w:line="360" w:lineRule="auto"/>
              <w:ind w:firstLine="481" w:firstLineChars="200"/>
              <w:rPr>
                <w:rFonts w:hAnsi="宋体"/>
                <w:b/>
                <w:color w:val="auto"/>
                <w:sz w:val="24"/>
              </w:rPr>
            </w:pPr>
            <w:bookmarkStart w:id="67" w:name="_Toc143085394"/>
            <w:r>
              <w:rPr>
                <w:rFonts w:hint="eastAsia" w:hAnsi="宋体"/>
                <w:b/>
                <w:color w:val="auto"/>
                <w:sz w:val="24"/>
                <w:lang w:eastAsia="zh-CN"/>
              </w:rPr>
              <w:t>（</w:t>
            </w:r>
            <w:r>
              <w:rPr>
                <w:rFonts w:hint="eastAsia" w:hAnsi="宋体"/>
                <w:b/>
                <w:color w:val="auto"/>
                <w:sz w:val="24"/>
                <w:lang w:val="en-US" w:eastAsia="zh-CN"/>
              </w:rPr>
              <w:t>1</w:t>
            </w:r>
            <w:r>
              <w:rPr>
                <w:rFonts w:hint="eastAsia" w:hAnsi="宋体"/>
                <w:b/>
                <w:color w:val="auto"/>
                <w:sz w:val="24"/>
                <w:lang w:eastAsia="zh-CN"/>
              </w:rPr>
              <w:t>）</w:t>
            </w:r>
            <w:r>
              <w:rPr>
                <w:rFonts w:hint="eastAsia" w:hAnsi="宋体"/>
                <w:b/>
                <w:color w:val="auto"/>
                <w:sz w:val="24"/>
              </w:rPr>
              <w:t>施工机械噪声源强</w:t>
            </w:r>
          </w:p>
          <w:p>
            <w:pPr>
              <w:spacing w:line="360" w:lineRule="auto"/>
              <w:ind w:firstLine="480" w:firstLineChars="200"/>
              <w:rPr>
                <w:rFonts w:hAnsi="宋体"/>
                <w:color w:val="auto"/>
                <w:sz w:val="24"/>
              </w:rPr>
            </w:pPr>
            <w:r>
              <w:rPr>
                <w:rFonts w:hint="eastAsia" w:hAnsi="宋体"/>
                <w:color w:val="auto"/>
                <w:sz w:val="24"/>
              </w:rPr>
              <w:t>项目施工期噪声主要来自施工机械设备噪声和运输车辆噪声，项目夜间不施工，施工噪声仅在昼间产生。各施工阶段主要噪声源及其声级见下表。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b/>
                <w:color w:val="auto"/>
                <w:sz w:val="21"/>
                <w:szCs w:val="21"/>
              </w:rPr>
            </w:pPr>
            <w:r>
              <w:rPr>
                <w:rFonts w:hAnsi="宋体"/>
                <w:b/>
                <w:color w:val="auto"/>
                <w:sz w:val="21"/>
                <w:szCs w:val="21"/>
              </w:rPr>
              <w:t>表</w:t>
            </w:r>
            <w:r>
              <w:rPr>
                <w:rFonts w:hint="eastAsia" w:hAnsi="宋体"/>
                <w:b/>
                <w:color w:val="auto"/>
                <w:sz w:val="21"/>
                <w:szCs w:val="21"/>
                <w:lang w:val="en-US" w:eastAsia="zh-CN"/>
              </w:rPr>
              <w:t>4.1.2</w:t>
            </w:r>
            <w:r>
              <w:rPr>
                <w:rFonts w:hint="eastAsia" w:hAnsi="宋体"/>
                <w:b/>
                <w:color w:val="auto"/>
                <w:sz w:val="21"/>
                <w:szCs w:val="21"/>
              </w:rPr>
              <w:t>-3</w:t>
            </w:r>
            <w:r>
              <w:rPr>
                <w:rFonts w:hint="eastAsia"/>
                <w:b/>
                <w:color w:val="auto"/>
                <w:sz w:val="21"/>
                <w:szCs w:val="21"/>
              </w:rPr>
              <w:t xml:space="preserve">  </w:t>
            </w:r>
            <w:r>
              <w:rPr>
                <w:rFonts w:hAnsi="宋体"/>
                <w:b/>
                <w:color w:val="auto"/>
                <w:sz w:val="21"/>
                <w:szCs w:val="21"/>
              </w:rPr>
              <w:t>主要噪声</w:t>
            </w:r>
            <w:r>
              <w:rPr>
                <w:rFonts w:hint="eastAsia" w:hAnsi="宋体"/>
                <w:b/>
                <w:color w:val="auto"/>
                <w:sz w:val="21"/>
                <w:szCs w:val="21"/>
              </w:rPr>
              <w:t>源强</w:t>
            </w:r>
          </w:p>
          <w:tbl>
            <w:tblPr>
              <w:tblStyle w:val="89"/>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3755"/>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81" w:type="dxa"/>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b/>
                      <w:color w:val="auto"/>
                      <w:szCs w:val="21"/>
                    </w:rPr>
                  </w:pPr>
                  <w:r>
                    <w:rPr>
                      <w:rFonts w:hint="eastAsia" w:hAnsi="宋体"/>
                      <w:b/>
                      <w:color w:val="auto"/>
                      <w:szCs w:val="21"/>
                    </w:rPr>
                    <w:t>项目</w:t>
                  </w: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rFonts w:hAnsi="宋体"/>
                      <w:b/>
                      <w:color w:val="auto"/>
                      <w:szCs w:val="21"/>
                    </w:rPr>
                    <w:t>设备名称</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rFonts w:hAnsi="宋体"/>
                      <w:b/>
                      <w:color w:val="auto"/>
                      <w:szCs w:val="21"/>
                    </w:rPr>
                    <w:t>声级</w:t>
                  </w:r>
                  <w:r>
                    <w:rPr>
                      <w:b/>
                      <w:color w:val="auto"/>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8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color w:val="auto"/>
                      <w:szCs w:val="21"/>
                    </w:rPr>
                  </w:pPr>
                  <w:r>
                    <w:rPr>
                      <w:rFonts w:hint="eastAsia" w:hAnsi="宋体"/>
                      <w:color w:val="auto"/>
                      <w:szCs w:val="21"/>
                    </w:rPr>
                    <w:t>道路施工</w:t>
                  </w: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rFonts w:hAnsi="宋体"/>
                      <w:color w:val="auto"/>
                      <w:szCs w:val="21"/>
                    </w:rPr>
                    <w:t>挖掘机</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lang w:eastAsia="zh-CN"/>
                    </w:rPr>
                  </w:pPr>
                  <w:r>
                    <w:rPr>
                      <w:rFonts w:hint="eastAsia"/>
                      <w:color w:val="auto"/>
                      <w:szCs w:val="21"/>
                    </w:rPr>
                    <w:t>8</w:t>
                  </w: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color w:val="auto"/>
                      <w:szCs w:val="21"/>
                    </w:rPr>
                  </w:pP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color w:val="auto"/>
                      <w:szCs w:val="21"/>
                    </w:rPr>
                  </w:pPr>
                  <w:r>
                    <w:rPr>
                      <w:rFonts w:hint="eastAsia"/>
                      <w:color w:val="auto"/>
                      <w:szCs w:val="21"/>
                    </w:rPr>
                    <w:t>推土机</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color w:val="auto"/>
                      <w:szCs w:val="21"/>
                    </w:rPr>
                  </w:pP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hAnsi="宋体" w:eastAsia="宋体"/>
                      <w:color w:val="auto"/>
                      <w:szCs w:val="21"/>
                      <w:lang w:val="en-US" w:eastAsia="zh-CN"/>
                    </w:rPr>
                  </w:pPr>
                  <w:r>
                    <w:rPr>
                      <w:rFonts w:hint="eastAsia" w:hAnsi="宋体" w:eastAsia="宋体"/>
                      <w:color w:val="auto"/>
                      <w:szCs w:val="21"/>
                      <w:lang w:val="en-US" w:eastAsia="zh-CN"/>
                    </w:rPr>
                    <w:t>装载机</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08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hAnsi="宋体" w:eastAsia="宋体"/>
                      <w:color w:val="auto"/>
                      <w:szCs w:val="21"/>
                      <w:lang w:val="en-US" w:eastAsia="zh-CN"/>
                    </w:rPr>
                  </w:pPr>
                  <w:r>
                    <w:rPr>
                      <w:rFonts w:hint="eastAsia" w:hAnsi="宋体"/>
                      <w:color w:val="auto"/>
                      <w:szCs w:val="21"/>
                      <w:lang w:val="en-US" w:eastAsia="zh-CN"/>
                    </w:rPr>
                    <w:t>建筑物施工</w:t>
                  </w: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hAnsi="宋体" w:eastAsia="宋体"/>
                      <w:color w:val="auto"/>
                      <w:szCs w:val="21"/>
                      <w:lang w:eastAsia="zh-CN"/>
                    </w:rPr>
                  </w:pPr>
                  <w:r>
                    <w:rPr>
                      <w:rFonts w:hint="eastAsia" w:hAnsi="宋体" w:eastAsia="宋体"/>
                      <w:color w:val="auto"/>
                      <w:szCs w:val="21"/>
                      <w:lang w:eastAsia="zh-CN"/>
                    </w:rPr>
                    <w:t>钻孔机</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eastAsia="宋体"/>
                      <w:color w:val="auto"/>
                      <w:szCs w:val="21"/>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color w:val="auto"/>
                      <w:szCs w:val="21"/>
                    </w:rPr>
                  </w:pP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rPr>
                  </w:pPr>
                  <w:r>
                    <w:rPr>
                      <w:rFonts w:hint="eastAsia"/>
                      <w:color w:val="auto"/>
                      <w:szCs w:val="21"/>
                    </w:rPr>
                    <w:t>钢筋切割机</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color w:val="auto"/>
                      <w:szCs w:val="21"/>
                    </w:rPr>
                  </w:pP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rPr>
                  </w:pPr>
                  <w:r>
                    <w:rPr>
                      <w:rFonts w:hint="eastAsia"/>
                      <w:color w:val="auto"/>
                      <w:szCs w:val="21"/>
                    </w:rPr>
                    <w:t>电焊机</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Ansi="宋体"/>
                      <w:color w:val="auto"/>
                      <w:szCs w:val="21"/>
                    </w:rPr>
                  </w:pPr>
                </w:p>
              </w:tc>
              <w:tc>
                <w:tcPr>
                  <w:tcW w:w="375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Cs w:val="21"/>
                      <w:lang w:val="en-US" w:eastAsia="zh-CN"/>
                    </w:rPr>
                  </w:pPr>
                  <w:r>
                    <w:rPr>
                      <w:rFonts w:hint="eastAsia" w:eastAsia="宋体"/>
                      <w:color w:val="auto"/>
                      <w:szCs w:val="21"/>
                      <w:lang w:val="en-US" w:eastAsia="zh-CN"/>
                    </w:rPr>
                    <w:t>移动式发电机</w:t>
                  </w:r>
                </w:p>
              </w:tc>
              <w:tc>
                <w:tcPr>
                  <w:tcW w:w="264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95</w:t>
                  </w:r>
                </w:p>
              </w:tc>
            </w:tr>
          </w:tbl>
          <w:p>
            <w:pPr>
              <w:spacing w:line="360" w:lineRule="auto"/>
              <w:ind w:firstLine="481" w:firstLineChars="200"/>
              <w:rPr>
                <w:rFonts w:hint="eastAsia"/>
                <w:b/>
                <w:color w:val="auto"/>
                <w:sz w:val="24"/>
              </w:rPr>
            </w:pPr>
            <w:bookmarkStart w:id="68" w:name="_Toc350868194"/>
            <w:r>
              <w:rPr>
                <w:rFonts w:hint="eastAsia"/>
                <w:b/>
                <w:color w:val="auto"/>
                <w:sz w:val="24"/>
              </w:rPr>
              <w:t>（2）环境影响</w:t>
            </w:r>
          </w:p>
          <w:p>
            <w:pPr>
              <w:spacing w:line="360" w:lineRule="auto"/>
              <w:ind w:firstLine="481" w:firstLineChars="200"/>
              <w:rPr>
                <w:rFonts w:hint="eastAsia" w:ascii="Times New Roman" w:hAnsi="Times New Roman" w:eastAsia="宋体" w:cs="Times New Roman"/>
                <w:b/>
                <w:bCs w:val="0"/>
                <w:color w:val="auto"/>
                <w:sz w:val="24"/>
              </w:rPr>
            </w:pPr>
            <w:r>
              <w:rPr>
                <w:rFonts w:hint="eastAsia" w:ascii="Times New Roman" w:hAnsi="Times New Roman" w:eastAsia="宋体" w:cs="Times New Roman"/>
                <w:b/>
                <w:bCs w:val="0"/>
                <w:color w:val="auto"/>
                <w:sz w:val="24"/>
              </w:rPr>
              <w:t>1）达标排放分析</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施工机械中除各种运输车辆外，一般可视为固定声源。在不考虑其它因素情况下，不同距离处施工机械噪声预测模式如下：</w:t>
            </w:r>
          </w:p>
          <w:p>
            <w:pPr>
              <w:spacing w:line="360" w:lineRule="auto"/>
              <w:ind w:firstLine="1200" w:firstLineChars="500"/>
              <w:rPr>
                <w:rFonts w:ascii="Times New Roman" w:hAnsi="Times New Roman" w:eastAsia="宋体" w:cs="Times New Roman"/>
                <w:color w:val="auto"/>
                <w:sz w:val="24"/>
                <w:szCs w:val="24"/>
                <w:highlight w:val="none"/>
                <w:lang w:val="fr-FR"/>
              </w:rPr>
            </w:pPr>
            <w:bookmarkStart w:id="69" w:name="_Toc191940396"/>
            <w:bookmarkStart w:id="70" w:name="_Toc193366126"/>
            <w:r>
              <w:rPr>
                <w:rFonts w:ascii="Times New Roman" w:hAnsi="Times New Roman" w:eastAsia="宋体" w:cs="Times New Roman"/>
                <w:color w:val="auto"/>
                <w:sz w:val="24"/>
                <w:szCs w:val="24"/>
                <w:highlight w:val="none"/>
                <w:lang w:val="fr-FR"/>
              </w:rPr>
              <w:t>LA(r)=Lr</w:t>
            </w:r>
            <w:r>
              <w:rPr>
                <w:rFonts w:ascii="Times New Roman" w:hAnsi="Times New Roman" w:eastAsia="宋体" w:cs="Times New Roman"/>
                <w:color w:val="auto"/>
                <w:sz w:val="24"/>
                <w:szCs w:val="24"/>
                <w:highlight w:val="none"/>
                <w:vertAlign w:val="subscript"/>
                <w:lang w:val="fr-FR"/>
              </w:rPr>
              <w:t>0</w:t>
            </w:r>
            <w:r>
              <w:rPr>
                <w:rFonts w:ascii="Times New Roman" w:hAnsi="Times New Roman" w:eastAsia="宋体" w:cs="Times New Roman"/>
                <w:color w:val="auto"/>
                <w:sz w:val="24"/>
                <w:szCs w:val="24"/>
                <w:highlight w:val="none"/>
                <w:lang w:val="fr-FR"/>
              </w:rPr>
              <w:t xml:space="preserve"> -20lg(r/r</w:t>
            </w:r>
            <w:r>
              <w:rPr>
                <w:rFonts w:ascii="Times New Roman" w:hAnsi="Times New Roman" w:eastAsia="宋体" w:cs="Times New Roman"/>
                <w:color w:val="auto"/>
                <w:sz w:val="24"/>
                <w:szCs w:val="24"/>
                <w:highlight w:val="none"/>
                <w:vertAlign w:val="subscript"/>
                <w:lang w:val="fr-FR"/>
              </w:rPr>
              <w:t>0</w:t>
            </w:r>
            <w:r>
              <w:rPr>
                <w:rFonts w:ascii="Times New Roman" w:hAnsi="Times New Roman" w:eastAsia="宋体" w:cs="Times New Roman"/>
                <w:color w:val="auto"/>
                <w:sz w:val="24"/>
                <w:szCs w:val="24"/>
                <w:highlight w:val="none"/>
                <w:lang w:val="fr-FR"/>
              </w:rPr>
              <w:t>)</w:t>
            </w:r>
            <w:bookmarkEnd w:id="69"/>
            <w:bookmarkEnd w:id="70"/>
          </w:p>
          <w:p>
            <w:pPr>
              <w:autoSpaceDE w:val="0"/>
              <w:autoSpaceDN w:val="0"/>
              <w:spacing w:line="360" w:lineRule="auto"/>
              <w:ind w:firstLine="561"/>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式中：LA(r)---距声源r米处受声点的A声级；</w:t>
            </w:r>
          </w:p>
          <w:p>
            <w:pPr>
              <w:autoSpaceDE w:val="0"/>
              <w:autoSpaceDN w:val="0"/>
              <w:spacing w:line="360" w:lineRule="auto"/>
              <w:ind w:firstLine="1440"/>
              <w:rPr>
                <w:rFonts w:ascii="Times New Roman" w:hAnsi="Times New Roman" w:eastAsia="宋体" w:cs="Times New Roman"/>
                <w:color w:val="auto"/>
                <w:sz w:val="24"/>
                <w:szCs w:val="24"/>
                <w:highlight w:val="none"/>
              </w:rPr>
            </w:pPr>
            <w:bookmarkStart w:id="71" w:name="_Toc191940397"/>
            <w:bookmarkStart w:id="72" w:name="_Toc193366127"/>
            <w:r>
              <w:rPr>
                <w:rFonts w:ascii="Times New Roman" w:hAnsi="Times New Roman" w:eastAsia="宋体" w:cs="Times New Roman"/>
                <w:color w:val="auto"/>
                <w:sz w:val="24"/>
                <w:szCs w:val="24"/>
                <w:highlight w:val="none"/>
              </w:rPr>
              <w:t>Lr</w:t>
            </w:r>
            <w:r>
              <w:rPr>
                <w:rFonts w:ascii="Times New Roman" w:hAnsi="Times New Roman" w:eastAsia="宋体" w:cs="Times New Roman"/>
                <w:color w:val="auto"/>
                <w:sz w:val="24"/>
                <w:szCs w:val="24"/>
                <w:highlight w:val="none"/>
                <w:vertAlign w:val="subscript"/>
              </w:rPr>
              <w:t>0</w:t>
            </w:r>
            <w:r>
              <w:rPr>
                <w:rFonts w:ascii="Times New Roman" w:hAnsi="Times New Roman" w:eastAsia="宋体" w:cs="Times New Roman"/>
                <w:color w:val="auto"/>
                <w:sz w:val="24"/>
                <w:szCs w:val="24"/>
                <w:highlight w:val="none"/>
              </w:rPr>
              <w:t>----参考点声源强度；</w:t>
            </w:r>
            <w:bookmarkEnd w:id="71"/>
            <w:bookmarkEnd w:id="72"/>
          </w:p>
          <w:p>
            <w:pPr>
              <w:autoSpaceDE w:val="0"/>
              <w:autoSpaceDN w:val="0"/>
              <w:spacing w:line="360" w:lineRule="auto"/>
              <w:ind w:firstLine="144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r-----预测受声点与源之间的距离（m）；</w:t>
            </w:r>
          </w:p>
          <w:p>
            <w:pPr>
              <w:autoSpaceDE w:val="0"/>
              <w:autoSpaceDN w:val="0"/>
              <w:spacing w:line="360" w:lineRule="auto"/>
              <w:ind w:firstLine="144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r</w:t>
            </w:r>
            <w:r>
              <w:rPr>
                <w:rFonts w:ascii="Times New Roman" w:hAnsi="Times New Roman" w:eastAsia="宋体" w:cs="Times New Roman"/>
                <w:color w:val="auto"/>
                <w:sz w:val="24"/>
                <w:szCs w:val="24"/>
                <w:highlight w:val="none"/>
                <w:vertAlign w:val="subscript"/>
              </w:rPr>
              <w:t>0</w:t>
            </w:r>
            <w:r>
              <w:rPr>
                <w:rFonts w:ascii="Times New Roman" w:hAnsi="Times New Roman" w:eastAsia="宋体" w:cs="Times New Roman"/>
                <w:color w:val="auto"/>
                <w:sz w:val="24"/>
                <w:szCs w:val="24"/>
                <w:highlight w:val="none"/>
              </w:rPr>
              <w:t>-----参考点与源之间的距离（m）。</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项目施工期主要的噪声源，各施工机械设备等效声级影响范围见下表。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val="0"/>
                <w:color w:val="auto"/>
                <w:sz w:val="21"/>
                <w:szCs w:val="21"/>
              </w:rPr>
            </w:pPr>
            <w:r>
              <w:rPr>
                <w:rFonts w:hint="eastAsia" w:ascii="Times New Roman" w:hAnsi="Times New Roman" w:eastAsia="宋体" w:cs="Times New Roman"/>
                <w:b/>
                <w:bCs w:val="0"/>
                <w:color w:val="auto"/>
                <w:sz w:val="21"/>
                <w:szCs w:val="21"/>
              </w:rPr>
              <w:t>表4.</w:t>
            </w:r>
            <w:r>
              <w:rPr>
                <w:rFonts w:hint="eastAsia" w:ascii="Times New Roman" w:hAnsi="Times New Roman" w:eastAsia="宋体" w:cs="Times New Roman"/>
                <w:b/>
                <w:bCs w:val="0"/>
                <w:color w:val="auto"/>
                <w:sz w:val="21"/>
                <w:szCs w:val="21"/>
                <w:lang w:val="en-US" w:eastAsia="zh-CN"/>
              </w:rPr>
              <w:t>1.2</w:t>
            </w:r>
            <w:r>
              <w:rPr>
                <w:rFonts w:hint="eastAsia" w:ascii="Times New Roman" w:hAnsi="Times New Roman" w:eastAsia="宋体" w:cs="Times New Roman"/>
                <w:b/>
                <w:bCs w:val="0"/>
                <w:color w:val="auto"/>
                <w:sz w:val="21"/>
                <w:szCs w:val="21"/>
              </w:rPr>
              <w:t>-</w:t>
            </w:r>
            <w:r>
              <w:rPr>
                <w:rFonts w:hint="eastAsia" w:ascii="Times New Roman" w:hAnsi="Times New Roman" w:eastAsia="宋体" w:cs="Times New Roman"/>
                <w:b/>
                <w:bCs w:val="0"/>
                <w:color w:val="auto"/>
                <w:sz w:val="21"/>
                <w:szCs w:val="21"/>
                <w:lang w:val="en-US" w:eastAsia="zh-CN"/>
              </w:rPr>
              <w:t>4</w:t>
            </w:r>
            <w:r>
              <w:rPr>
                <w:rFonts w:hint="eastAsia" w:ascii="Times New Roman" w:hAnsi="Times New Roman" w:eastAsia="宋体" w:cs="Times New Roman"/>
                <w:b/>
                <w:bCs w:val="0"/>
                <w:color w:val="auto"/>
                <w:sz w:val="21"/>
                <w:szCs w:val="21"/>
              </w:rPr>
              <w:t xml:space="preserve"> 距声源不同距离处的噪声贡献值单位：dB（A）</w:t>
            </w:r>
          </w:p>
          <w:tbl>
            <w:tblPr>
              <w:tblStyle w:val="90"/>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826"/>
              <w:gridCol w:w="610"/>
              <w:gridCol w:w="624"/>
              <w:gridCol w:w="640"/>
              <w:gridCol w:w="593"/>
              <w:gridCol w:w="627"/>
              <w:gridCol w:w="738"/>
              <w:gridCol w:w="738"/>
              <w:gridCol w:w="738"/>
              <w:gridCol w:w="740"/>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机械</w:t>
                  </w:r>
                  <w:r>
                    <w:rPr>
                      <w:rFonts w:hint="default" w:ascii="Times New Roman" w:hAnsi="Times New Roman" w:eastAsia="宋体" w:cs="Times New Roman"/>
                      <w:bCs/>
                      <w:color w:val="auto"/>
                      <w:sz w:val="21"/>
                      <w:szCs w:val="21"/>
                      <w:vertAlign w:val="baseline"/>
                      <w:lang w:val="en-US" w:eastAsia="zh-CN"/>
                    </w:rPr>
                    <w:t>名称</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r>
                    <w:rPr>
                      <w:rFonts w:hint="default" w:ascii="Times New Roman" w:hAnsi="Times New Roman" w:eastAsia="宋体" w:cs="Times New Roman"/>
                      <w:bCs/>
                      <w:color w:val="auto"/>
                      <w:sz w:val="21"/>
                      <w:szCs w:val="21"/>
                      <w:vertAlign w:val="baseline"/>
                    </w:rPr>
                    <w:t>源强（1m）</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10m</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20m</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w:t>
                  </w:r>
                  <w:r>
                    <w:rPr>
                      <w:rFonts w:hint="eastAsia" w:ascii="Times New Roman" w:hAnsi="Times New Roman" w:eastAsia="宋体" w:cs="Times New Roman"/>
                      <w:bCs/>
                      <w:color w:val="auto"/>
                      <w:sz w:val="21"/>
                      <w:szCs w:val="21"/>
                      <w:vertAlign w:val="baseline"/>
                      <w:lang w:val="en-US" w:eastAsia="zh-CN"/>
                    </w:rPr>
                    <w:t>0</w:t>
                  </w:r>
                  <w:r>
                    <w:rPr>
                      <w:rFonts w:hint="default" w:ascii="Times New Roman" w:hAnsi="Times New Roman" w:eastAsia="宋体" w:cs="Times New Roman"/>
                      <w:bCs/>
                      <w:color w:val="auto"/>
                      <w:sz w:val="21"/>
                      <w:szCs w:val="21"/>
                      <w:vertAlign w:val="baseline"/>
                      <w:lang w:val="en-US" w:eastAsia="zh-CN"/>
                    </w:rPr>
                    <w:t>m</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40m</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50m</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100m</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150m</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200m</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250m</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r>
                    <w:rPr>
                      <w:rFonts w:hint="default" w:ascii="Times New Roman" w:hAnsi="Times New Roman" w:eastAsia="宋体" w:cs="Times New Roman"/>
                      <w:bCs/>
                      <w:color w:val="auto"/>
                      <w:sz w:val="21"/>
                      <w:szCs w:val="21"/>
                      <w:vertAlign w:val="baseline"/>
                    </w:rPr>
                    <w:t>挖掘机</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82</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62</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56</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52</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50</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48</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42</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38</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36</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34</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22" w:type="dxa"/>
                  <w:noWrap w:val="0"/>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压路机、推土机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85</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65</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59</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55</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53</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51</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45</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41</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39</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37</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22" w:type="dxa"/>
                  <w:noWrap w:val="0"/>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装载机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90</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70</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64</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60</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58</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56</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50</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46</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44</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42</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22" w:type="dxa"/>
                  <w:noWrap w:val="0"/>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钻孔机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95</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75</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69</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65</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63</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61</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55</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51</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49</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47</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22" w:type="dxa"/>
                  <w:noWrap w:val="0"/>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钢筋切割机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90</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70</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64</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60</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58</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56</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50</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46</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44</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42</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22" w:type="dxa"/>
                  <w:noWrap w:val="0"/>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电焊机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80</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60</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54</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51</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48</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46</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40</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36</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34</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32</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22" w:type="dxa"/>
                  <w:noWrap w:val="0"/>
                  <w:vAlign w:val="center"/>
                </w:tcPr>
                <w:p>
                  <w:pPr>
                    <w:keepNext w:val="0"/>
                    <w:keepLines w:val="0"/>
                    <w:widowControl/>
                    <w:suppressLineNumbers w:val="0"/>
                    <w:jc w:val="left"/>
                    <w:rPr>
                      <w:color w:val="auto"/>
                    </w:rPr>
                  </w:pPr>
                  <w:r>
                    <w:rPr>
                      <w:rFonts w:hint="eastAsia" w:ascii="宋体" w:hAnsi="宋体" w:eastAsia="宋体" w:cs="宋体"/>
                      <w:color w:val="auto"/>
                      <w:kern w:val="0"/>
                      <w:sz w:val="20"/>
                      <w:szCs w:val="20"/>
                      <w:lang w:val="en-US" w:eastAsia="zh-CN" w:bidi="ar"/>
                    </w:rPr>
                    <w:t>移动式发电机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95</w:t>
                  </w:r>
                </w:p>
              </w:tc>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75</w:t>
                  </w:r>
                </w:p>
              </w:tc>
              <w:tc>
                <w:tcPr>
                  <w:tcW w:w="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69</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65</w:t>
                  </w:r>
                </w:p>
              </w:tc>
              <w:tc>
                <w:tcPr>
                  <w:tcW w:w="5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63</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61</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55</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51</w:t>
                  </w:r>
                </w:p>
              </w:tc>
              <w:tc>
                <w:tcPr>
                  <w:tcW w:w="7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49</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47</w:t>
                  </w:r>
                </w:p>
              </w:tc>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45</w:t>
                  </w:r>
                </w:p>
              </w:tc>
            </w:tr>
          </w:tbl>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由上表可以看出，施工机械中噪声影响较大的设备是电锯和</w:t>
            </w:r>
            <w:r>
              <w:rPr>
                <w:rFonts w:hint="eastAsia" w:ascii="Times New Roman" w:hAnsi="Times New Roman" w:eastAsia="宋体" w:cs="Times New Roman"/>
                <w:bCs/>
                <w:color w:val="auto"/>
                <w:sz w:val="24"/>
                <w:lang w:val="en-US" w:eastAsia="zh-CN"/>
              </w:rPr>
              <w:t>移动式发电机</w:t>
            </w:r>
            <w:r>
              <w:rPr>
                <w:rFonts w:hint="eastAsia" w:ascii="Times New Roman" w:hAnsi="Times New Roman" w:eastAsia="宋体" w:cs="Times New Roman"/>
                <w:bCs/>
                <w:color w:val="auto"/>
                <w:sz w:val="24"/>
              </w:rPr>
              <w:t>等。不考虑叠加，单台设备运行时，距施工点</w:t>
            </w:r>
            <w:r>
              <w:rPr>
                <w:rFonts w:hint="eastAsia" w:ascii="Times New Roman" w:hAnsi="Times New Roman" w:eastAsia="宋体" w:cs="Times New Roman"/>
                <w:bCs/>
                <w:color w:val="auto"/>
                <w:sz w:val="24"/>
                <w:lang w:val="en-US" w:eastAsia="zh-CN"/>
              </w:rPr>
              <w:t>20</w:t>
            </w:r>
            <w:r>
              <w:rPr>
                <w:rFonts w:hint="eastAsia" w:ascii="Times New Roman" w:hAnsi="Times New Roman" w:eastAsia="宋体" w:cs="Times New Roman"/>
                <w:bCs/>
                <w:color w:val="auto"/>
                <w:sz w:val="24"/>
              </w:rPr>
              <w:t>m外昼间可达《建筑施工场界环境噪声排放限值》（GB12523-2011）70dB(A)要求，距施工点</w:t>
            </w:r>
            <w:r>
              <w:rPr>
                <w:rFonts w:hint="eastAsia" w:ascii="Times New Roman" w:hAnsi="Times New Roman" w:eastAsia="宋体" w:cs="Times New Roman"/>
                <w:bCs/>
                <w:color w:val="auto"/>
                <w:sz w:val="24"/>
                <w:lang w:val="en-US" w:eastAsia="zh-CN"/>
              </w:rPr>
              <w:t>150</w:t>
            </w:r>
            <w:r>
              <w:rPr>
                <w:rFonts w:hint="eastAsia" w:ascii="Times New Roman" w:hAnsi="Times New Roman" w:eastAsia="宋体" w:cs="Times New Roman"/>
                <w:bCs/>
                <w:color w:val="auto"/>
                <w:sz w:val="24"/>
              </w:rPr>
              <w:t>m外夜间可达《建筑施工场界环境噪声排放限值》（GB12523-2011）55dB(A)的要求。但是由于项目夜间不施工，因此距施工点</w:t>
            </w:r>
            <w:r>
              <w:rPr>
                <w:rFonts w:hint="eastAsia" w:ascii="Times New Roman" w:hAnsi="Times New Roman" w:eastAsia="宋体" w:cs="Times New Roman"/>
                <w:bCs/>
                <w:color w:val="auto"/>
                <w:sz w:val="24"/>
                <w:lang w:val="en-US" w:eastAsia="zh-CN"/>
              </w:rPr>
              <w:t>20</w:t>
            </w:r>
            <w:r>
              <w:rPr>
                <w:rFonts w:hint="eastAsia" w:ascii="Times New Roman" w:hAnsi="Times New Roman" w:eastAsia="宋体" w:cs="Times New Roman"/>
                <w:bCs/>
                <w:color w:val="auto"/>
                <w:sz w:val="24"/>
              </w:rPr>
              <w:t>m外施工噪声可达标排放。</w:t>
            </w:r>
          </w:p>
          <w:p>
            <w:pPr>
              <w:spacing w:line="360" w:lineRule="auto"/>
              <w:ind w:firstLine="481"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2）</w:t>
            </w:r>
            <w:r>
              <w:rPr>
                <w:rFonts w:hint="default" w:ascii="Times New Roman" w:hAnsi="Times New Roman" w:eastAsia="宋体" w:cs="Times New Roman"/>
                <w:b/>
                <w:bCs w:val="0"/>
                <w:color w:val="auto"/>
                <w:sz w:val="24"/>
              </w:rPr>
              <w:t>敏感点达标分析</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项目周围敏感点声环境质量按照《声环境质量标准》（GB3096-2008）</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rPr>
              <w:t xml:space="preserve"> 类区标准进行保护。</w:t>
            </w:r>
            <w:r>
              <w:rPr>
                <w:rFonts w:hint="eastAsia" w:ascii="Times New Roman" w:hAnsi="Times New Roman" w:eastAsia="宋体" w:cs="Times New Roman"/>
                <w:bCs/>
                <w:color w:val="auto"/>
                <w:sz w:val="24"/>
                <w:lang w:val="en-US" w:eastAsia="zh-CN"/>
              </w:rPr>
              <w:t>山脚距离</w:t>
            </w:r>
            <w:r>
              <w:rPr>
                <w:rFonts w:hint="eastAsia" w:ascii="Times New Roman" w:hAnsi="Times New Roman" w:eastAsia="宋体" w:cs="Times New Roman"/>
                <w:bCs/>
                <w:color w:val="auto"/>
                <w:sz w:val="24"/>
              </w:rPr>
              <w:t>施工区域</w:t>
            </w:r>
            <w:r>
              <w:rPr>
                <w:rFonts w:hint="eastAsia" w:ascii="Times New Roman" w:hAnsi="Times New Roman" w:eastAsia="宋体" w:cs="Times New Roman"/>
                <w:bCs/>
                <w:color w:val="auto"/>
                <w:sz w:val="24"/>
                <w:lang w:val="en-US" w:eastAsia="zh-CN"/>
              </w:rPr>
              <w:t>最近，是49m。</w:t>
            </w:r>
            <w:r>
              <w:rPr>
                <w:rFonts w:hint="eastAsia" w:ascii="Times New Roman" w:hAnsi="Times New Roman" w:eastAsia="宋体" w:cs="Times New Roman"/>
                <w:bCs/>
                <w:color w:val="auto"/>
                <w:sz w:val="24"/>
              </w:rPr>
              <w:t>经计算最不利情况下即所有声源同时作用下对声环境敏感点的噪声预测值可知，施工期间将会造成</w:t>
            </w:r>
            <w:r>
              <w:rPr>
                <w:rFonts w:hint="eastAsia" w:ascii="Times New Roman" w:hAnsi="Times New Roman" w:eastAsia="宋体" w:cs="Times New Roman"/>
                <w:bCs/>
                <w:color w:val="auto"/>
                <w:sz w:val="24"/>
                <w:lang w:val="en-US" w:eastAsia="zh-CN"/>
              </w:rPr>
              <w:t>6个敏感点</w:t>
            </w:r>
            <w:r>
              <w:rPr>
                <w:rFonts w:hint="eastAsia" w:ascii="Times New Roman" w:hAnsi="Times New Roman" w:eastAsia="宋体" w:cs="Times New Roman"/>
                <w:bCs/>
                <w:color w:val="auto"/>
                <w:sz w:val="24"/>
              </w:rPr>
              <w:t>声环境质量超标。实际上施工期间基本不存在所有机械同时施工的情况，因此，超标程度应该比预测要小。夜间避免施工的情况下，项目施工不会造成</w:t>
            </w:r>
            <w:r>
              <w:rPr>
                <w:rFonts w:hint="eastAsia" w:ascii="Times New Roman" w:hAnsi="Times New Roman" w:eastAsia="宋体" w:cs="Times New Roman"/>
                <w:bCs/>
                <w:color w:val="auto"/>
                <w:sz w:val="24"/>
                <w:lang w:val="en-US" w:eastAsia="zh-CN"/>
              </w:rPr>
              <w:t>居民点</w:t>
            </w:r>
            <w:r>
              <w:rPr>
                <w:rFonts w:hint="eastAsia" w:ascii="Times New Roman" w:hAnsi="Times New Roman" w:eastAsia="宋体" w:cs="Times New Roman"/>
                <w:bCs/>
                <w:color w:val="auto"/>
                <w:sz w:val="24"/>
              </w:rPr>
              <w:t>夜间噪声超标。施工噪声影响是短暂的，随着施工结束影响将消失。</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为减少噪声对距离最近的居民点的影响，环评要求：</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a.施工机械应尽量选用低噪机械，加强维护，尽量降低施工机械噪声，施工场地距离居民点较近的区域进行临时围挡，同时与周边群众积极沟通，尽可能互相谅解，防止因噪声扰民而出现群体性事件。</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b.做好工程施工组织计划，尽量集中在昼间施工，禁止夜间作业。</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c.做好施工机械的日常维护，使施工机械的噪声维持在最低水平。</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d.</w:t>
            </w:r>
            <w:r>
              <w:rPr>
                <w:rFonts w:hint="eastAsia" w:ascii="Times New Roman" w:hAnsi="Times New Roman" w:eastAsia="宋体" w:cs="Times New Roman"/>
                <w:bCs/>
                <w:color w:val="auto"/>
                <w:sz w:val="24"/>
                <w:lang w:val="en-US" w:eastAsia="zh-CN"/>
              </w:rPr>
              <w:t>项目区</w:t>
            </w:r>
            <w:r>
              <w:rPr>
                <w:rFonts w:hint="eastAsia" w:ascii="Times New Roman" w:hAnsi="Times New Roman" w:eastAsia="宋体" w:cs="Times New Roman"/>
                <w:bCs/>
                <w:color w:val="auto"/>
                <w:sz w:val="24"/>
              </w:rPr>
              <w:t>靠近</w:t>
            </w:r>
            <w:r>
              <w:rPr>
                <w:rFonts w:hint="eastAsia" w:ascii="Times New Roman" w:hAnsi="Times New Roman" w:eastAsia="宋体" w:cs="Times New Roman"/>
                <w:bCs/>
                <w:color w:val="auto"/>
                <w:sz w:val="24"/>
                <w:lang w:val="en-US" w:eastAsia="zh-CN"/>
              </w:rPr>
              <w:t>山脚的</w:t>
            </w:r>
            <w:r>
              <w:rPr>
                <w:rFonts w:hint="eastAsia" w:ascii="Times New Roman" w:hAnsi="Times New Roman" w:eastAsia="宋体" w:cs="Times New Roman"/>
                <w:bCs/>
                <w:color w:val="auto"/>
                <w:sz w:val="24"/>
              </w:rPr>
              <w:t>施工场地不宜设置高噪声设备，需要切割、钻孔的材料在营地预制准备好后运送到现场进行安装，尽量不在距离居民点较近进行高噪声机械操作。</w:t>
            </w:r>
          </w:p>
          <w:p>
            <w:pPr>
              <w:spacing w:line="360" w:lineRule="auto"/>
              <w:ind w:firstLine="481" w:firstLineChars="200"/>
              <w:rPr>
                <w:rFonts w:hint="eastAsia" w:ascii="Times New Roman" w:hAnsi="Times New Roman" w:eastAsia="宋体" w:cs="Times New Roman"/>
                <w:b/>
                <w:bCs w:val="0"/>
                <w:color w:val="auto"/>
                <w:sz w:val="24"/>
              </w:rPr>
            </w:pPr>
            <w:r>
              <w:rPr>
                <w:rFonts w:hint="eastAsia" w:ascii="Times New Roman" w:hAnsi="Times New Roman" w:eastAsia="宋体" w:cs="Times New Roman"/>
                <w:b/>
                <w:bCs w:val="0"/>
                <w:color w:val="auto"/>
                <w:sz w:val="24"/>
                <w:lang w:val="en-US" w:eastAsia="zh-CN"/>
              </w:rPr>
              <w:t>3）</w:t>
            </w:r>
            <w:r>
              <w:rPr>
                <w:rFonts w:hint="eastAsia" w:ascii="Times New Roman" w:hAnsi="Times New Roman" w:eastAsia="宋体" w:cs="Times New Roman"/>
                <w:b/>
                <w:bCs w:val="0"/>
                <w:color w:val="auto"/>
                <w:sz w:val="24"/>
              </w:rPr>
              <w:t>施工交通运输噪声影响分析</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项目施工期交通噪声主要来源于物料运输车辆行驶过程中产生的交通噪声，交通噪声为间歇性噪声，不同类型的运输车辆产生的交通噪声不同，与车辆重量及行驶速度呈正相关，交通噪声源强在 70~90dB（A）之间。</w:t>
            </w:r>
          </w:p>
          <w:p>
            <w:pPr>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建设单位在合理规划物料运输路线及运输时间，并对运输车辆作出经过声环境敏感点时减速慢行、禁止鸣笛等要求后，项目施工期运输车辆产生的交通噪声对周围环境影响较小，且项目交通噪声影响是暂时的，随着施工结束这些影响也将消失，不会对周围环境及声环境敏感点产生较大的影响。</w:t>
            </w:r>
          </w:p>
          <w:bookmarkEnd w:id="67"/>
          <w:bookmarkEnd w:id="68"/>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textAlignment w:val="auto"/>
              <w:rPr>
                <w:rFonts w:hAnsi="宋体"/>
                <w:b/>
                <w:bCs/>
                <w:color w:val="auto"/>
                <w:sz w:val="24"/>
              </w:rPr>
            </w:pPr>
            <w:r>
              <w:rPr>
                <w:rFonts w:hint="eastAsia" w:hAnsi="宋体"/>
                <w:b/>
                <w:bCs/>
                <w:color w:val="auto"/>
                <w:sz w:val="24"/>
                <w:lang w:val="en-US" w:eastAsia="zh-CN"/>
              </w:rPr>
              <w:t>4.1.2.5施工期固体废物</w:t>
            </w:r>
          </w:p>
          <w:p>
            <w:pPr>
              <w:adjustRightInd w:val="0"/>
              <w:snapToGrid w:val="0"/>
              <w:spacing w:line="360" w:lineRule="auto"/>
              <w:ind w:firstLine="480" w:firstLineChars="200"/>
              <w:rPr>
                <w:rFonts w:hint="eastAsia"/>
                <w:color w:val="auto"/>
                <w:sz w:val="24"/>
              </w:rPr>
            </w:pPr>
            <w:r>
              <w:rPr>
                <w:rFonts w:hint="eastAsia"/>
                <w:color w:val="auto"/>
                <w:sz w:val="24"/>
              </w:rPr>
              <w:t>项目施工期固体废物主要为</w:t>
            </w:r>
            <w:r>
              <w:rPr>
                <w:rFonts w:hint="eastAsia"/>
                <w:color w:val="auto"/>
                <w:sz w:val="24"/>
                <w:lang w:val="en-US" w:eastAsia="zh-CN"/>
              </w:rPr>
              <w:t>废弃</w:t>
            </w:r>
            <w:r>
              <w:rPr>
                <w:rFonts w:hint="eastAsia"/>
                <w:color w:val="auto"/>
                <w:sz w:val="24"/>
              </w:rPr>
              <w:t>土石方、建筑垃圾、生活垃圾等。</w:t>
            </w:r>
          </w:p>
          <w:p>
            <w:pPr>
              <w:adjustRightInd w:val="0"/>
              <w:snapToGrid w:val="0"/>
              <w:spacing w:line="360" w:lineRule="auto"/>
              <w:ind w:firstLine="481" w:firstLineChars="200"/>
              <w:rPr>
                <w:rFonts w:hint="eastAsia"/>
                <w:b/>
                <w:bCs/>
                <w:color w:val="auto"/>
                <w:sz w:val="24"/>
              </w:rPr>
            </w:pPr>
            <w:r>
              <w:rPr>
                <w:rFonts w:hint="eastAsia"/>
                <w:b/>
                <w:bCs/>
                <w:color w:val="auto"/>
                <w:sz w:val="24"/>
              </w:rPr>
              <w:t>（1）废弃土石方</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项目共开挖土石方</w:t>
            </w:r>
            <w:r>
              <w:rPr>
                <w:rFonts w:hint="eastAsia" w:hAnsi="宋体"/>
                <w:color w:val="auto"/>
                <w:kern w:val="0"/>
                <w:sz w:val="24"/>
                <w:lang w:val="en-US" w:eastAsia="zh-CN"/>
              </w:rPr>
              <w:t>21.64</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（其中表土剥离</w:t>
            </w:r>
            <w:r>
              <w:rPr>
                <w:rFonts w:hint="eastAsia" w:hAnsi="宋体"/>
                <w:color w:val="auto"/>
                <w:kern w:val="0"/>
                <w:sz w:val="24"/>
                <w:lang w:val="en-US" w:eastAsia="zh-CN"/>
              </w:rPr>
              <w:t>1.52</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，开挖土石方</w:t>
            </w:r>
            <w:r>
              <w:rPr>
                <w:rFonts w:hint="eastAsia" w:hAnsi="宋体"/>
                <w:color w:val="auto"/>
                <w:kern w:val="0"/>
                <w:sz w:val="24"/>
                <w:lang w:val="en-US" w:eastAsia="zh-CN"/>
              </w:rPr>
              <w:t>20.12</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），回填土石方</w:t>
            </w:r>
            <w:r>
              <w:rPr>
                <w:rFonts w:hint="eastAsia" w:hAnsi="宋体"/>
                <w:color w:val="auto"/>
                <w:kern w:val="0"/>
                <w:sz w:val="24"/>
                <w:lang w:val="en-US" w:eastAsia="zh-CN"/>
              </w:rPr>
              <w:t>21.64</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（其中绿化覆土</w:t>
            </w:r>
            <w:r>
              <w:rPr>
                <w:rFonts w:hint="eastAsia" w:hAnsi="宋体"/>
                <w:color w:val="auto"/>
                <w:kern w:val="0"/>
                <w:sz w:val="24"/>
                <w:lang w:val="en-US" w:eastAsia="zh-CN"/>
              </w:rPr>
              <w:t>1.52</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，土石方回填</w:t>
            </w:r>
            <w:r>
              <w:rPr>
                <w:rFonts w:hint="eastAsia" w:hAnsi="宋体"/>
                <w:color w:val="auto"/>
                <w:kern w:val="0"/>
                <w:sz w:val="24"/>
                <w:lang w:val="en-US" w:eastAsia="zh-CN"/>
              </w:rPr>
              <w:t>20.12</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）。剥离的表土临主要回填于道路区</w:t>
            </w:r>
            <w:r>
              <w:rPr>
                <w:rFonts w:hint="eastAsia" w:ascii="Times New Roman" w:hAnsi="Times New Roman" w:eastAsia="宋体" w:cs="Times New Roman"/>
                <w:color w:val="auto"/>
                <w:sz w:val="24"/>
                <w:lang w:val="en-US" w:eastAsia="zh-CN"/>
              </w:rPr>
              <w:t>和空地区</w:t>
            </w:r>
            <w:r>
              <w:rPr>
                <w:rFonts w:hint="default" w:ascii="Times New Roman" w:hAnsi="Times New Roman" w:eastAsia="宋体" w:cs="Times New Roman"/>
                <w:color w:val="auto"/>
                <w:sz w:val="24"/>
              </w:rPr>
              <w:t>。工程建设产生的土石方均在项目区挖填平衡，不产生永久弃方，不设置永久弃渣场，土石方开挖对环境影响小。</w:t>
            </w:r>
          </w:p>
          <w:p>
            <w:pPr>
              <w:adjustRightInd w:val="0"/>
              <w:snapToGrid w:val="0"/>
              <w:spacing w:line="360" w:lineRule="auto"/>
              <w:ind w:firstLine="480" w:firstLineChars="200"/>
              <w:rPr>
                <w:rFonts w:hAnsi="宋体"/>
                <w:color w:val="auto"/>
                <w:sz w:val="24"/>
              </w:rPr>
            </w:pPr>
            <w:r>
              <w:rPr>
                <w:rFonts w:hint="eastAsia" w:hAnsi="宋体"/>
                <w:color w:val="auto"/>
                <w:sz w:val="24"/>
              </w:rPr>
              <w:t>施工时要特别注意，应将表层土与下层土分开，表土单独剥离并集中保存于临时表土堆场，待施工完毕后对需植被恢复及复垦的土地进行覆土，以保障植被存活率及耕作基本条件。在临时表土堆存期间，需对表土临时堆场进行临时覆盖，周边布置临时排水沟，并在坡脚进行临时拦挡，防止水土流失。</w:t>
            </w:r>
          </w:p>
          <w:p>
            <w:pPr>
              <w:adjustRightInd w:val="0"/>
              <w:snapToGrid w:val="0"/>
              <w:spacing w:line="360" w:lineRule="auto"/>
              <w:ind w:firstLine="481" w:firstLineChars="200"/>
              <w:rPr>
                <w:rFonts w:hint="eastAsia"/>
                <w:b/>
                <w:bCs/>
                <w:color w:val="auto"/>
                <w:sz w:val="24"/>
              </w:rPr>
            </w:pPr>
            <w:r>
              <w:rPr>
                <w:rFonts w:hint="eastAsia"/>
                <w:b/>
                <w:bCs/>
                <w:color w:val="auto"/>
                <w:sz w:val="24"/>
              </w:rPr>
              <w:t>（2）建筑垃圾</w:t>
            </w:r>
          </w:p>
          <w:p>
            <w:pPr>
              <w:adjustRightInd w:val="0"/>
              <w:snapToGrid w:val="0"/>
              <w:spacing w:line="360" w:lineRule="auto"/>
              <w:ind w:firstLine="480" w:firstLineChars="200"/>
              <w:rPr>
                <w:rFonts w:hint="eastAsia"/>
                <w:color w:val="auto"/>
                <w:sz w:val="24"/>
              </w:rPr>
            </w:pPr>
            <w:r>
              <w:rPr>
                <w:rFonts w:hint="eastAsia"/>
                <w:color w:val="auto"/>
                <w:sz w:val="24"/>
              </w:rPr>
              <w:t>施工建筑垃圾包括石料、砂、包装袋等；石料、砂等集中收集，运至周边运输道路进行回填；废钢筋、包装袋等回收利用。严格执行《昆明市城市建筑垃圾管理实施办法实施细则（修订）》（2018年），建筑垃圾分类收集，能利用部分外售收购商进行回收利用，不可回收部分委托有资质单位清运至政府部门指定的场所进行处置</w:t>
            </w:r>
            <w:r>
              <w:rPr>
                <w:rFonts w:hint="eastAsia"/>
                <w:color w:val="auto"/>
                <w:sz w:val="24"/>
                <w:lang w:eastAsia="zh-CN"/>
              </w:rPr>
              <w:t>，</w:t>
            </w:r>
            <w:r>
              <w:rPr>
                <w:rFonts w:hint="eastAsia"/>
                <w:color w:val="auto"/>
                <w:sz w:val="24"/>
              </w:rPr>
              <w:t>禁止乱堆乱倒。</w:t>
            </w:r>
          </w:p>
          <w:p>
            <w:pPr>
              <w:adjustRightInd w:val="0"/>
              <w:snapToGrid w:val="0"/>
              <w:spacing w:line="360" w:lineRule="auto"/>
              <w:ind w:firstLine="480" w:firstLineChars="200"/>
              <w:rPr>
                <w:rFonts w:hint="eastAsia"/>
                <w:color w:val="auto"/>
                <w:sz w:val="24"/>
              </w:rPr>
            </w:pPr>
            <w:r>
              <w:rPr>
                <w:rFonts w:hint="eastAsia"/>
                <w:color w:val="auto"/>
                <w:sz w:val="24"/>
              </w:rPr>
              <w:t>施工建筑垃圾妥善处置，对周边环境影响较小。</w:t>
            </w:r>
          </w:p>
          <w:p>
            <w:pPr>
              <w:adjustRightInd w:val="0"/>
              <w:snapToGrid w:val="0"/>
              <w:spacing w:line="360" w:lineRule="auto"/>
              <w:ind w:firstLine="481" w:firstLineChars="200"/>
              <w:rPr>
                <w:rFonts w:hint="eastAsia"/>
                <w:b/>
                <w:bCs/>
                <w:color w:val="auto"/>
                <w:sz w:val="24"/>
              </w:rPr>
            </w:pPr>
            <w:r>
              <w:rPr>
                <w:rFonts w:hint="eastAsia"/>
                <w:b/>
                <w:bCs/>
                <w:color w:val="auto"/>
                <w:sz w:val="24"/>
              </w:rPr>
              <w:t>（3）生活垃圾及粪便</w:t>
            </w:r>
          </w:p>
          <w:p>
            <w:pPr>
              <w:adjustRightInd w:val="0"/>
              <w:snapToGrid w:val="0"/>
              <w:spacing w:line="360" w:lineRule="auto"/>
              <w:ind w:firstLine="480" w:firstLineChars="200"/>
              <w:rPr>
                <w:rFonts w:hint="eastAsia"/>
                <w:color w:val="auto"/>
              </w:rPr>
            </w:pPr>
            <w:r>
              <w:rPr>
                <w:rFonts w:hint="eastAsia"/>
                <w:color w:val="auto"/>
                <w:sz w:val="24"/>
              </w:rPr>
              <w:t>项目施工人员为100人，生活垃圾产生量按1kg/人·d进行估算，则项目施工期生活垃圾产生量为100kg/d。生活垃圾收集后送至附近</w:t>
            </w:r>
            <w:r>
              <w:rPr>
                <w:rFonts w:hint="eastAsia"/>
                <w:color w:val="auto"/>
                <w:sz w:val="24"/>
                <w:lang w:val="en-US" w:eastAsia="zh-CN"/>
              </w:rPr>
              <w:t>村镇</w:t>
            </w:r>
            <w:r>
              <w:rPr>
                <w:rFonts w:hint="eastAsia"/>
                <w:color w:val="auto"/>
                <w:sz w:val="24"/>
              </w:rPr>
              <w:t>生活垃圾收集点由环卫部门清运</w:t>
            </w:r>
            <w:r>
              <w:rPr>
                <w:rFonts w:hint="eastAsia"/>
                <w:color w:val="auto"/>
                <w:sz w:val="24"/>
                <w:lang w:eastAsia="zh-CN"/>
              </w:rPr>
              <w:t>，粪便定时由当地百姓清运用作农肥</w:t>
            </w:r>
            <w:r>
              <w:rPr>
                <w:rFonts w:hint="eastAsia"/>
                <w:color w:val="auto"/>
                <w:sz w:val="24"/>
              </w:rPr>
              <w:t>。</w:t>
            </w:r>
            <w:bookmarkEnd w:id="65"/>
            <w:bookmarkEnd w:id="6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456" w:type="dxa"/>
            <w:noWrap w:val="0"/>
            <w:tcMar>
              <w:left w:w="28" w:type="dxa"/>
              <w:right w:w="28" w:type="dxa"/>
            </w:tcMar>
            <w:vAlign w:val="center"/>
          </w:tcPr>
          <w:p>
            <w:pPr>
              <w:pStyle w:val="82"/>
              <w:adjustRightInd w:val="0"/>
              <w:snapToGrid w:val="0"/>
              <w:spacing w:before="0" w:beforeAutospacing="0" w:after="0" w:afterAutospacing="0"/>
              <w:jc w:val="center"/>
              <w:rPr>
                <w:rFonts w:ascii="Times New Roman" w:hAnsi="Times New Roman"/>
                <w:bCs/>
                <w:color w:val="auto"/>
                <w:kern w:val="2"/>
                <w:sz w:val="21"/>
                <w:szCs w:val="21"/>
                <w:lang w:val="en-US" w:eastAsia="zh-CN"/>
              </w:rPr>
            </w:pPr>
            <w:r>
              <w:rPr>
                <w:rFonts w:ascii="Times New Roman" w:hAnsi="Times New Roman"/>
                <w:bCs/>
                <w:color w:val="auto"/>
                <w:spacing w:val="10"/>
                <w:kern w:val="2"/>
                <w:sz w:val="21"/>
                <w:szCs w:val="21"/>
                <w:lang w:val="en-US" w:eastAsia="zh-CN"/>
              </w:rPr>
              <w:t>运营期生态环境影响分析</w:t>
            </w:r>
          </w:p>
        </w:tc>
        <w:tc>
          <w:tcPr>
            <w:tcW w:w="8910"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b/>
                <w:color w:val="auto"/>
                <w:sz w:val="28"/>
                <w:szCs w:val="28"/>
              </w:rPr>
            </w:pPr>
            <w:r>
              <w:rPr>
                <w:rFonts w:hint="eastAsia"/>
                <w:b/>
                <w:color w:val="auto"/>
                <w:sz w:val="28"/>
                <w:szCs w:val="28"/>
                <w:lang w:val="en-US" w:eastAsia="zh-CN"/>
              </w:rPr>
              <w:t>1、</w:t>
            </w:r>
            <w:r>
              <w:rPr>
                <w:b/>
                <w:color w:val="auto"/>
                <w:sz w:val="28"/>
                <w:szCs w:val="28"/>
              </w:rPr>
              <w:t>运营期工艺流程及产污节点</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项目运营期主要是接待来森林公园游玩的游客。产污工序如下：</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废气：本项目产生的废气主要为汽车尾气、公厕产生的恶臭。</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废水：本项目废水主要为游客和职工如厕产生的生活污水。</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噪声：本项目噪声主要有游客产生的人群噪声和汽车行驶产生的交通噪声。</w:t>
            </w:r>
          </w:p>
          <w:p>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固废：本项目产生的固废主要为游客和职工产生的生活垃圾。</w:t>
            </w:r>
          </w:p>
          <w:p>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运营期工艺流程及产污环节图如下。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kern w:val="0"/>
                <w:sz w:val="24"/>
                <w:lang w:val="en-US" w:eastAsia="zh-CN"/>
              </w:rPr>
            </w:pPr>
            <w:r>
              <w:rPr>
                <w:rFonts w:hint="eastAsia" w:eastAsiaTheme="minorEastAsia"/>
                <w:color w:val="auto"/>
                <w:lang w:eastAsia="zh-CN"/>
              </w:rPr>
              <w:drawing>
                <wp:inline distT="0" distB="0" distL="114300" distR="114300">
                  <wp:extent cx="5269865" cy="2432685"/>
                  <wp:effectExtent l="0" t="0" r="0" b="0"/>
                  <wp:docPr id="3" name="ECB019B1-382A-4266-B25C-5B523AA43C14-1" descr="C:/Users/Lenovo/AppData/Local/Temp/wps.wOnQk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Lenovo/AppData/Local/Temp/wps.wOnQkdwps"/>
                          <pic:cNvPicPr>
                            <a:picLocks noChangeAspect="1"/>
                          </pic:cNvPicPr>
                        </pic:nvPicPr>
                        <pic:blipFill>
                          <a:blip r:embed="rId10"/>
                          <a:stretch>
                            <a:fillRect/>
                          </a:stretch>
                        </pic:blipFill>
                        <pic:spPr>
                          <a:xfrm>
                            <a:off x="0" y="0"/>
                            <a:ext cx="5269865" cy="2432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4-1 运营期工艺流程及产污环节图</w:t>
            </w:r>
          </w:p>
          <w:p>
            <w:pPr>
              <w:keepNext w:val="0"/>
              <w:keepLines w:val="0"/>
              <w:pageBreakBefore w:val="0"/>
              <w:widowControl w:val="0"/>
              <w:kinsoku/>
              <w:wordWrap/>
              <w:overflowPunct/>
              <w:topLinePunct w:val="0"/>
              <w:autoSpaceDE/>
              <w:autoSpaceDN/>
              <w:bidi w:val="0"/>
              <w:adjustRightInd/>
              <w:snapToGrid w:val="0"/>
              <w:spacing w:line="480" w:lineRule="auto"/>
              <w:ind w:firstLine="0" w:firstLineChars="0"/>
              <w:textAlignment w:val="auto"/>
              <w:rPr>
                <w:rFonts w:hint="eastAsia"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val="en-US" w:eastAsia="zh-CN"/>
              </w:rPr>
              <w:t>4.2.2 运营期环境影响分析</w:t>
            </w:r>
          </w:p>
          <w:p>
            <w:pPr>
              <w:keepNext w:val="0"/>
              <w:keepLines w:val="0"/>
              <w:pageBreakBefore w:val="0"/>
              <w:kinsoku/>
              <w:wordWrap/>
              <w:overflowPunct/>
              <w:topLinePunct w:val="0"/>
              <w:bidi w:val="0"/>
              <w:snapToGrid/>
              <w:spacing w:line="360" w:lineRule="auto"/>
              <w:ind w:firstLine="481" w:firstLineChars="200"/>
              <w:textAlignment w:val="auto"/>
              <w:rPr>
                <w:rFonts w:hint="eastAsia"/>
                <w:b/>
                <w:color w:val="auto"/>
                <w:sz w:val="24"/>
                <w:lang w:val="en-US" w:eastAsia="zh-CN"/>
              </w:rPr>
            </w:pPr>
            <w:r>
              <w:rPr>
                <w:rFonts w:hint="eastAsia"/>
                <w:b/>
                <w:color w:val="auto"/>
                <w:sz w:val="24"/>
                <w:lang w:val="en-US" w:eastAsia="zh-CN"/>
              </w:rPr>
              <w:t>4.2.2.1 生态环境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1" w:firstLineChars="200"/>
              <w:jc w:val="left"/>
              <w:textAlignment w:val="auto"/>
              <w:rPr>
                <w:rFonts w:hint="eastAsia"/>
                <w:b/>
                <w:color w:val="auto"/>
                <w:sz w:val="24"/>
                <w:lang w:val="en-US" w:eastAsia="zh-CN"/>
              </w:rPr>
            </w:pPr>
            <w:r>
              <w:rPr>
                <w:rFonts w:hint="eastAsia"/>
                <w:b/>
                <w:color w:val="auto"/>
                <w:sz w:val="24"/>
                <w:lang w:val="en-US" w:eastAsia="zh-CN"/>
              </w:rPr>
              <w:t>（1）对地表植被的影响分析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运营期对植被的影响主要体现在植被破坏，从综合效益的角度出发，建议种植一些经济价值较高、需要遮光、耐阴的经济植物种类，如魔芋、滇黄精、重楼等。此时，植被类型将演替为受人类影响较大的喜阴人工植被。利用土地上种植农作物，对于占用的原本只长灌木和荒草植被的土地，提高了土地利用效率。工程对植物的影响是处于可控制范围之内，不会对区域外植被造成破坏影响，对地表植被影响较小。</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1" w:firstLineChars="200"/>
              <w:jc w:val="left"/>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（2）对当地动物的影响</w:t>
            </w:r>
          </w:p>
          <w:p>
            <w:pPr>
              <w:pStyle w:val="28"/>
              <w:keepNext w:val="0"/>
              <w:keepLines w:val="0"/>
              <w:pageBreakBefore w:val="0"/>
              <w:widowControl/>
              <w:kinsoku/>
              <w:wordWrap/>
              <w:overflowPunct/>
              <w:topLinePunct w:val="0"/>
              <w:autoSpaceDE/>
              <w:autoSpaceDN/>
              <w:bidi w:val="0"/>
              <w:adjustRightInd/>
              <w:snapToGrid/>
              <w:spacing w:before="0"/>
              <w:ind w:firstLine="480" w:firstLineChars="200"/>
              <w:textAlignment w:val="auto"/>
              <w:rPr>
                <w:rFonts w:hint="eastAsia"/>
                <w:color w:val="auto"/>
                <w:lang w:val="en-US" w:eastAsia="zh-CN"/>
              </w:rPr>
            </w:pPr>
            <w:r>
              <w:rPr>
                <w:rFonts w:hint="eastAsia"/>
                <w:color w:val="auto"/>
                <w:lang w:val="en-US" w:eastAsia="zh-CN"/>
              </w:rPr>
              <w:t>该项目建成后，项目区域设置围栏，将减少地面动物的活动区域，但围栏遮挡以及支架使用的面积较小，影响范围小；该项目声源少，噪声值较低，噪声源产生的噪声经隔声和距离衰减后，不会对地面上动物的日常活动造成影响。因此，项目建设不会对区域内动物的生存环境造成明显影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1" w:firstLineChars="200"/>
              <w:jc w:val="left"/>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（3）水土流失影响</w:t>
            </w:r>
          </w:p>
          <w:p>
            <w:pPr>
              <w:pStyle w:val="28"/>
              <w:keepNext w:val="0"/>
              <w:keepLines w:val="0"/>
              <w:pageBreakBefore w:val="0"/>
              <w:widowControl/>
              <w:kinsoku/>
              <w:wordWrap/>
              <w:overflowPunct/>
              <w:topLinePunct w:val="0"/>
              <w:autoSpaceDE/>
              <w:autoSpaceDN/>
              <w:bidi w:val="0"/>
              <w:adjustRightInd/>
              <w:snapToGrid/>
              <w:spacing w:before="0"/>
              <w:ind w:firstLine="480" w:firstLineChars="200"/>
              <w:textAlignment w:val="auto"/>
              <w:rPr>
                <w:rFonts w:hint="eastAsia" w:ascii="Arial" w:hAnsi="Arial" w:eastAsia="宋体" w:cs="Times New Roman"/>
                <w:color w:val="auto"/>
                <w:lang w:val="en-US" w:eastAsia="zh-CN"/>
              </w:rPr>
            </w:pPr>
            <w:r>
              <w:rPr>
                <w:rFonts w:hint="eastAsia" w:ascii="Arial" w:hAnsi="Arial" w:eastAsia="宋体" w:cs="Times New Roman"/>
                <w:color w:val="auto"/>
                <w:lang w:val="en-US" w:eastAsia="zh-CN"/>
              </w:rPr>
              <w:t>项目投入运行后，其水土流失防护工程也完成并开始发挥作用，可有效控制项目建设引起的水土流失。区域采取种植农作物，有保持水土的功效，但是项目部分区域采用植物措施，临时占地范围内的植被恢复</w:t>
            </w:r>
            <w:r>
              <w:rPr>
                <w:rFonts w:hint="default" w:ascii="Times New Roman" w:hAnsi="Times New Roman" w:eastAsia="宋体" w:cs="Times New Roman"/>
                <w:color w:val="auto"/>
                <w:lang w:val="en-US" w:eastAsia="zh-CN"/>
              </w:rPr>
              <w:t>一般在3年</w:t>
            </w:r>
            <w:r>
              <w:rPr>
                <w:rFonts w:hint="eastAsia" w:ascii="Arial" w:hAnsi="Arial" w:eastAsia="宋体" w:cs="Times New Roman"/>
                <w:color w:val="auto"/>
                <w:lang w:val="en-US" w:eastAsia="zh-CN"/>
              </w:rPr>
              <w:t>内才能逐步稳定，达到较好的水土保持效果。在水土保持工程和植物措施有效发挥作用后，项目区内的水土流失可得到完全控制，项目建设区的水土流失可达到轻度以下水平，工程建设造成的水土流失可得到基本治理，并使工程占地区域内水土流失状况得到明显改善。因此，项目运营期不会引起不良的水土流失。</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1" w:firstLineChars="200"/>
              <w:jc w:val="left"/>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（4）对区域景观的影响分析</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eastAsia" w:ascii="Arial" w:hAnsi="Arial" w:eastAsia="宋体" w:cs="Times New Roman"/>
                <w:color w:val="auto"/>
                <w:lang w:val="en-US" w:eastAsia="zh-CN"/>
              </w:rPr>
            </w:pPr>
            <w:r>
              <w:rPr>
                <w:rFonts w:hint="eastAsia" w:ascii="Arial" w:hAnsi="Arial" w:eastAsia="宋体" w:cs="Times New Roman"/>
                <w:color w:val="auto"/>
                <w:lang w:val="en-US" w:eastAsia="zh-CN"/>
              </w:rPr>
              <w:t>项目实施后，占地面积较大，且颜色、样式单一，改变了原有的生态景观，将造成区域视觉景观单一化。本电站在设计布局时，在满足设计要求的同时，将尽量依山势布置，安装倾角不会面向地面，在视觉上不面向人眼，以减少对景观在形态上的影响，因此，建设对区域景观影响较小。</w:t>
            </w:r>
          </w:p>
          <w:p>
            <w:pPr>
              <w:keepNext w:val="0"/>
              <w:keepLines w:val="0"/>
              <w:pageBreakBefore w:val="0"/>
              <w:widowControl w:val="0"/>
              <w:kinsoku/>
              <w:wordWrap/>
              <w:overflowPunct/>
              <w:topLinePunct w:val="0"/>
              <w:bidi w:val="0"/>
              <w:spacing w:line="360" w:lineRule="auto"/>
              <w:ind w:firstLine="481" w:firstLineChars="200"/>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4.2.2.2 大气环境影响分析</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eastAsia="宋体"/>
                <w:color w:val="auto"/>
                <w:sz w:val="24"/>
                <w:lang w:val="en-US" w:eastAsia="zh-CN"/>
              </w:rPr>
            </w:pPr>
            <w:r>
              <w:rPr>
                <w:rFonts w:hint="eastAsia"/>
                <w:color w:val="auto"/>
                <w:sz w:val="24"/>
              </w:rPr>
              <w:t>本项目运行期</w:t>
            </w:r>
            <w:r>
              <w:rPr>
                <w:rFonts w:hint="eastAsia"/>
                <w:color w:val="auto"/>
                <w:sz w:val="24"/>
                <w:lang w:val="en-US" w:eastAsia="zh-CN"/>
              </w:rPr>
              <w:t>废气主要是卫生间的臭味及汽车尾气，通过卫生管理及喷洒除臭剂等处理恶臭，汽车尾气通过自然扩撒。</w:t>
            </w:r>
          </w:p>
          <w:p>
            <w:pPr>
              <w:keepNext w:val="0"/>
              <w:keepLines w:val="0"/>
              <w:pageBreakBefore w:val="0"/>
              <w:widowControl w:val="0"/>
              <w:kinsoku/>
              <w:wordWrap/>
              <w:overflowPunct/>
              <w:topLinePunct w:val="0"/>
              <w:bidi w:val="0"/>
              <w:spacing w:line="360" w:lineRule="auto"/>
              <w:ind w:firstLine="481" w:firstLineChars="200"/>
              <w:textAlignment w:val="auto"/>
              <w:rPr>
                <w:b/>
                <w:color w:val="auto"/>
                <w:sz w:val="24"/>
              </w:rPr>
            </w:pPr>
            <w:r>
              <w:rPr>
                <w:rFonts w:hint="eastAsia"/>
                <w:b/>
                <w:color w:val="auto"/>
                <w:sz w:val="24"/>
              </w:rPr>
              <w:t>4.2.2.</w:t>
            </w:r>
            <w:r>
              <w:rPr>
                <w:rFonts w:hint="eastAsia"/>
                <w:b/>
                <w:color w:val="auto"/>
                <w:sz w:val="24"/>
                <w:lang w:val="en-US" w:eastAsia="zh-CN"/>
              </w:rPr>
              <w:t xml:space="preserve">3 </w:t>
            </w:r>
            <w:r>
              <w:rPr>
                <w:b/>
                <w:color w:val="auto"/>
                <w:sz w:val="24"/>
              </w:rPr>
              <w:t>水环境影响分析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项目运营期</w:t>
            </w:r>
            <w:r>
              <w:rPr>
                <w:rFonts w:hint="eastAsia"/>
                <w:color w:val="auto"/>
                <w:sz w:val="24"/>
                <w:lang w:val="en-US" w:eastAsia="zh-CN"/>
              </w:rPr>
              <w:t>主要是游客产生的生活废水</w:t>
            </w:r>
            <w:r>
              <w:rPr>
                <w:rFonts w:hint="eastAsia"/>
                <w:color w:val="auto"/>
                <w:sz w:val="24"/>
              </w:rPr>
              <w:t>。项目已有公厕及对应的化粪池，公园内村民都已配备了化粪池</w:t>
            </w:r>
            <w:r>
              <w:rPr>
                <w:rFonts w:hint="eastAsia"/>
                <w:color w:val="auto"/>
                <w:sz w:val="24"/>
                <w:lang w:eastAsia="zh-CN"/>
              </w:rPr>
              <w:t>，</w:t>
            </w:r>
            <w:r>
              <w:rPr>
                <w:rFonts w:hint="eastAsia"/>
                <w:color w:val="auto"/>
                <w:sz w:val="24"/>
                <w:lang w:val="en-US" w:eastAsia="zh-CN"/>
              </w:rPr>
              <w:t>生活污水经过化粪池处理后</w:t>
            </w:r>
            <w:r>
              <w:rPr>
                <w:rFonts w:hint="eastAsia"/>
                <w:color w:val="auto"/>
                <w:sz w:val="24"/>
                <w:lang w:eastAsia="zh-CN"/>
              </w:rPr>
              <w:t>进入市政污水收集管网</w:t>
            </w:r>
            <w:r>
              <w:rPr>
                <w:rFonts w:hint="eastAsia"/>
                <w:color w:val="auto"/>
                <w:sz w:val="24"/>
              </w:rPr>
              <w:t>。本项目只是建设污水收集管网。</w:t>
            </w:r>
          </w:p>
          <w:p>
            <w:pPr>
              <w:keepNext w:val="0"/>
              <w:keepLines w:val="0"/>
              <w:pageBreakBefore w:val="0"/>
              <w:widowControl w:val="0"/>
              <w:kinsoku/>
              <w:wordWrap/>
              <w:overflowPunct/>
              <w:topLinePunct w:val="0"/>
              <w:bidi w:val="0"/>
              <w:spacing w:line="360" w:lineRule="auto"/>
              <w:ind w:firstLine="481" w:firstLineChars="200"/>
              <w:textAlignment w:val="auto"/>
              <w:rPr>
                <w:rFonts w:hint="eastAsia" w:ascii="Times New Roman" w:hAnsi="Times New Roman" w:eastAsia="宋体" w:cs="Times New Roman"/>
                <w:b/>
                <w:color w:val="auto"/>
                <w:sz w:val="24"/>
              </w:rPr>
            </w:pPr>
            <w:r>
              <w:rPr>
                <w:rFonts w:hint="eastAsia" w:ascii="Times New Roman" w:hAnsi="Times New Roman" w:eastAsia="宋体" w:cs="Times New Roman"/>
                <w:b/>
                <w:color w:val="auto"/>
                <w:sz w:val="24"/>
              </w:rPr>
              <w:t>4.2.2.</w:t>
            </w:r>
            <w:r>
              <w:rPr>
                <w:rFonts w:hint="eastAsia" w:ascii="Times New Roman" w:hAnsi="Times New Roman" w:eastAsia="宋体" w:cs="Times New Roman"/>
                <w:b/>
                <w:color w:val="auto"/>
                <w:sz w:val="24"/>
                <w:lang w:val="en-US" w:eastAsia="zh-CN"/>
              </w:rPr>
              <w:t xml:space="preserve">4 </w:t>
            </w:r>
            <w:r>
              <w:rPr>
                <w:rFonts w:hint="eastAsia" w:ascii="Times New Roman" w:hAnsi="Times New Roman" w:eastAsia="宋体" w:cs="Times New Roman"/>
                <w:b/>
                <w:color w:val="auto"/>
                <w:sz w:val="24"/>
              </w:rPr>
              <w:t>声环境影响分析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color w:val="auto"/>
                <w:kern w:val="0"/>
                <w:sz w:val="24"/>
              </w:rPr>
            </w:pPr>
            <w:r>
              <w:rPr>
                <w:rFonts w:hint="eastAsia" w:ascii="Times New Roman" w:hAnsi="Times New Roman" w:eastAsia="宋体" w:cs="Times New Roman"/>
                <w:color w:val="auto"/>
                <w:kern w:val="2"/>
                <w:sz w:val="24"/>
                <w:szCs w:val="24"/>
                <w:lang w:val="en-US" w:eastAsia="zh-CN" w:bidi="ar-SA"/>
              </w:rPr>
              <w:t>项目运营期无噪声设施，主要是交通噪声和人群噪声，通过安装禁止鸣笛和禁止大声喧哗的警示牌进行预防。</w:t>
            </w:r>
          </w:p>
          <w:p>
            <w:pPr>
              <w:spacing w:line="360" w:lineRule="auto"/>
              <w:ind w:firstLine="361" w:firstLineChars="150"/>
              <w:rPr>
                <w:b/>
                <w:color w:val="auto"/>
                <w:sz w:val="24"/>
              </w:rPr>
            </w:pPr>
            <w:r>
              <w:rPr>
                <w:rFonts w:hint="eastAsia"/>
                <w:b/>
                <w:color w:val="auto"/>
                <w:sz w:val="24"/>
              </w:rPr>
              <w:t>4.2.2.5 固体废物</w:t>
            </w:r>
          </w:p>
          <w:p>
            <w:pPr>
              <w:autoSpaceDE w:val="0"/>
              <w:autoSpaceDN w:val="0"/>
              <w:adjustRightInd w:val="0"/>
              <w:spacing w:line="360" w:lineRule="auto"/>
              <w:ind w:firstLine="480" w:firstLineChars="200"/>
              <w:jc w:val="left"/>
              <w:rPr>
                <w:rFonts w:hint="eastAsia"/>
                <w:color w:val="auto"/>
                <w:kern w:val="0"/>
                <w:sz w:val="24"/>
              </w:rPr>
            </w:pPr>
            <w:r>
              <w:rPr>
                <w:rFonts w:hint="eastAsia"/>
                <w:color w:val="auto"/>
                <w:kern w:val="0"/>
                <w:sz w:val="24"/>
              </w:rPr>
              <w:t>运营期项目固废主要为</w:t>
            </w:r>
            <w:r>
              <w:rPr>
                <w:rFonts w:hint="eastAsia"/>
                <w:color w:val="auto"/>
                <w:kern w:val="0"/>
                <w:sz w:val="24"/>
                <w:lang w:val="en-US" w:eastAsia="zh-CN"/>
              </w:rPr>
              <w:t>生活垃圾</w:t>
            </w:r>
            <w:r>
              <w:rPr>
                <w:rFonts w:hint="eastAsia"/>
                <w:color w:val="auto"/>
                <w:kern w:val="0"/>
                <w:sz w:val="24"/>
              </w:rPr>
              <w:t>。</w:t>
            </w:r>
            <w:r>
              <w:rPr>
                <w:rFonts w:hint="eastAsia"/>
                <w:color w:val="auto"/>
                <w:kern w:val="0"/>
                <w:sz w:val="24"/>
                <w:lang w:val="en-US" w:eastAsia="zh-CN"/>
              </w:rPr>
              <w:t>生活垃圾统一收集后转运至环卫部门专业点堆放</w:t>
            </w:r>
            <w:r>
              <w:rPr>
                <w:rFonts w:hint="eastAsia"/>
                <w:color w:val="auto"/>
                <w:kern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4.2.2.6 环境风险分析</w:t>
            </w:r>
          </w:p>
          <w:p>
            <w:pPr>
              <w:autoSpaceDE w:val="0"/>
              <w:autoSpaceDN w:val="0"/>
              <w:adjustRightInd w:val="0"/>
              <w:spacing w:line="360" w:lineRule="auto"/>
              <w:ind w:firstLine="481" w:firstLineChars="200"/>
              <w:jc w:val="left"/>
              <w:rPr>
                <w:rFonts w:hint="eastAsia" w:ascii="Times New Roman" w:hAnsi="Times New Roman" w:eastAsia="宋体" w:cs="Times New Roman"/>
                <w:b/>
                <w:bCs/>
                <w:color w:val="auto"/>
                <w:kern w:val="0"/>
                <w:sz w:val="24"/>
                <w:lang w:eastAsia="zh-CN"/>
              </w:rPr>
            </w:pPr>
            <w:r>
              <w:rPr>
                <w:rFonts w:hint="eastAsia" w:ascii="Times New Roman" w:hAnsi="Times New Roman" w:eastAsia="宋体" w:cs="Times New Roman"/>
                <w:b/>
                <w:bCs/>
                <w:color w:val="auto"/>
                <w:kern w:val="0"/>
                <w:sz w:val="24"/>
              </w:rPr>
              <w:t>4.2.2.</w:t>
            </w:r>
            <w:r>
              <w:rPr>
                <w:rFonts w:hint="eastAsia" w:ascii="Times New Roman" w:hAnsi="Times New Roman" w:eastAsia="宋体" w:cs="Times New Roman"/>
                <w:b/>
                <w:bCs/>
                <w:color w:val="auto"/>
                <w:kern w:val="0"/>
                <w:sz w:val="24"/>
                <w:lang w:val="en-US" w:eastAsia="zh-CN"/>
              </w:rPr>
              <w:t>6.1</w:t>
            </w:r>
            <w:r>
              <w:rPr>
                <w:rFonts w:hint="eastAsia" w:ascii="Times New Roman" w:hAnsi="Times New Roman" w:eastAsia="宋体" w:cs="Times New Roman"/>
                <w:b/>
                <w:bCs/>
                <w:color w:val="auto"/>
                <w:kern w:val="0"/>
                <w:sz w:val="24"/>
              </w:rPr>
              <w:t>风险</w:t>
            </w:r>
            <w:r>
              <w:rPr>
                <w:rFonts w:hint="eastAsia" w:ascii="Times New Roman" w:hAnsi="Times New Roman" w:eastAsia="宋体" w:cs="Times New Roman"/>
                <w:b/>
                <w:bCs/>
                <w:color w:val="auto"/>
                <w:kern w:val="0"/>
                <w:sz w:val="24"/>
                <w:lang w:val="en-US" w:eastAsia="zh-CN"/>
              </w:rPr>
              <w:t>物质</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1.易燃固体（落叶、纸箱、香纸）</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火灾危险性：嵩明望风屏景区位于灵云山森林公园，周围林木多，枯枝落叶，属于易燃固体，堆积状态下通风不良，遇明火（如游客吸烟、电气火花）易引发火灾；木质展架燃烧速度快，且燃烧过程中会产生大量烟雾，可能导致人员窒息。景区为祭祀聚集地，寺中燃烧香纸，易引发火灾。</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蔓延特性：周围为森岭公园，若火灾初期未及时控制，火焰易通过树木杂草速蔓延至周围，形成大面积火灾。</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2.电气相关物质（电缆、配电箱）</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电气火灾风险：电缆老化、绝缘层破损可能导致短路，产生电弧引燃周围可燃物；配电箱（柜）内元器件过载、接触不良，会产生高温，若周边堆放纸箱等易燃物，易引发火灾。</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触电风险：若配电箱防护措施缺失（如柜门未锁、接地不良），游客或工作人员误触带电部件，可能导致触电事故。</w:t>
            </w:r>
          </w:p>
          <w:p>
            <w:pPr>
              <w:autoSpaceDE w:val="0"/>
              <w:autoSpaceDN w:val="0"/>
              <w:adjustRightInd w:val="0"/>
              <w:spacing w:line="360" w:lineRule="auto"/>
              <w:ind w:firstLine="481" w:firstLineChars="200"/>
              <w:jc w:val="left"/>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4.2.2.</w:t>
            </w:r>
            <w:r>
              <w:rPr>
                <w:rFonts w:hint="eastAsia" w:ascii="Times New Roman" w:hAnsi="Times New Roman" w:eastAsia="宋体" w:cs="Times New Roman"/>
                <w:b/>
                <w:bCs/>
                <w:color w:val="auto"/>
                <w:kern w:val="0"/>
                <w:sz w:val="24"/>
                <w:lang w:val="en-US" w:eastAsia="zh-CN"/>
              </w:rPr>
              <w:t>6</w:t>
            </w:r>
            <w:r>
              <w:rPr>
                <w:rFonts w:hint="eastAsia"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2</w:t>
            </w:r>
            <w:r>
              <w:rPr>
                <w:rFonts w:hint="eastAsia" w:ascii="Times New Roman" w:hAnsi="Times New Roman" w:eastAsia="宋体" w:cs="Times New Roman"/>
                <w:b/>
                <w:bCs/>
                <w:color w:val="auto"/>
                <w:kern w:val="0"/>
                <w:sz w:val="24"/>
              </w:rPr>
              <w:t>经营过程的危险、有害因素辨识</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根据《企业职工伤亡事故分类》(GB6441-1986)中的规定,本项目经营过程中的危险、有害因素主要有：火灾、灼烫、触电、高处坠落、机械伤害、物体打击、车辆伤害等。经营过程中危险、有害因素分析如下：</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1、</w:t>
            </w:r>
            <w:r>
              <w:rPr>
                <w:rFonts w:hint="eastAsia" w:ascii="Times New Roman" w:hAnsi="Times New Roman" w:eastAsia="宋体" w:cs="Times New Roman"/>
                <w:b w:val="0"/>
                <w:bCs w:val="0"/>
                <w:color w:val="auto"/>
                <w:kern w:val="0"/>
                <w:sz w:val="24"/>
              </w:rPr>
              <w:t>火灾</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（1）游客在禁烟区域吸烟并随意丢弃烟头，引燃干茶、纸箱等易燃物。</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（2）商铺内电气设备（如空调、展柜射灯）长时间运行过载，或私拉乱接电线导致短路，产生电气火花引发火灾。</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（3）景区宗教活动（如祭祀）用火管理不善，火源控制不当。</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（4）林区内长期无人清理的枯枝落叶形成"燃料层"，为火灾提供条件。</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2、</w:t>
            </w:r>
            <w:r>
              <w:rPr>
                <w:rFonts w:hint="eastAsia" w:ascii="Times New Roman" w:hAnsi="Times New Roman" w:eastAsia="宋体" w:cs="Times New Roman"/>
                <w:b w:val="0"/>
                <w:bCs w:val="0"/>
                <w:color w:val="auto"/>
                <w:kern w:val="0"/>
                <w:sz w:val="24"/>
              </w:rPr>
              <w:t>灼烫</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商铺内电热水壶、养生壶等加热设备使用后未及时断电，游客（尤其是儿童）误触可能导致烫伤。</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3、</w:t>
            </w:r>
            <w:r>
              <w:rPr>
                <w:rFonts w:hint="eastAsia" w:ascii="Times New Roman" w:hAnsi="Times New Roman" w:eastAsia="宋体" w:cs="Times New Roman"/>
                <w:b w:val="0"/>
                <w:bCs w:val="0"/>
                <w:color w:val="auto"/>
                <w:kern w:val="0"/>
                <w:sz w:val="24"/>
              </w:rPr>
              <w:t>触电</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触电伤害是由于人体受到一定量的电流通过致使组织损伤和功能障碍甚至死亡的一种危险因素。由于在检修和操作设备时需要接触到电气设备及设施，所以可能发生电伤害。人体触电时间越长，人体所受的电损伤越严重。低电压电流可使心跳停止，继之呼吸停止，并且电击部位的皮肤会发生电灼伤、焦化或炭化，并有组织地坏死。对经营过程中可能导致人员触电的原因分析如下：</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4、</w:t>
            </w:r>
            <w:r>
              <w:rPr>
                <w:rFonts w:hint="eastAsia" w:ascii="Times New Roman" w:hAnsi="Times New Roman" w:eastAsia="宋体" w:cs="Times New Roman"/>
                <w:b w:val="0"/>
                <w:bCs w:val="0"/>
                <w:color w:val="auto"/>
                <w:kern w:val="0"/>
                <w:sz w:val="24"/>
              </w:rPr>
              <w:t>高处坠落</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1.在对设备进行检维修时，离地面高于2m以上的平台或过道，未设置防护栏杆、安全警示标志，防护栏杆强度不够可能引发坠落事故。</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2.保洁人员使用梯子清洁商铺高处玻璃、灯具时，梯子倾倒或人员失衡，导致坠落。</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5、</w:t>
            </w:r>
            <w:r>
              <w:rPr>
                <w:rFonts w:hint="eastAsia" w:ascii="Times New Roman" w:hAnsi="Times New Roman" w:eastAsia="宋体" w:cs="Times New Roman"/>
                <w:b w:val="0"/>
                <w:bCs w:val="0"/>
                <w:color w:val="auto"/>
                <w:kern w:val="0"/>
                <w:sz w:val="24"/>
              </w:rPr>
              <w:t>物体打击</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物体打击，是指物体在重力或其它外力的作用下产生运动，打击人体造成人身伤亡事故。该项目导致物体打击的原因分析如下：</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lang w:val="en-US" w:eastAsia="zh-CN"/>
              </w:rPr>
              <w:t>6、</w:t>
            </w:r>
            <w:r>
              <w:rPr>
                <w:rFonts w:hint="eastAsia" w:ascii="Times New Roman" w:hAnsi="Times New Roman" w:eastAsia="宋体" w:cs="Times New Roman"/>
                <w:b w:val="0"/>
                <w:bCs w:val="0"/>
                <w:color w:val="auto"/>
                <w:kern w:val="0"/>
                <w:sz w:val="24"/>
              </w:rPr>
              <w:t>车辆伤害</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车辆伤害指企业机动车辆在行使中引起的人体坠落和物体倒塌、下落、挤压伤亡事故。车辆伤害事故的原因是多方面的，但主要是涉及人（驾驶员、行人、装卸工）、车（机动车与非机动车）、道路环境这三个综合因素，引发车辆伤害的主要原因分析如下：</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1.停车场内车辆倒车时，驾驶员视线盲区（如儿童、行人）未被发现，导致碰撞。</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2.车辆行驶速度过快（超过 5km/h），遇行人横穿时制动不及时，引发撞击。</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3.景区中央主干道允许货运车辆通行，若货车超载导致制动距离延长，或驾驶员疲劳驾驶，可能碰撞行人、商铺；车辆转弯时未减速，可能侧翻或碰撞路边设施。</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4.道路环境：道路条件差、因建筑物或自然环境影响造成视线不良等。</w:t>
            </w:r>
          </w:p>
          <w:p>
            <w:pPr>
              <w:autoSpaceDE w:val="0"/>
              <w:autoSpaceDN w:val="0"/>
              <w:adjustRightInd w:val="0"/>
              <w:spacing w:line="360" w:lineRule="auto"/>
              <w:ind w:firstLine="480" w:firstLineChars="200"/>
              <w:jc w:val="left"/>
              <w:rPr>
                <w:rFonts w:hint="eastAsia" w:ascii="Times New Roman" w:hAnsi="Times New Roman" w:eastAsia="宋体" w:cs="Times New Roman"/>
                <w:b w:val="0"/>
                <w:bCs w:val="0"/>
                <w:color w:val="auto"/>
                <w:kern w:val="0"/>
                <w:sz w:val="24"/>
              </w:rPr>
            </w:pPr>
            <w:r>
              <w:rPr>
                <w:rFonts w:hint="eastAsia" w:ascii="Times New Roman" w:hAnsi="Times New Roman" w:eastAsia="宋体" w:cs="Times New Roman"/>
                <w:b w:val="0"/>
                <w:bCs w:val="0"/>
                <w:color w:val="auto"/>
                <w:kern w:val="0"/>
                <w:sz w:val="24"/>
              </w:rPr>
              <w:t>5.管理因素：车辆安全行驶制度不落实，管理规章制度或操作规程不健全，非驾驶员驾车，车辆维修不及时，交通信号、标志、设施缺陷。</w:t>
            </w:r>
          </w:p>
          <w:p>
            <w:pPr>
              <w:autoSpaceDE w:val="0"/>
              <w:autoSpaceDN w:val="0"/>
              <w:adjustRightInd w:val="0"/>
              <w:spacing w:line="360" w:lineRule="auto"/>
              <w:ind w:firstLine="481" w:firstLineChars="200"/>
              <w:jc w:val="left"/>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4.2.2.</w:t>
            </w:r>
            <w:r>
              <w:rPr>
                <w:rFonts w:hint="eastAsia" w:ascii="Times New Roman" w:hAnsi="Times New Roman" w:eastAsia="宋体" w:cs="Times New Roman"/>
                <w:b/>
                <w:bCs/>
                <w:color w:val="auto"/>
                <w:kern w:val="0"/>
                <w:sz w:val="24"/>
                <w:lang w:val="en-US" w:eastAsia="zh-CN"/>
              </w:rPr>
              <w:t>6</w:t>
            </w:r>
            <w:r>
              <w:rPr>
                <w:rFonts w:hint="eastAsia"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3相关措施</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1.应按《生产经营单位生产安全事故应急预案编制导则》（GB/T 29639-2020）的相关要求编写应急预案，并定期进行演练、培训。在经营过程中根据实际情况及时修订和完善应急预案。</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2.企业应当组织开展本单位的应急预案、应急知识、自救互救和避险逃生技能的培训活动，使有关人员了解应急预案内容，熟悉应急职责、应急处置程序和措施。应急预案演练半年进行一次，并根据演练效果和《生产经营单位生产安全事故应急预案编制导则》（GB/T29639-2020）的要求，不断修改完善安全事故应急救援预案。</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3.企业应建立健全事故应急救援体系。依据国家相关法律法规及标准要求，建立、健全应急组织和专（兼）职应急队伍，明确职责，并定期进行事故应急演练。</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企业应当在编制应急预案的基础上，针对工作场所、岗位的特点，编制简明、实用、有效的应急处置卡。应急处置卡应当规定重点岗位、人员的应急处置程序和措施，以及相关联络人员和联系方式，便于从业人员携带。</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企业应当按照应急预案的规定，落实应急指挥体系、应急救援队伍、应急物资及装备，建立应急物资、装备配备及其使用档案，并对应急物资、装备进行定期检测和维护，使其处于适用状态。</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5.在现有消防安全管理制度基础上，新增《特种设备（电梯）安全管理制度》《用电安全管理制度》《车辆交通管理制度》《有限空间作业安全管理制度》等，形成覆盖全风险的制度体系；制度发布后组织全员培训。</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6.建立 “日常巡查 + 专项检查 + 第三方检查” 机制：保安部每日开展防火、交通巡查，安全管理部门每周组织综合检查，每季度邀请第三方机构开展专项检查（电气、消防、特种设备）；制定隐患排查清单，对排查出的隐患分类登记（一般隐患 3 日内整改，重大隐患立即停产整改），整改完成后组织验收，形成 “排查 - 整改 - 验收” 闭环，隐患治理记录存档备查。</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7.按照《企业安全生产费用提取和使用管理办法》（财资〔2022〕136 号）要求，足额提取安全生产费用（不低于上年度营业收入的 1.5%），专项用于安全设施改造（如消防设施更新、电气线路整改）、防护用品采购、安全培训、应急演练等；建立费用使用台账，每季度向企业负责人汇报使用情况，确保资金专款专用，不得挪用。</w:t>
            </w:r>
          </w:p>
          <w:p>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嵩阳街道山脚社区嵩明望风屏景区符合国家产业政策符合国家产业政策与旅游景区基础安全要求，无重大事故隐患，整体安全风险可控。</w:t>
            </w:r>
          </w:p>
          <w:p>
            <w:pPr>
              <w:keepNext w:val="0"/>
              <w:keepLines w:val="0"/>
              <w:pageBreakBefore w:val="0"/>
              <w:widowControl w:val="0"/>
              <w:kinsoku/>
              <w:wordWrap/>
              <w:overflowPunct/>
              <w:topLinePunct w:val="0"/>
              <w:bidi w:val="0"/>
              <w:adjustRightInd/>
              <w:spacing w:line="360" w:lineRule="auto"/>
              <w:ind w:firstLine="457" w:firstLineChars="200"/>
              <w:textAlignment w:val="auto"/>
              <w:rPr>
                <w:b/>
                <w:color w:val="auto"/>
                <w:spacing w:val="-6"/>
                <w:sz w:val="24"/>
              </w:rPr>
            </w:pPr>
            <w:r>
              <w:rPr>
                <w:rFonts w:hint="eastAsia"/>
                <w:b/>
                <w:color w:val="auto"/>
                <w:spacing w:val="-6"/>
                <w:sz w:val="24"/>
              </w:rPr>
              <w:t>4.2.2.</w:t>
            </w:r>
            <w:r>
              <w:rPr>
                <w:rFonts w:hint="eastAsia"/>
                <w:b/>
                <w:color w:val="auto"/>
                <w:spacing w:val="-6"/>
                <w:sz w:val="24"/>
                <w:lang w:val="en-US" w:eastAsia="zh-CN"/>
              </w:rPr>
              <w:t>7</w:t>
            </w:r>
            <w:r>
              <w:rPr>
                <w:rFonts w:hint="eastAsia"/>
                <w:b/>
                <w:color w:val="auto"/>
                <w:spacing w:val="-6"/>
                <w:sz w:val="24"/>
              </w:rPr>
              <w:t xml:space="preserve"> </w:t>
            </w:r>
            <w:r>
              <w:rPr>
                <w:b/>
                <w:color w:val="auto"/>
                <w:spacing w:val="-6"/>
                <w:sz w:val="24"/>
              </w:rPr>
              <w:t>地下水环境影响分析</w:t>
            </w:r>
          </w:p>
          <w:p>
            <w:pPr>
              <w:keepNext w:val="0"/>
              <w:keepLines w:val="0"/>
              <w:pageBreakBefore w:val="0"/>
              <w:widowControl w:val="0"/>
              <w:kinsoku/>
              <w:wordWrap/>
              <w:overflowPunct/>
              <w:topLinePunct w:val="0"/>
              <w:bidi w:val="0"/>
              <w:adjustRightInd/>
              <w:snapToGrid w:val="0"/>
              <w:spacing w:line="360" w:lineRule="auto"/>
              <w:ind w:firstLine="480" w:firstLineChars="200"/>
              <w:textAlignment w:val="auto"/>
              <w:rPr>
                <w:rFonts w:hint="eastAsia"/>
                <w:color w:val="auto"/>
                <w:kern w:val="28"/>
                <w:sz w:val="24"/>
              </w:rPr>
            </w:pPr>
            <w:r>
              <w:rPr>
                <w:rFonts w:hint="eastAsia"/>
                <w:color w:val="auto"/>
                <w:kern w:val="28"/>
                <w:sz w:val="24"/>
              </w:rPr>
              <w:t>本项目属于</w:t>
            </w:r>
            <w:r>
              <w:rPr>
                <w:rFonts w:hint="eastAsia"/>
                <w:color w:val="auto"/>
                <w:kern w:val="28"/>
                <w:sz w:val="24"/>
                <w:lang w:val="en-US" w:eastAsia="zh-CN"/>
              </w:rPr>
              <w:t>公园</w:t>
            </w:r>
            <w:r>
              <w:rPr>
                <w:rFonts w:hint="eastAsia"/>
                <w:color w:val="auto"/>
                <w:kern w:val="28"/>
                <w:sz w:val="24"/>
              </w:rPr>
              <w:t>项目，根据《环境影响评价技术导则 地下水环境》（HJ610-2016）附录 A，项目不用开展地下水环境影响评价工作。</w:t>
            </w:r>
          </w:p>
          <w:p>
            <w:pPr>
              <w:keepNext w:val="0"/>
              <w:keepLines w:val="0"/>
              <w:pageBreakBefore w:val="0"/>
              <w:widowControl w:val="0"/>
              <w:kinsoku/>
              <w:wordWrap/>
              <w:overflowPunct/>
              <w:topLinePunct w:val="0"/>
              <w:bidi w:val="0"/>
              <w:adjustRightInd/>
              <w:spacing w:line="360" w:lineRule="auto"/>
              <w:ind w:firstLine="457" w:firstLineChars="200"/>
              <w:textAlignment w:val="auto"/>
              <w:rPr>
                <w:b/>
                <w:color w:val="auto"/>
                <w:spacing w:val="-6"/>
                <w:sz w:val="24"/>
              </w:rPr>
            </w:pPr>
            <w:r>
              <w:rPr>
                <w:rFonts w:hint="eastAsia"/>
                <w:b/>
                <w:color w:val="auto"/>
                <w:spacing w:val="-6"/>
                <w:sz w:val="24"/>
              </w:rPr>
              <w:t>4.2.2.</w:t>
            </w:r>
            <w:r>
              <w:rPr>
                <w:rFonts w:hint="eastAsia"/>
                <w:b/>
                <w:color w:val="auto"/>
                <w:spacing w:val="-6"/>
                <w:sz w:val="24"/>
                <w:lang w:val="en-US" w:eastAsia="zh-CN"/>
              </w:rPr>
              <w:t>8</w:t>
            </w:r>
            <w:r>
              <w:rPr>
                <w:rFonts w:hint="eastAsia"/>
                <w:b/>
                <w:color w:val="auto"/>
                <w:spacing w:val="-6"/>
                <w:sz w:val="24"/>
              </w:rPr>
              <w:t xml:space="preserve"> </w:t>
            </w:r>
            <w:r>
              <w:rPr>
                <w:b/>
                <w:color w:val="auto"/>
                <w:spacing w:val="-6"/>
                <w:sz w:val="24"/>
              </w:rPr>
              <w:t>土壤环境</w:t>
            </w:r>
            <w:r>
              <w:rPr>
                <w:rFonts w:hint="eastAsia"/>
                <w:b/>
                <w:color w:val="auto"/>
                <w:spacing w:val="-6"/>
                <w:sz w:val="24"/>
              </w:rPr>
              <w:t>影响</w:t>
            </w:r>
            <w:r>
              <w:rPr>
                <w:b/>
                <w:color w:val="auto"/>
                <w:spacing w:val="-6"/>
                <w:sz w:val="24"/>
              </w:rPr>
              <w:t>分析</w:t>
            </w:r>
          </w:p>
          <w:p>
            <w:pPr>
              <w:keepNext w:val="0"/>
              <w:keepLines w:val="0"/>
              <w:pageBreakBefore w:val="0"/>
              <w:widowControl w:val="0"/>
              <w:kinsoku/>
              <w:wordWrap/>
              <w:overflowPunct/>
              <w:topLinePunct w:val="0"/>
              <w:bidi w:val="0"/>
              <w:adjustRightInd/>
              <w:snapToGrid w:val="0"/>
              <w:spacing w:line="360" w:lineRule="auto"/>
              <w:ind w:firstLine="480" w:firstLineChars="200"/>
              <w:textAlignment w:val="auto"/>
              <w:rPr>
                <w:b/>
                <w:bCs/>
                <w:color w:val="auto"/>
                <w:sz w:val="24"/>
              </w:rPr>
            </w:pPr>
            <w:r>
              <w:rPr>
                <w:rFonts w:hint="eastAsia"/>
                <w:color w:val="auto"/>
                <w:kern w:val="28"/>
                <w:sz w:val="24"/>
              </w:rPr>
              <w:t>本项目属于</w:t>
            </w:r>
            <w:r>
              <w:rPr>
                <w:rFonts w:hint="eastAsia"/>
                <w:color w:val="auto"/>
                <w:kern w:val="28"/>
                <w:sz w:val="24"/>
                <w:lang w:val="en-US" w:eastAsia="zh-CN"/>
              </w:rPr>
              <w:t>公园</w:t>
            </w:r>
            <w:r>
              <w:rPr>
                <w:rFonts w:hint="eastAsia"/>
                <w:color w:val="auto"/>
                <w:kern w:val="28"/>
                <w:sz w:val="24"/>
              </w:rPr>
              <w:t>项目，根据《环境影响评价技术导则土壤环境（试行）》（HJ964-2018）附录 A，本项目不用开展土壤环境影响评价工作。</w:t>
            </w:r>
          </w:p>
          <w:p>
            <w:pPr>
              <w:keepNext w:val="0"/>
              <w:keepLines w:val="0"/>
              <w:pageBreakBefore w:val="0"/>
              <w:widowControl w:val="0"/>
              <w:kinsoku/>
              <w:wordWrap/>
              <w:overflowPunct/>
              <w:topLinePunct w:val="0"/>
              <w:bidi w:val="0"/>
              <w:adjustRightInd/>
              <w:spacing w:line="360" w:lineRule="auto"/>
              <w:ind w:firstLine="457" w:firstLineChars="200"/>
              <w:textAlignment w:val="auto"/>
              <w:rPr>
                <w:rFonts w:hint="default" w:eastAsia="宋体"/>
                <w:b/>
                <w:color w:val="auto"/>
                <w:spacing w:val="-6"/>
                <w:sz w:val="24"/>
                <w:lang w:val="en-US" w:eastAsia="zh-CN"/>
              </w:rPr>
            </w:pPr>
            <w:r>
              <w:rPr>
                <w:rFonts w:hint="eastAsia"/>
                <w:b/>
                <w:color w:val="auto"/>
                <w:spacing w:val="-6"/>
                <w:sz w:val="24"/>
              </w:rPr>
              <w:t>4.2.2.</w:t>
            </w:r>
            <w:r>
              <w:rPr>
                <w:rFonts w:hint="eastAsia"/>
                <w:b/>
                <w:color w:val="auto"/>
                <w:spacing w:val="-6"/>
                <w:sz w:val="24"/>
                <w:lang w:val="en-US" w:eastAsia="zh-CN"/>
              </w:rPr>
              <w:t>9</w:t>
            </w:r>
            <w:r>
              <w:rPr>
                <w:rFonts w:hint="eastAsia"/>
                <w:b/>
                <w:color w:val="auto"/>
                <w:spacing w:val="-6"/>
                <w:sz w:val="24"/>
              </w:rPr>
              <w:t xml:space="preserve"> </w:t>
            </w:r>
            <w:r>
              <w:rPr>
                <w:rFonts w:hint="eastAsia"/>
                <w:b/>
                <w:color w:val="auto"/>
                <w:spacing w:val="-6"/>
                <w:sz w:val="24"/>
                <w:lang w:val="en-US" w:eastAsia="zh-CN"/>
              </w:rPr>
              <w:t>生物入侵风险分析</w:t>
            </w:r>
          </w:p>
          <w:p>
            <w:pPr>
              <w:spacing w:line="360" w:lineRule="auto"/>
              <w:ind w:firstLine="482"/>
              <w:rPr>
                <w:rFonts w:hint="eastAsia"/>
                <w:color w:val="auto"/>
              </w:rPr>
            </w:pPr>
            <w:r>
              <w:rPr>
                <w:rFonts w:hint="eastAsia" w:hAnsi="宋体"/>
                <w:color w:val="auto"/>
                <w:sz w:val="24"/>
                <w:lang w:val="en-US" w:eastAsia="zh-CN"/>
              </w:rPr>
              <w:t>项目施工结束后，项目应按照《外来入侵物种管理办法》，在植被恢复阶段，种植的植被应参考“中国第一批及第二批外来入侵物种名单”，选择植被种类时应选择区域内长期生长和种植的本土植被，防止外来生物入侵对当地生态植被造成破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56" w:type="dxa"/>
            <w:noWrap w:val="0"/>
            <w:vAlign w:val="center"/>
          </w:tcPr>
          <w:p>
            <w:pPr>
              <w:pStyle w:val="82"/>
              <w:adjustRightInd w:val="0"/>
              <w:snapToGrid w:val="0"/>
              <w:spacing w:before="0" w:beforeAutospacing="0" w:after="0" w:afterAutospacing="0"/>
              <w:jc w:val="center"/>
              <w:rPr>
                <w:rFonts w:ascii="Times New Roman" w:hAnsi="Times New Roman"/>
                <w:bCs/>
                <w:color w:val="auto"/>
                <w:kern w:val="2"/>
                <w:sz w:val="21"/>
                <w:szCs w:val="21"/>
                <w:lang w:val="en-US" w:eastAsia="zh-CN"/>
              </w:rPr>
            </w:pPr>
            <w:r>
              <w:rPr>
                <w:rFonts w:ascii="Times New Roman" w:hAnsi="Times New Roman"/>
                <w:bCs/>
                <w:color w:val="auto"/>
                <w:kern w:val="2"/>
                <w:szCs w:val="24"/>
                <w:lang w:val="en-US" w:eastAsia="zh-CN"/>
              </w:rPr>
              <w:t>选址选线环境合理性分析</w:t>
            </w:r>
          </w:p>
        </w:tc>
        <w:tc>
          <w:tcPr>
            <w:tcW w:w="8910" w:type="dxa"/>
            <w:noWrap w:val="0"/>
            <w:vAlign w:val="top"/>
          </w:tcPr>
          <w:p>
            <w:pPr>
              <w:keepNext w:val="0"/>
              <w:keepLines w:val="0"/>
              <w:pageBreakBefore w:val="0"/>
              <w:widowControl w:val="0"/>
              <w:kinsoku/>
              <w:wordWrap/>
              <w:overflowPunct/>
              <w:topLinePunct w:val="0"/>
              <w:autoSpaceDE/>
              <w:autoSpaceDN/>
              <w:bidi w:val="0"/>
              <w:adjustRightInd/>
              <w:snapToGrid w:val="0"/>
              <w:spacing w:line="480" w:lineRule="auto"/>
              <w:ind w:firstLine="0" w:firstLineChars="0"/>
              <w:textAlignment w:val="auto"/>
              <w:rPr>
                <w:rFonts w:hint="eastAsia"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val="en-US" w:eastAsia="zh-CN"/>
              </w:rPr>
              <w:t>4.3.1 项目选址环境合理性分析</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项目由于可选地很少，设计未提出方案比选内容，为唯一选址。</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项目选址区域不涉及自然保护区、国家公园、文物古迹、湿地保护区、饮用水水源保护区、集中式饮用水水源地、生物多样性保护区域、特殊生态环境及特有物种保护区域、鸟类迁徙重要通道及其栖息地、民俗保护区等生态保护红线和生态敏感区域。综上所述，项目选址合理。</w:t>
            </w:r>
          </w:p>
          <w:p>
            <w:pPr>
              <w:keepNext w:val="0"/>
              <w:keepLines w:val="0"/>
              <w:pageBreakBefore w:val="0"/>
              <w:widowControl w:val="0"/>
              <w:kinsoku/>
              <w:wordWrap/>
              <w:overflowPunct/>
              <w:topLinePunct w:val="0"/>
              <w:autoSpaceDE/>
              <w:autoSpaceDN/>
              <w:bidi w:val="0"/>
              <w:adjustRightInd/>
              <w:snapToGrid w:val="0"/>
              <w:spacing w:line="480" w:lineRule="auto"/>
              <w:ind w:firstLine="0" w:firstLineChars="0"/>
              <w:textAlignment w:val="auto"/>
              <w:rPr>
                <w:rFonts w:hint="eastAsia"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val="en-US" w:eastAsia="zh-CN"/>
              </w:rPr>
              <w:t>4.3.2 表土堆场选址环境合理性分析</w:t>
            </w:r>
          </w:p>
          <w:p>
            <w:pPr>
              <w:adjustRightInd w:val="0"/>
              <w:snapToGrid w:val="0"/>
              <w:spacing w:line="360" w:lineRule="auto"/>
              <w:ind w:firstLine="480" w:firstLineChars="200"/>
              <w:rPr>
                <w:rFonts w:hAnsi="宋体"/>
                <w:color w:val="auto"/>
                <w:sz w:val="24"/>
              </w:rPr>
            </w:pPr>
            <w:r>
              <w:rPr>
                <w:rFonts w:hint="eastAsia" w:hAnsi="宋体"/>
                <w:color w:val="auto"/>
                <w:sz w:val="24"/>
              </w:rPr>
              <w:t>根据项目</w:t>
            </w:r>
            <w:r>
              <w:rPr>
                <w:rFonts w:hint="eastAsia" w:ascii="Times New Roman" w:hAnsi="Times New Roman" w:eastAsia="宋体" w:cs="Times New Roman"/>
                <w:color w:val="auto"/>
                <w:kern w:val="0"/>
                <w:sz w:val="24"/>
                <w:lang w:val="en-US" w:eastAsia="zh-CN"/>
              </w:rPr>
              <w:t>可研报告</w:t>
            </w:r>
            <w:r>
              <w:rPr>
                <w:rFonts w:hint="eastAsia" w:hAnsi="宋体"/>
                <w:color w:val="auto"/>
                <w:sz w:val="24"/>
              </w:rPr>
              <w:t>。施工时要特别注意，应将表层土与下层土分开，表土单独剥离并集中保存于临时表土堆场，待施工完毕后对需植被恢复及复垦的土地进行覆土，以保障植被存活率及耕作基本条件。在临时表土堆存期间，需对表土临时堆场进行临时覆盖，周边布置临时排水沟，并在坡脚进行临时拦挡，防止水土流失。</w:t>
            </w:r>
          </w:p>
          <w:p>
            <w:pPr>
              <w:keepNext w:val="0"/>
              <w:keepLines w:val="0"/>
              <w:pageBreakBefore w:val="0"/>
              <w:widowControl w:val="0"/>
              <w:kinsoku/>
              <w:wordWrap/>
              <w:overflowPunct/>
              <w:topLinePunct w:val="0"/>
              <w:autoSpaceDE/>
              <w:autoSpaceDN/>
              <w:bidi w:val="0"/>
              <w:adjustRightInd/>
              <w:snapToGrid w:val="0"/>
              <w:spacing w:line="480" w:lineRule="auto"/>
              <w:ind w:firstLine="0" w:firstLineChars="0"/>
              <w:textAlignment w:val="auto"/>
              <w:rPr>
                <w:rFonts w:hint="eastAsia" w:ascii="Times New Roman" w:hAnsi="Times New Roman" w:eastAsia="宋体" w:cs="Times New Roman"/>
                <w:b/>
                <w:color w:val="auto"/>
                <w:sz w:val="28"/>
                <w:szCs w:val="28"/>
                <w:lang w:val="en-US" w:eastAsia="zh-CN"/>
              </w:rPr>
            </w:pPr>
            <w:r>
              <w:rPr>
                <w:rFonts w:hint="eastAsia" w:ascii="Times New Roman" w:hAnsi="Times New Roman" w:eastAsia="宋体" w:cs="Times New Roman"/>
                <w:b/>
                <w:color w:val="auto"/>
                <w:sz w:val="28"/>
                <w:szCs w:val="28"/>
                <w:lang w:val="en-US" w:eastAsia="zh-CN"/>
              </w:rPr>
              <w:t>4.3.3 施工场地选址环境合理性分析</w:t>
            </w:r>
          </w:p>
          <w:p>
            <w:pPr>
              <w:autoSpaceDE w:val="0"/>
              <w:autoSpaceDN w:val="0"/>
              <w:adjustRightInd w:val="0"/>
              <w:spacing w:line="360" w:lineRule="auto"/>
              <w:ind w:firstLine="480" w:firstLineChars="200"/>
              <w:jc w:val="left"/>
              <w:rPr>
                <w:rFonts w:hint="eastAsia" w:hAnsi="宋体"/>
                <w:color w:val="auto"/>
                <w:kern w:val="0"/>
                <w:sz w:val="24"/>
              </w:rPr>
            </w:pPr>
            <w:r>
              <w:rPr>
                <w:rFonts w:hint="eastAsia" w:hAnsi="宋体"/>
                <w:color w:val="auto"/>
                <w:kern w:val="0"/>
                <w:sz w:val="24"/>
              </w:rPr>
              <w:t>根据项目可研报告，项目共设置</w:t>
            </w:r>
            <w:r>
              <w:rPr>
                <w:rFonts w:hint="eastAsia" w:hAnsi="宋体"/>
                <w:color w:val="auto"/>
                <w:kern w:val="0"/>
                <w:sz w:val="24"/>
                <w:lang w:val="en-US" w:eastAsia="zh-CN"/>
              </w:rPr>
              <w:t>1</w:t>
            </w:r>
            <w:r>
              <w:rPr>
                <w:rFonts w:hint="eastAsia" w:hAnsi="宋体"/>
                <w:color w:val="auto"/>
                <w:kern w:val="0"/>
                <w:sz w:val="24"/>
              </w:rPr>
              <w:t>个施工场地</w:t>
            </w:r>
            <w:r>
              <w:rPr>
                <w:rFonts w:hint="eastAsia" w:hAnsi="宋体"/>
                <w:color w:val="auto"/>
                <w:kern w:val="0"/>
                <w:sz w:val="24"/>
                <w:lang w:eastAsia="zh-CN"/>
              </w:rPr>
              <w:t>，</w:t>
            </w:r>
            <w:r>
              <w:rPr>
                <w:rFonts w:hint="eastAsia" w:hAnsi="宋体"/>
                <w:color w:val="auto"/>
                <w:kern w:val="0"/>
                <w:sz w:val="24"/>
              </w:rPr>
              <w:t>占地面积约4.58hm</w:t>
            </w:r>
            <w:r>
              <w:rPr>
                <w:rFonts w:hint="eastAsia" w:hAnsi="宋体"/>
                <w:color w:val="auto"/>
                <w:kern w:val="0"/>
                <w:sz w:val="24"/>
                <w:vertAlign w:val="superscript"/>
              </w:rPr>
              <w:t>2</w:t>
            </w:r>
            <w:r>
              <w:rPr>
                <w:rFonts w:hint="eastAsia" w:hAnsi="宋体"/>
                <w:color w:val="auto"/>
                <w:kern w:val="0"/>
                <w:sz w:val="24"/>
              </w:rPr>
              <w:t>。</w:t>
            </w:r>
          </w:p>
          <w:p>
            <w:pPr>
              <w:adjustRightInd w:val="0"/>
              <w:snapToGrid w:val="0"/>
              <w:spacing w:line="360" w:lineRule="auto"/>
              <w:ind w:firstLine="480" w:firstLineChars="200"/>
              <w:jc w:val="left"/>
              <w:rPr>
                <w:rFonts w:hint="eastAsia"/>
                <w:color w:val="auto"/>
                <w:sz w:val="24"/>
                <w:szCs w:val="18"/>
                <w:lang w:val="en-US" w:eastAsia="zh-CN"/>
              </w:rPr>
            </w:pPr>
            <w:r>
              <w:rPr>
                <w:rFonts w:hint="eastAsia"/>
                <w:color w:val="auto"/>
                <w:sz w:val="24"/>
              </w:rPr>
              <w:t>其占地类型为采矿用地，不占用原生植被。施工场营场远离了周边村庄居民点布置，施工场（营）地产生的噪声、扬尘等对村庄居民点的影响较小。同时施工场地不涉及</w:t>
            </w:r>
            <w:r>
              <w:rPr>
                <w:color w:val="auto"/>
                <w:sz w:val="24"/>
              </w:rPr>
              <w:t>自然保护区、饮用水水源保护区等需要特殊保护的区域，</w:t>
            </w:r>
            <w:r>
              <w:rPr>
                <w:rFonts w:hint="eastAsia"/>
                <w:color w:val="auto"/>
                <w:sz w:val="24"/>
              </w:rPr>
              <w:t>不占用</w:t>
            </w:r>
            <w:r>
              <w:rPr>
                <w:color w:val="auto"/>
                <w:sz w:val="24"/>
              </w:rPr>
              <w:t>生态保护</w:t>
            </w:r>
            <w:r>
              <w:rPr>
                <w:rFonts w:hint="eastAsia"/>
                <w:color w:val="auto"/>
                <w:sz w:val="24"/>
              </w:rPr>
              <w:t>红线、生态公益林、基本农田。因此项目施工场地选址合理。</w:t>
            </w:r>
          </w:p>
          <w:p>
            <w:pPr>
              <w:pStyle w:val="126"/>
              <w:rPr>
                <w:rFonts w:hint="eastAsia"/>
                <w:color w:val="auto"/>
              </w:rPr>
            </w:pPr>
          </w:p>
        </w:tc>
      </w:tr>
    </w:tbl>
    <w:p>
      <w:pPr>
        <w:pStyle w:val="82"/>
        <w:keepNext w:val="0"/>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黑体"/>
          <w:snapToGrid w:val="0"/>
          <w:color w:val="auto"/>
          <w:sz w:val="30"/>
          <w:szCs w:val="30"/>
        </w:rPr>
      </w:pPr>
      <w:bookmarkStart w:id="73" w:name="_Toc83158466"/>
      <w:bookmarkStart w:id="74" w:name="_Toc83158301"/>
      <w:r>
        <w:rPr>
          <w:rFonts w:hint="eastAsia" w:ascii="黑体" w:hAnsi="黑体" w:eastAsia="黑体" w:cs="黑体"/>
          <w:snapToGrid w:val="0"/>
          <w:color w:val="auto"/>
          <w:sz w:val="30"/>
          <w:szCs w:val="30"/>
        </w:rPr>
        <w:t>五、主要生态环境保护措施</w:t>
      </w:r>
      <w:bookmarkEnd w:id="73"/>
      <w:bookmarkEnd w:id="74"/>
    </w:p>
    <w:tbl>
      <w:tblPr>
        <w:tblStyle w:val="89"/>
        <w:tblW w:w="90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3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tcMar>
              <w:left w:w="28" w:type="dxa"/>
              <w:right w:w="28" w:type="dxa"/>
            </w:tcMar>
            <w:vAlign w:val="center"/>
          </w:tcPr>
          <w:p>
            <w:pPr>
              <w:adjustRightInd w:val="0"/>
              <w:snapToGrid w:val="0"/>
              <w:jc w:val="center"/>
              <w:rPr>
                <w:bCs/>
                <w:color w:val="auto"/>
                <w:szCs w:val="21"/>
              </w:rPr>
            </w:pPr>
            <w:r>
              <w:rPr>
                <w:bCs/>
                <w:color w:val="auto"/>
                <w:spacing w:val="10"/>
                <w:sz w:val="24"/>
              </w:rPr>
              <w:t>施工期生态环境保护措施</w:t>
            </w:r>
          </w:p>
        </w:tc>
        <w:tc>
          <w:tcPr>
            <w:tcW w:w="8328" w:type="dxa"/>
            <w:noWrap w:val="0"/>
            <w:vAlign w:val="top"/>
          </w:tcPr>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eastAsia="宋体"/>
                <w:b/>
                <w:bCs/>
                <w:color w:val="auto"/>
                <w:sz w:val="28"/>
                <w:szCs w:val="28"/>
                <w:lang w:val="en-US" w:eastAsia="zh-CN"/>
              </w:rPr>
            </w:pPr>
            <w:bookmarkStart w:id="75" w:name="_Toc83158302"/>
            <w:bookmarkStart w:id="76" w:name="_Toc83158467"/>
            <w:r>
              <w:rPr>
                <w:rFonts w:hint="eastAsia" w:eastAsia="宋体"/>
                <w:b/>
                <w:bCs/>
                <w:color w:val="auto"/>
                <w:sz w:val="28"/>
                <w:szCs w:val="28"/>
                <w:lang w:val="en-US" w:eastAsia="zh-CN"/>
              </w:rPr>
              <w:t>5.1.1 施工期生态环境保护措施</w:t>
            </w:r>
          </w:p>
          <w:p>
            <w:pPr>
              <w:pStyle w:val="160"/>
              <w:adjustRightInd w:val="0"/>
              <w:snapToGrid w:val="0"/>
              <w:spacing w:after="0" w:line="360" w:lineRule="auto"/>
              <w:ind w:firstLine="481" w:firstLineChars="200"/>
              <w:jc w:val="both"/>
              <w:rPr>
                <w:rFonts w:hint="eastAsia" w:eastAsia="宋体"/>
                <w:b/>
                <w:bCs/>
                <w:color w:val="auto"/>
                <w:sz w:val="24"/>
                <w:szCs w:val="24"/>
                <w:lang w:val="en-US" w:eastAsia="zh-CN"/>
              </w:rPr>
            </w:pPr>
            <w:r>
              <w:rPr>
                <w:rFonts w:hint="eastAsia" w:eastAsia="宋体"/>
                <w:b/>
                <w:bCs/>
                <w:color w:val="auto"/>
                <w:sz w:val="24"/>
                <w:szCs w:val="24"/>
                <w:lang w:val="en-US" w:eastAsia="zh-CN"/>
              </w:rPr>
              <w:t>5.1.1.1 植被及植物保护措施</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1）按照规划项目选址和用地要求，项目的生产区、生活区禁止使用天然乔木林地；施工期临时设施禁止使用乔木林地，临时工程应尽可能利用永久占地。减少临时占地对植物的影响。项目临时占地需办理相关用地手续。严格控制施工活动区域，必须在规定的作业范围内活动。</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（2）加强对施工人员的宣传教育，禁止砍伐占地以外的森林植被，还应在施工时采取宣传监管等保护措施。抓好临时用工人员的管理，不得随意使用当地活立木作为燃料，以防止发生滥砍乱伐。</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（3）对施工表土进行集中堆存，施工完毕后用于临时用地绿化，宜就地采集当地植物的种子、幼苗进行种植，不能采用外来物种。</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（4）施工结束后应督促施工单位及时拆除临时建筑，清理，恢复土层，采用当地植物对临时占用的集电线路施工区及场内道路边坡及施工场地区进行“恢复性”种植，促进自然恢复。</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（5）对未利用地等不扰动区域加强管理，严格控制施工扰动范围，太阳能电池板等设备安装控制在扰动范围内，禁止对空地不扰动区域的植被造成破坏。</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（6）加强森林防火宣传，施工人员注意生产和生活用火安全，以免引发火灾，从而造成重大生态损失。</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（7）严格执行项目水土保持方案提出的水保工程措施。</w:t>
            </w:r>
          </w:p>
          <w:p>
            <w:pPr>
              <w:pStyle w:val="160"/>
              <w:adjustRightInd w:val="0"/>
              <w:snapToGrid w:val="0"/>
              <w:spacing w:after="0" w:line="360" w:lineRule="auto"/>
              <w:ind w:firstLine="481" w:firstLineChars="200"/>
              <w:jc w:val="both"/>
              <w:rPr>
                <w:rFonts w:hint="eastAsia" w:eastAsia="宋体"/>
                <w:b/>
                <w:bCs/>
                <w:color w:val="auto"/>
                <w:sz w:val="24"/>
                <w:szCs w:val="24"/>
                <w:lang w:val="en-US" w:eastAsia="zh-CN"/>
              </w:rPr>
            </w:pPr>
            <w:r>
              <w:rPr>
                <w:rFonts w:hint="eastAsia" w:eastAsia="宋体"/>
                <w:b/>
                <w:bCs/>
                <w:color w:val="auto"/>
                <w:sz w:val="24"/>
                <w:szCs w:val="24"/>
                <w:lang w:val="en-US" w:eastAsia="zh-CN"/>
              </w:rPr>
              <w:t>5.1.1.2 动物保护措施</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（1）加强施工人员对野生动物和生态环境的保护意识教育，禁止猎杀野生动物，并通过对违法活动进行举报奖励的措施以制止偷猎活动。</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（2）设立专职或兼职的林政监督管理人员，依法和依据本报告表的要求对施工中生物多样性和生态环境的保护进行监督检查。</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（3）加强施工噪声管理，避免在晨昏野生动物（特别是鸟类）活动频繁阶段运行高噪声设备。</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（4）保护野生动物的栖息地，施工结束后临建设施要及时进行拆除、清理以及生态恢复。</w:t>
            </w:r>
          </w:p>
          <w:p>
            <w:pPr>
              <w:pStyle w:val="160"/>
              <w:adjustRightInd w:val="0"/>
              <w:snapToGrid w:val="0"/>
              <w:spacing w:after="0" w:line="360" w:lineRule="auto"/>
              <w:ind w:firstLine="481" w:firstLineChars="200"/>
              <w:jc w:val="both"/>
              <w:rPr>
                <w:rFonts w:hint="eastAsia" w:eastAsia="宋体"/>
                <w:b/>
                <w:bCs/>
                <w:color w:val="auto"/>
                <w:sz w:val="24"/>
                <w:szCs w:val="24"/>
                <w:lang w:val="en-US" w:eastAsia="zh-CN"/>
              </w:rPr>
            </w:pPr>
            <w:r>
              <w:rPr>
                <w:rFonts w:hint="eastAsia" w:eastAsia="宋体"/>
                <w:b/>
                <w:bCs/>
                <w:color w:val="auto"/>
                <w:sz w:val="24"/>
                <w:szCs w:val="24"/>
                <w:lang w:val="en-US" w:eastAsia="zh-CN"/>
              </w:rPr>
              <w:t>5.1.1.2 临时用地的生态恢复措施</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工结束后对临时用地进行植被恢复或复垦，施工结束后进行土地整治，整治结束后进行植被恢复，采用乔灌草结合方式绿化。</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（1）土地整治：对场地进行场地清理后，拣去大石块等杂物，通过全面整地使场地基本平整、地表层基本疏松，翻松后恢复植被，适当浇水。</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（2）树草种选择：根据“适地适树，适地适草”的原则，在当地条件分析的基础上，以选择当地生长较快、适应能力强、根系发达、易成活的乡土植物种为主。</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（3）种植技术：采用乔灌草结合绿化。栽植乔木选择榆树，株行距为2.0m×2.0m，栽植灌木选择火棘，株行距为1.0m×1.0m，撒播草籽，每公顷用种量80kg。</w:t>
            </w:r>
          </w:p>
          <w:p>
            <w:pPr>
              <w:pStyle w:val="160"/>
              <w:adjustRightInd w:val="0"/>
              <w:snapToGrid w:val="0"/>
              <w:spacing w:after="0" w:line="360" w:lineRule="auto"/>
              <w:ind w:firstLine="480" w:firstLineChars="200"/>
              <w:jc w:val="both"/>
              <w:rPr>
                <w:rFonts w:hint="eastAsia" w:eastAsia="宋体"/>
                <w:color w:val="auto"/>
                <w:sz w:val="24"/>
                <w:szCs w:val="24"/>
                <w:lang w:val="en-US" w:eastAsia="zh-CN"/>
              </w:rPr>
            </w:pPr>
            <w:r>
              <w:rPr>
                <w:rFonts w:hint="eastAsia" w:eastAsia="宋体"/>
                <w:color w:val="auto"/>
                <w:sz w:val="24"/>
                <w:szCs w:val="24"/>
                <w:lang w:val="en-US" w:eastAsia="zh-CN"/>
              </w:rPr>
              <w:t>（4）抚育管护：幼林抚育措施主要包括松土、灌溉、施肥、修枝、整形等。具体抚育方法因树种、林种及立地条件不同而有所差异，树种抚育措施如下：造林后应避免牲畜践踏幼树，幼树郁闭以前，每年5～6月除草、松土一次，促进幼树的生长发育；一年抚育一次，连续抚育三年。草坪的养护主要是定期浇水、拆除覆盖物并除草，严防人、畜践踏等。要求幼苗成活率达95％以上，种子成活率为41%～85%。由于项目区属于山区，因此植被恢复的关键需做好浇水措施，浇水包括栽植时的定根水，以及后期抚育的浇水灌溉有利于苗木和草籽的成活和生长，尤其是春季、秋季。</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 xml:space="preserve">5.1.2 </w:t>
            </w:r>
            <w:bookmarkEnd w:id="75"/>
            <w:bookmarkEnd w:id="76"/>
            <w:r>
              <w:rPr>
                <w:rFonts w:hint="eastAsia" w:ascii="Times New Roman" w:hAnsi="Times New Roman" w:eastAsia="宋体" w:cs="Times New Roman"/>
                <w:b/>
                <w:bCs/>
                <w:color w:val="auto"/>
                <w:sz w:val="28"/>
                <w:szCs w:val="28"/>
                <w:lang w:val="en-US" w:eastAsia="zh-CN"/>
              </w:rPr>
              <w:t>施工大气环境保护措施</w:t>
            </w:r>
          </w:p>
          <w:p>
            <w:pPr>
              <w:pStyle w:val="160"/>
              <w:adjustRightInd w:val="0"/>
              <w:snapToGrid w:val="0"/>
              <w:spacing w:after="0" w:line="360" w:lineRule="auto"/>
              <w:ind w:firstLine="480" w:firstLineChars="200"/>
              <w:jc w:val="both"/>
              <w:rPr>
                <w:rFonts w:hint="eastAsia" w:eastAsia="宋体"/>
                <w:color w:val="auto"/>
                <w:sz w:val="24"/>
                <w:szCs w:val="24"/>
              </w:rPr>
            </w:pPr>
            <w:bookmarkStart w:id="77" w:name="_Toc83158468"/>
            <w:bookmarkStart w:id="78" w:name="_Toc83158303"/>
            <w:r>
              <w:rPr>
                <w:rFonts w:hint="eastAsia" w:eastAsia="宋体"/>
                <w:color w:val="auto"/>
                <w:sz w:val="24"/>
                <w:szCs w:val="24"/>
              </w:rPr>
              <w:t>（1）加强施工现场管理：</w:t>
            </w:r>
            <w:r>
              <w:rPr>
                <w:rFonts w:hint="eastAsia" w:eastAsia="宋体"/>
                <w:color w:val="auto"/>
                <w:sz w:val="24"/>
                <w:szCs w:val="24"/>
                <w:lang w:val="en-US" w:eastAsia="zh-CN"/>
              </w:rPr>
              <w:t>在距敏感点较近区域施工，应及时采取洒水降尘、围挡作业等措施；</w:t>
            </w:r>
            <w:r>
              <w:rPr>
                <w:rFonts w:hint="eastAsia" w:eastAsia="宋体"/>
                <w:color w:val="auto"/>
                <w:sz w:val="24"/>
                <w:szCs w:val="24"/>
              </w:rPr>
              <w:t>施工现场</w:t>
            </w:r>
            <w:r>
              <w:rPr>
                <w:rFonts w:hint="eastAsia" w:eastAsia="宋体"/>
                <w:color w:val="auto"/>
                <w:sz w:val="24"/>
                <w:szCs w:val="24"/>
                <w:lang w:val="en-US" w:eastAsia="zh-CN"/>
              </w:rPr>
              <w:t>做到</w:t>
            </w:r>
            <w:r>
              <w:rPr>
                <w:rFonts w:hint="eastAsia" w:eastAsia="宋体"/>
                <w:color w:val="auto"/>
                <w:sz w:val="24"/>
                <w:szCs w:val="24"/>
              </w:rPr>
              <w:t>及时清理，临时堆场应有覆盖措施，减少二次扬尘；施工中应对场地进行洒水降尘，临时堆场进行遮盖拦挡，车轮冲洗。</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（2）使用商品混凝土；运输的车辆必须车身整洁，装载车厢完好，装载货物堆码整齐，运输建筑材料及建筑垃圾的车辆加盖蓬布以减少洒落，不得污染道路。</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（3）施工场地内车辆应采取低速行驶，道路保持清洁，裸露场地采取洒水降尘措施。</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（4）对建筑垃圾及时处理、清运，以减少占地，防止粉尘污染。</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（5）在施工场地上设置专人负责临时堆土、建筑垃圾、建筑材料的处置、清运和堆放，临时堆放场地远离居民区。</w:t>
            </w:r>
          </w:p>
          <w:p>
            <w:pPr>
              <w:pStyle w:val="160"/>
              <w:adjustRightInd w:val="0"/>
              <w:snapToGrid w:val="0"/>
              <w:spacing w:after="0" w:line="360" w:lineRule="auto"/>
              <w:ind w:firstLine="480" w:firstLineChars="200"/>
              <w:jc w:val="both"/>
              <w:rPr>
                <w:rFonts w:ascii="宋体" w:cs="宋体"/>
                <w:color w:val="auto"/>
                <w:kern w:val="0"/>
                <w:sz w:val="24"/>
              </w:rPr>
            </w:pPr>
            <w:r>
              <w:rPr>
                <w:rFonts w:hint="eastAsia" w:eastAsia="宋体"/>
                <w:color w:val="auto"/>
                <w:sz w:val="24"/>
                <w:szCs w:val="24"/>
              </w:rPr>
              <w:t>经采取以上措施后，施工期废气可以得到有效管控，对周围环境影响</w:t>
            </w:r>
            <w:r>
              <w:rPr>
                <w:rFonts w:hint="eastAsia" w:eastAsia="宋体"/>
                <w:color w:val="auto"/>
                <w:sz w:val="24"/>
                <w:szCs w:val="24"/>
                <w:lang w:val="en-US" w:eastAsia="zh-CN"/>
              </w:rPr>
              <w:t>较</w:t>
            </w:r>
            <w:r>
              <w:rPr>
                <w:rFonts w:hint="eastAsia" w:eastAsia="宋体"/>
                <w:color w:val="auto"/>
                <w:sz w:val="24"/>
                <w:szCs w:val="24"/>
              </w:rPr>
              <w:t>小，措施可行。</w:t>
            </w:r>
            <w:bookmarkEnd w:id="77"/>
            <w:bookmarkEnd w:id="78"/>
            <w:bookmarkStart w:id="79" w:name="_Toc83158469"/>
            <w:bookmarkStart w:id="80" w:name="_Toc83158304"/>
          </w:p>
          <w:bookmarkEnd w:id="79"/>
          <w:bookmarkEnd w:id="80"/>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bookmarkStart w:id="81" w:name="_Toc83158477"/>
            <w:bookmarkStart w:id="82" w:name="_Toc83158312"/>
            <w:r>
              <w:rPr>
                <w:rFonts w:hint="eastAsia" w:ascii="Times New Roman" w:hAnsi="Times New Roman" w:eastAsia="宋体" w:cs="Times New Roman"/>
                <w:b/>
                <w:bCs/>
                <w:color w:val="auto"/>
                <w:sz w:val="28"/>
                <w:szCs w:val="28"/>
                <w:lang w:val="en-US" w:eastAsia="zh-CN"/>
              </w:rPr>
              <w:t>5.1.3 施工期地表水环境保护措施</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（1）生活污水：</w:t>
            </w:r>
            <w:r>
              <w:rPr>
                <w:rFonts w:hint="eastAsia" w:eastAsia="宋体"/>
                <w:color w:val="auto"/>
                <w:sz w:val="24"/>
                <w:szCs w:val="24"/>
                <w:lang w:val="en-US" w:eastAsia="zh-CN"/>
              </w:rPr>
              <w:t>在</w:t>
            </w:r>
            <w:r>
              <w:rPr>
                <w:rFonts w:hint="eastAsia" w:eastAsia="宋体"/>
                <w:color w:val="auto"/>
                <w:sz w:val="24"/>
                <w:szCs w:val="24"/>
              </w:rPr>
              <w:t>施工营地生活区</w:t>
            </w:r>
            <w:r>
              <w:rPr>
                <w:rFonts w:hint="eastAsia" w:eastAsia="宋体"/>
                <w:color w:val="auto"/>
                <w:sz w:val="24"/>
                <w:szCs w:val="24"/>
                <w:lang w:val="en-US" w:eastAsia="zh-CN"/>
              </w:rPr>
              <w:t>设置8</w:t>
            </w:r>
            <w:r>
              <w:rPr>
                <w:rFonts w:hint="eastAsia" w:eastAsia="宋体"/>
                <w:color w:val="auto"/>
                <w:sz w:val="24"/>
                <w:szCs w:val="24"/>
              </w:rPr>
              <w:t>m</w:t>
            </w:r>
            <w:r>
              <w:rPr>
                <w:rFonts w:hint="eastAsia" w:eastAsia="宋体"/>
                <w:color w:val="auto"/>
                <w:sz w:val="24"/>
                <w:szCs w:val="24"/>
                <w:vertAlign w:val="superscript"/>
              </w:rPr>
              <w:t>3</w:t>
            </w:r>
            <w:r>
              <w:rPr>
                <w:rFonts w:hint="eastAsia" w:eastAsia="宋体"/>
                <w:color w:val="auto"/>
                <w:sz w:val="24"/>
                <w:szCs w:val="24"/>
              </w:rPr>
              <w:t>沉淀池</w:t>
            </w:r>
            <w:r>
              <w:rPr>
                <w:rFonts w:hint="eastAsia" w:eastAsia="宋体"/>
                <w:color w:val="auto"/>
                <w:sz w:val="24"/>
                <w:szCs w:val="24"/>
                <w:lang w:eastAsia="zh-CN"/>
              </w:rPr>
              <w:t>，</w:t>
            </w:r>
            <w:r>
              <w:rPr>
                <w:rFonts w:hint="eastAsia" w:eastAsia="宋体"/>
                <w:color w:val="auto"/>
                <w:sz w:val="24"/>
                <w:szCs w:val="24"/>
              </w:rPr>
              <w:t>生活污水经沉淀池收集池沉淀处理后，全部回用于场地绿化，不外排。</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（2）建筑施工废水：在施工场地内设置临时导流沟和沉淀池对施工废水进行沉淀处理，处理后的废水回用于洒水抑尘、混凝土养护和其它施工环节，严禁外排。</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3）雨季径流：升压站场地边界外建设截洪沟，场地内外雨污分流，雨季径流应经收集沉淀后，尽量回用于场地内洒水降尘和工程养护等，回用不完部分再外排至周边沟渠。道路区在地势低处设置排水沟，排水沟末端设置沉淀池，经沉淀处理后，尽量回用于场地内洒水降尘和工程养护等，回用不完部分再外排至周边沟渠，减轻对地表水体的影响。</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（4）加强管理，做好机械的日常维修保养，杜绝跑、冒、滴、漏现象。另外，雨天应对各类机械、粉状物料进行遮盖防雨。</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经采取以上措施后，施工期废水可以得到妥善处理，对下游环境影响小，措施可行。</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5.1.4 施工期声环境保护措施</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（1）施工机械应尽量选用低噪机械，加强维护，尽量降低施工机械噪声，施工场地距离居民点较近的区域进行临时围挡，同时与周边群众积极沟通，尽可能互相谅解，防止因噪声扰民而出现群体性事件；</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（2）做好工程施工组织计划，尽量集中在昼间施工，禁止夜间作业；</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（3）做好施工机械的日常维护，使施工机械的噪声维持在最低水平；</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（4）选用低噪声机械设备，同时施工单位应设专人对设备进行定期保养和维护；</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（5）施工场地不宜设置高噪声设备，需要切割、钻孔的材料在营地预制准备好后运送到现场进行安装，尽量不在距离住户较近的</w:t>
            </w:r>
            <w:r>
              <w:rPr>
                <w:rFonts w:hint="eastAsia" w:eastAsia="宋体"/>
                <w:color w:val="auto"/>
                <w:sz w:val="24"/>
                <w:szCs w:val="24"/>
                <w:lang w:val="en-US" w:eastAsia="zh-CN"/>
              </w:rPr>
              <w:t>项目区</w:t>
            </w:r>
            <w:r>
              <w:rPr>
                <w:rFonts w:hint="eastAsia" w:eastAsia="宋体"/>
                <w:color w:val="auto"/>
                <w:sz w:val="24"/>
                <w:szCs w:val="24"/>
              </w:rPr>
              <w:t>现场进行高噪声机械操作；</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（6）加强管理，严格要求运输车辆在经过沿线有居民点的地段必须减速、必须禁止鸣笛、且夜间禁止运输等，避免扰民事件的发生。</w:t>
            </w:r>
          </w:p>
          <w:p>
            <w:pPr>
              <w:pStyle w:val="160"/>
              <w:adjustRightInd w:val="0"/>
              <w:snapToGrid w:val="0"/>
              <w:spacing w:after="0" w:line="360" w:lineRule="auto"/>
              <w:ind w:firstLine="480" w:firstLineChars="200"/>
              <w:jc w:val="both"/>
              <w:rPr>
                <w:rFonts w:hint="eastAsia" w:eastAsia="宋体"/>
                <w:color w:val="auto"/>
                <w:sz w:val="24"/>
                <w:szCs w:val="24"/>
              </w:rPr>
            </w:pPr>
            <w:r>
              <w:rPr>
                <w:rFonts w:hint="eastAsia" w:eastAsia="宋体"/>
                <w:color w:val="auto"/>
                <w:sz w:val="24"/>
                <w:szCs w:val="24"/>
              </w:rPr>
              <w:t>经采取以上措施后，施工期噪声可以得到有效管控，对周围环境影响小，措施可行。</w:t>
            </w:r>
          </w:p>
          <w:bookmarkEnd w:id="81"/>
          <w:bookmarkEnd w:id="82"/>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bookmarkStart w:id="83" w:name="_Toc83158485"/>
            <w:bookmarkStart w:id="84" w:name="_Toc83158320"/>
            <w:r>
              <w:rPr>
                <w:rFonts w:hint="eastAsia" w:ascii="Times New Roman" w:hAnsi="Times New Roman" w:eastAsia="宋体" w:cs="Times New Roman"/>
                <w:b/>
                <w:bCs/>
                <w:color w:val="auto"/>
                <w:sz w:val="28"/>
                <w:szCs w:val="28"/>
                <w:lang w:val="en-US" w:eastAsia="zh-CN"/>
              </w:rPr>
              <w:t>5.1.5 施工期固体废物</w:t>
            </w:r>
            <w:bookmarkEnd w:id="83"/>
            <w:bookmarkEnd w:id="84"/>
          </w:p>
          <w:p>
            <w:pPr>
              <w:spacing w:line="360" w:lineRule="auto"/>
              <w:ind w:firstLine="480" w:firstLineChars="200"/>
              <w:rPr>
                <w:rFonts w:hint="eastAsia"/>
                <w:color w:val="auto"/>
                <w:sz w:val="24"/>
              </w:rPr>
            </w:pPr>
            <w:r>
              <w:rPr>
                <w:rFonts w:hint="eastAsia"/>
                <w:color w:val="auto"/>
                <w:sz w:val="24"/>
              </w:rPr>
              <w:t>（1）废弃土石方：项目产生的土石方全部在场地内回填，不设置弃渣场，禁止乱弃渣</w:t>
            </w:r>
            <w:r>
              <w:rPr>
                <w:rFonts w:hint="eastAsia"/>
                <w:color w:val="auto"/>
                <w:sz w:val="24"/>
                <w:lang w:eastAsia="zh-CN"/>
              </w:rPr>
              <w:t>，施工时要将表层土与下层土分开，表土单独剥离并集中保存于临时表土堆场，待施工完毕后对需植被恢复及复垦的土地进行覆土，以保障植被存活率及耕作基本条件。在临时表土堆存期间，需对表土临时堆场进行临时覆盖，周边布置临时排水沟，并在坡脚进行临时拦挡，防止水土流失。</w:t>
            </w:r>
          </w:p>
          <w:p>
            <w:pPr>
              <w:spacing w:line="360" w:lineRule="auto"/>
              <w:ind w:firstLine="480" w:firstLineChars="200"/>
              <w:rPr>
                <w:rFonts w:hint="eastAsia"/>
                <w:color w:val="auto"/>
                <w:sz w:val="24"/>
              </w:rPr>
            </w:pPr>
            <w:r>
              <w:rPr>
                <w:rFonts w:hint="eastAsia"/>
                <w:color w:val="auto"/>
                <w:sz w:val="24"/>
              </w:rPr>
              <w:t>（2）建筑垃圾：严格执行《昆明市城市建筑垃圾管理实施办法实施细则（修订）》（2018年），建筑垃圾分类收集，能利用部分外售收购商进行回收利用，不可回收部分委托有资质单位清运至政府部门指定的场所进行处置</w:t>
            </w:r>
            <w:r>
              <w:rPr>
                <w:rFonts w:hint="eastAsia"/>
                <w:color w:val="auto"/>
                <w:sz w:val="24"/>
                <w:lang w:eastAsia="zh-CN"/>
              </w:rPr>
              <w:t>，</w:t>
            </w:r>
            <w:r>
              <w:rPr>
                <w:rFonts w:hint="eastAsia"/>
                <w:color w:val="auto"/>
                <w:sz w:val="24"/>
              </w:rPr>
              <w:t>禁止乱堆乱倒。</w:t>
            </w:r>
          </w:p>
          <w:p>
            <w:pPr>
              <w:spacing w:line="360" w:lineRule="auto"/>
              <w:ind w:firstLine="480" w:firstLineChars="200"/>
              <w:rPr>
                <w:rFonts w:hint="eastAsia"/>
                <w:color w:val="auto"/>
                <w:sz w:val="24"/>
              </w:rPr>
            </w:pPr>
            <w:r>
              <w:rPr>
                <w:rFonts w:hint="eastAsia"/>
                <w:color w:val="auto"/>
                <w:sz w:val="24"/>
              </w:rPr>
              <w:t>严格执行《昆明市人民政府办公厅关于印发昆明市建筑工地文明施工管理规定的通知》（昆政办[2011]89号）的规定：施工单位在施工中应当随时清理建筑垃圾，控制建筑污染；保持施工现场卫生整洁；施工中不得随意抛掷建筑材料、废土、旧料、其它杂物和建筑垃圾；施工中应当注意清理施工场地，做到随做随清。</w:t>
            </w:r>
          </w:p>
          <w:p>
            <w:pPr>
              <w:spacing w:line="360" w:lineRule="auto"/>
              <w:ind w:firstLine="480" w:firstLineChars="200"/>
              <w:rPr>
                <w:rFonts w:hint="eastAsia"/>
                <w:color w:val="auto"/>
                <w:sz w:val="24"/>
              </w:rPr>
            </w:pPr>
            <w:r>
              <w:rPr>
                <w:rFonts w:hint="eastAsia"/>
                <w:color w:val="auto"/>
                <w:sz w:val="24"/>
              </w:rPr>
              <w:t>（3）生活垃圾：在施工场地设置临时生活垃圾收集容器，对施工人员的生活垃圾进行分类收集，垃圾实行“日产日清”，能利用部分外售收购商进行回收利用，不可回收部分送至附近村子生活垃圾收集点由环卫部门清运。</w:t>
            </w:r>
          </w:p>
          <w:p>
            <w:pPr>
              <w:spacing w:line="360" w:lineRule="auto"/>
              <w:ind w:firstLine="480" w:firstLineChars="200"/>
              <w:rPr>
                <w:rFonts w:hint="eastAsia"/>
                <w:color w:val="auto"/>
                <w:sz w:val="24"/>
              </w:rPr>
            </w:pPr>
            <w:r>
              <w:rPr>
                <w:rFonts w:hint="eastAsia"/>
                <w:color w:val="auto"/>
                <w:sz w:val="24"/>
              </w:rPr>
              <w:t>（4）粪便：定时由当地百姓清运用作农肥。</w:t>
            </w:r>
          </w:p>
          <w:p>
            <w:pPr>
              <w:spacing w:line="360" w:lineRule="auto"/>
              <w:ind w:firstLine="480" w:firstLineChars="200"/>
              <w:rPr>
                <w:rFonts w:hint="eastAsia"/>
                <w:color w:val="auto"/>
                <w:sz w:val="24"/>
              </w:rPr>
            </w:pPr>
            <w:r>
              <w:rPr>
                <w:rFonts w:hint="eastAsia"/>
                <w:color w:val="auto"/>
                <w:sz w:val="24"/>
              </w:rPr>
              <w:t>（5）临时堆土：项目临时堆场应选择在项目用地范围内，严禁新增占地，并进行覆盖和拦档。</w:t>
            </w:r>
          </w:p>
          <w:p>
            <w:pPr>
              <w:spacing w:line="360" w:lineRule="auto"/>
              <w:ind w:firstLine="480" w:firstLineChars="200"/>
              <w:rPr>
                <w:rFonts w:hint="eastAsia"/>
                <w:color w:val="auto"/>
                <w:sz w:val="24"/>
              </w:rPr>
            </w:pPr>
            <w:r>
              <w:rPr>
                <w:rFonts w:hint="eastAsia"/>
                <w:color w:val="auto"/>
                <w:sz w:val="24"/>
              </w:rPr>
              <w:t>经采取以上措施后，施工期固体废物可以得到有效处理处置，对周围环境影响小，措施可行。</w:t>
            </w:r>
          </w:p>
          <w:p>
            <w:pPr>
              <w:adjustRightInd w:val="0"/>
              <w:snapToGrid w:val="0"/>
              <w:rPr>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53" w:type="dxa"/>
            <w:noWrap w:val="0"/>
            <w:tcMar>
              <w:left w:w="28" w:type="dxa"/>
              <w:right w:w="28" w:type="dxa"/>
            </w:tcMar>
            <w:vAlign w:val="center"/>
          </w:tcPr>
          <w:p>
            <w:pPr>
              <w:adjustRightInd w:val="0"/>
              <w:snapToGrid w:val="0"/>
              <w:jc w:val="center"/>
              <w:rPr>
                <w:bCs/>
                <w:color w:val="auto"/>
                <w:spacing w:val="10"/>
                <w:szCs w:val="21"/>
              </w:rPr>
            </w:pPr>
            <w:r>
              <w:rPr>
                <w:bCs/>
                <w:color w:val="auto"/>
                <w:spacing w:val="10"/>
                <w:szCs w:val="21"/>
              </w:rPr>
              <w:t>运营期生态环境保护措施</w:t>
            </w:r>
          </w:p>
        </w:tc>
        <w:tc>
          <w:tcPr>
            <w:tcW w:w="8328" w:type="dxa"/>
            <w:noWrap w:val="0"/>
            <w:vAlign w:val="top"/>
          </w:tcPr>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5.2.1 运营期生态环境</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施工活动保证在征地红线范围内进行，禁止超计划占用土地和破坏植被，禁止施工人员砍伐树木，禁止到非施工区活动，减少地表扰动；优化施工道路设计，尽量收缩边坡，优化线形，少占土地，场内外道路，除利用现有的乡村道路，其他新建临时道路应根据项目运行后的使用功能合理制定恢复措施。</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针对占用的林地采取以下措施：严格控制用地范围，不超范围使用林地；做好施工人员爱护林木花草保护生物多样性的重要性，做到不乱砍滥伐林木，不随意践踏建设区以外的森林植被，不乱捕滥猎野生动物；尽量减少植被破坏，及时恢复植被；依法办理使用林地用地手续，缴纳森林植被恢复费（由林业主管部门实施异地造林）等。</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3）施工时要特别注意，应将表层土与下层土分开，表土单独剥离并集中保存于临时表土堆场，待施工完毕后对需植被恢复及复垦的土地进行覆土，以保障植被存活率及耕作基本条件。在临时表土堆存期间，需对表土临时堆场进行临时覆盖，周边布置临时排水沟，并在坡脚进行临时拦挡，防止水土流失。</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（4）优化施工方案及施工工艺，产生的开挖方及时用于场平，有利于减少施工过程中的水土流失。挖填施工应尽量避免在雨季施工。</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（5）加强场内道路边坡防护措施，严格执行工程水土保持方案中提出的水保措施，减少水土流失。</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eastAsia="zh-CN"/>
              </w:rPr>
              <w:t>）工结束后对临时用地进行植被恢复或复垦，施工结束后进行土地整治，整治结束后进行植被恢复，采用乔灌草结合方式绿化。</w:t>
            </w:r>
            <w:r>
              <w:rPr>
                <w:rFonts w:hint="eastAsia" w:ascii="Times New Roman" w:hAnsi="Times New Roman" w:eastAsia="宋体" w:cs="Times New Roman"/>
                <w:color w:val="auto"/>
                <w:sz w:val="24"/>
                <w:lang w:val="en-US" w:eastAsia="zh-CN"/>
              </w:rPr>
              <w:t>保障施工期时临时用地的生态恢复措施的执行。</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经采取以上措施后，施工期可以减缓对项目用地范围内生态环境的影响，措施可行。</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5.2.2 运营期废气</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本项目运行期产生的废气主要是卫生间的臭味及汽车尾气，通过卫生管理及喷洒除臭剂等处理恶臭，汽车尾气通过自然扩撒。</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5.2.3 运营期废水</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项目运营期主要是生活污水，</w:t>
            </w:r>
            <w:r>
              <w:rPr>
                <w:rFonts w:hint="eastAsia" w:ascii="Times New Roman" w:hAnsi="Times New Roman" w:eastAsia="宋体" w:cs="Times New Roman"/>
                <w:color w:val="auto"/>
                <w:sz w:val="24"/>
              </w:rPr>
              <w:t>项目已有公厕及对应的化粪池，公园内村民都已配备了化粪池</w:t>
            </w:r>
            <w:r>
              <w:rPr>
                <w:rFonts w:hint="eastAsia" w:ascii="Times New Roman" w:hAnsi="Times New Roman" w:eastAsia="宋体" w:cs="Times New Roman"/>
                <w:color w:val="auto"/>
                <w:sz w:val="24"/>
                <w:lang w:eastAsia="zh-CN"/>
              </w:rPr>
              <w:t>，</w:t>
            </w:r>
            <w:r>
              <w:rPr>
                <w:rFonts w:hint="eastAsia"/>
                <w:color w:val="auto"/>
                <w:sz w:val="24"/>
                <w:lang w:val="en-US" w:eastAsia="zh-CN"/>
              </w:rPr>
              <w:t>生活污水经过化粪池处理后</w:t>
            </w:r>
            <w:r>
              <w:rPr>
                <w:rFonts w:hint="eastAsia"/>
                <w:color w:val="auto"/>
                <w:sz w:val="24"/>
                <w:lang w:eastAsia="zh-CN"/>
              </w:rPr>
              <w:t>进入市政污水收集管网</w:t>
            </w:r>
            <w:r>
              <w:rPr>
                <w:rFonts w:hint="eastAsia" w:ascii="Times New Roman" w:hAnsi="Times New Roman" w:eastAsia="宋体" w:cs="Times New Roman"/>
                <w:color w:val="auto"/>
                <w:sz w:val="24"/>
              </w:rPr>
              <w:t>。本项目只是建设污水收集管网。</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5.2.4 运营期噪声</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项目运营期噪声</w:t>
            </w:r>
            <w:r>
              <w:rPr>
                <w:rFonts w:hint="eastAsia" w:ascii="Times New Roman" w:hAnsi="Times New Roman" w:eastAsia="宋体" w:cs="Times New Roman"/>
                <w:color w:val="auto"/>
                <w:sz w:val="24"/>
              </w:rPr>
              <w:t>主要是交通噪声和人群噪声，通过安装禁止鸣笛和禁止大声喧哗的警示牌进行预防。</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5.2.5 运营期固废</w:t>
            </w:r>
          </w:p>
          <w:p>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项目运营期固废主要是生活垃圾，在景区内各区域</w:t>
            </w:r>
            <w:r>
              <w:rPr>
                <w:rFonts w:hint="eastAsia" w:ascii="Times New Roman" w:hAnsi="Times New Roman" w:eastAsia="宋体" w:cs="Times New Roman"/>
                <w:color w:val="auto"/>
                <w:sz w:val="24"/>
              </w:rPr>
              <w:t>分散设置若干生活垃圾收集桶，生活垃圾收集后送至环卫部门制定堆放地点，委托环卫部门定期清运处置。</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5.2.7 环境风险防范措施</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应按《生产经营单位生产安全事故应急预案编制导则》（GB/T 29639-2020）的相关要求编写应急预案，并定期进行演练、培训。在经营过程中根据实际情况及时修订和完善应急预案。</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企业应当组织开展本单位的应急预案、应急知识、自救互救和避险逃生技能的培训活动，使有关人员了解应急预案内容，熟悉应急职责、应急处置程序和措施。应急预案演练半年进行一次，并根据演练效果和《生产经营单位生产安全事故应急预案编制导则》（GB/T29639-2020）的要求，不断修改完善安全事故应急救援预案。</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企业应建立健全事故应急救援体系。依据国家相关法律法规及标准要求，建立、健全应急组织和专（兼）职应急队伍，明确职责，并定期进行事故应急演练。</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企业应当在编制应急预案的基础上，针对工作场所、岗位的特点，编制简明、实用、有效的应急处置卡。应急处置卡应当规定重点岗位、人员的应急处置程序和措施，以及相关联络人员和联系方式，便于从业人员携带。</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企业应当按照应急预案的规定，落实应急指挥体系、应急救援队伍、应急物资及装备，建立应急物资、装备配备及其使用档案，并对应急物资、装备进行定期检测和维护，使其处于适用状态。</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现有消防安全管理制度基础上，新增《特种设备（电梯）安全管理制度》《用电安全管理制度》《车辆交通管理制度》《有限空间作业安全管理制度》等，形成覆盖全风险的制度体系；制度发布后组织全员培训。</w:t>
            </w:r>
          </w:p>
          <w:p>
            <w:pPr>
              <w:pStyle w:val="28"/>
              <w:keepNext w:val="0"/>
              <w:keepLines w:val="0"/>
              <w:pageBreakBefore w:val="0"/>
              <w:widowControl/>
              <w:kinsoku/>
              <w:wordWrap/>
              <w:overflowPunct/>
              <w:topLinePunct w:val="0"/>
              <w:autoSpaceDE/>
              <w:autoSpaceDN/>
              <w:bidi w:val="0"/>
              <w:adjustRightInd/>
              <w:snapToGrid/>
              <w:spacing w:before="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建立 “日常巡查 + 专项检查 + 第三方检查” 机制：保安部每日开展防火、交通巡查，安全管理部门每周组织综合检查，每季度邀请第三方机构开展专项检查（电气、消防、特种设备）；制定隐患排查清单，对排查出的隐患分类登记（一般隐患 3 日内整改，重大隐患立即停产整改），整改完成后组织验收，形成 “排查 - 整改 - 验收” 闭环，隐患治理记录存档备查。</w:t>
            </w:r>
          </w:p>
          <w:p>
            <w:pPr>
              <w:pStyle w:val="28"/>
              <w:keepNext w:val="0"/>
              <w:keepLines w:val="0"/>
              <w:pageBreakBefore w:val="0"/>
              <w:widowControl/>
              <w:kinsoku/>
              <w:wordWrap/>
              <w:overflowPunct/>
              <w:topLinePunct w:val="0"/>
              <w:autoSpaceDE/>
              <w:autoSpaceDN/>
              <w:bidi w:val="0"/>
              <w:adjustRightInd/>
              <w:snapToGrid/>
              <w:spacing w:before="0"/>
              <w:textAlignment w:val="auto"/>
              <w:rPr>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按照《企业安全生产费用提取和使用管理办法》（财资〔2022〕136 号）要求，足额提取安全生产费用（不低于上年度营业收入的 1.5%），专项用于安全设施改造（如消防设施更新、电气线路整改）、防护用品采购、安全培训、应急演练等；建立费用使用台账，每季度向企业负责人汇报使用情况，确保资金专款专用，不得挪用。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3" w:type="dxa"/>
            <w:noWrap w:val="0"/>
            <w:vAlign w:val="center"/>
          </w:tcPr>
          <w:p>
            <w:pPr>
              <w:adjustRightInd w:val="0"/>
              <w:snapToGrid w:val="0"/>
              <w:jc w:val="center"/>
              <w:rPr>
                <w:bCs/>
                <w:color w:val="auto"/>
                <w:spacing w:val="10"/>
                <w:szCs w:val="21"/>
              </w:rPr>
            </w:pPr>
            <w:r>
              <w:rPr>
                <w:bCs/>
                <w:color w:val="auto"/>
                <w:szCs w:val="21"/>
              </w:rPr>
              <w:t>其他</w:t>
            </w:r>
          </w:p>
        </w:tc>
        <w:tc>
          <w:tcPr>
            <w:tcW w:w="8328" w:type="dxa"/>
            <w:noWrap w:val="0"/>
            <w:vAlign w:val="center"/>
          </w:tcPr>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5.3.1 环境管理</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（1）设计阶段：设计部门应将环境影响报告书提出的环境保护措施落实在施工设计中。</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（2）招投标阶段：承包商在投标中应有环境保护内容，中标后的合同中应有实施保证措施的条款。</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3）施工阶段：工程监理机构应将环境保护的相关内容纳入到工程监理计划中。施工单位应按照本环评报告提出的环境保护措施和招标文件中规定的环境保护措施实施，接受工程建设单位和监理单位的监督和管理。</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（4）运行阶段：本项目的环境保护工作由建设单位负责监督，负责日常的环境管理，落实相关的环境管理制度。</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5.3.2 环境管理机构职责</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为加强项目施工期</w:t>
            </w:r>
            <w:r>
              <w:rPr>
                <w:rFonts w:hint="eastAsia" w:hAnsi="宋体"/>
                <w:color w:val="auto"/>
                <w:sz w:val="24"/>
                <w:lang w:val="en-US" w:eastAsia="zh-CN"/>
              </w:rPr>
              <w:t>与</w:t>
            </w:r>
            <w:r>
              <w:rPr>
                <w:rFonts w:hint="eastAsia" w:hAnsi="宋体"/>
                <w:color w:val="auto"/>
                <w:sz w:val="24"/>
              </w:rPr>
              <w:t>运营期对项目的环境监管，建设单位应设环保工作人员，负责做好环境管理工作，加强环保法规和技术培训，组织落实各项环境保护措施，规范各项环境管理制度。项目环境管理计划见下表。</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imes New Roman" w:hAnsi="Times New Roman" w:eastAsia="宋体" w:cs="Times New Roman"/>
                <w:b/>
                <w:bCs/>
                <w:color w:val="auto"/>
                <w:spacing w:val="10"/>
                <w:sz w:val="21"/>
                <w:szCs w:val="21"/>
              </w:rPr>
            </w:pPr>
            <w:r>
              <w:rPr>
                <w:rFonts w:hint="eastAsia" w:ascii="Times New Roman" w:hAnsi="Times New Roman" w:eastAsia="宋体" w:cs="Times New Roman"/>
                <w:b/>
                <w:bCs/>
                <w:color w:val="auto"/>
                <w:spacing w:val="10"/>
                <w:sz w:val="21"/>
                <w:szCs w:val="21"/>
              </w:rPr>
              <w:t>表 5</w:t>
            </w:r>
            <w:r>
              <w:rPr>
                <w:rFonts w:hint="eastAsia" w:ascii="Times New Roman" w:hAnsi="Times New Roman" w:eastAsia="宋体" w:cs="Times New Roman"/>
                <w:b/>
                <w:bCs/>
                <w:color w:val="auto"/>
                <w:spacing w:val="10"/>
                <w:sz w:val="21"/>
                <w:szCs w:val="21"/>
                <w:lang w:val="en-US" w:eastAsia="zh-CN"/>
              </w:rPr>
              <w:t>.3.2</w:t>
            </w:r>
            <w:r>
              <w:rPr>
                <w:rFonts w:hint="eastAsia" w:ascii="Times New Roman" w:hAnsi="Times New Roman" w:eastAsia="宋体" w:cs="Times New Roman"/>
                <w:b/>
                <w:bCs/>
                <w:color w:val="auto"/>
                <w:spacing w:val="10"/>
                <w:sz w:val="21"/>
                <w:szCs w:val="21"/>
              </w:rPr>
              <w:t>-1 环境管理计划表</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5400"/>
              <w:gridCol w:w="825"/>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环境要素</w:t>
                  </w:r>
                </w:p>
              </w:tc>
              <w:tc>
                <w:tcPr>
                  <w:tcW w:w="5400"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环境保护措施与对策</w:t>
                  </w:r>
                </w:p>
              </w:tc>
              <w:tc>
                <w:tcPr>
                  <w:tcW w:w="825"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执行单位</w:t>
                  </w:r>
                </w:p>
              </w:tc>
              <w:tc>
                <w:tcPr>
                  <w:tcW w:w="692"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大气环境</w:t>
                  </w:r>
                </w:p>
              </w:tc>
              <w:tc>
                <w:tcPr>
                  <w:tcW w:w="5400"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施工期：施工区实施洒水抑尘、散体材料库内存放、露天存放应采用防尘网遮盖，表土堆场土工布遮盖，运输车辆封闭式运输。</w:t>
                  </w:r>
                </w:p>
              </w:tc>
              <w:tc>
                <w:tcPr>
                  <w:tcW w:w="825" w:type="dxa"/>
                  <w:vMerge w:val="restart"/>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建设单位施工单位</w:t>
                  </w:r>
                </w:p>
              </w:tc>
              <w:tc>
                <w:tcPr>
                  <w:tcW w:w="692" w:type="dxa"/>
                  <w:vMerge w:val="restart"/>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昆明生态环境局</w:t>
                  </w:r>
                  <w:r>
                    <w:rPr>
                      <w:rFonts w:hint="eastAsia"/>
                      <w:color w:val="auto"/>
                      <w:sz w:val="21"/>
                      <w:szCs w:val="21"/>
                      <w:vertAlign w:val="baseline"/>
                      <w:lang w:val="en-US" w:eastAsia="zh-CN"/>
                    </w:rPr>
                    <w:t>嵩明</w:t>
                  </w:r>
                  <w:r>
                    <w:rPr>
                      <w:rFonts w:hint="eastAsia"/>
                      <w:color w:val="auto"/>
                      <w:sz w:val="21"/>
                      <w:szCs w:val="21"/>
                      <w:vertAlign w:val="baseline"/>
                    </w:rPr>
                    <w:t>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水环境</w:t>
                  </w:r>
                </w:p>
              </w:tc>
              <w:tc>
                <w:tcPr>
                  <w:tcW w:w="5400"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施工期：施工废水设沉淀池收集沉淀后，全部回用于施工用水及场地洒水降尘。施工人员清洗废水全部进入沉淀池，回用于施工用水及场地洒水降尘。</w:t>
                  </w:r>
                </w:p>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运营期：</w:t>
                  </w:r>
                  <w:r>
                    <w:rPr>
                      <w:rFonts w:hint="eastAsia"/>
                      <w:color w:val="auto"/>
                      <w:sz w:val="21"/>
                      <w:szCs w:val="21"/>
                      <w:vertAlign w:val="baseline"/>
                      <w:lang w:val="en-US" w:eastAsia="zh-CN"/>
                    </w:rPr>
                    <w:t>生活污水经过化粪池处理后进入市政污水收集管网</w:t>
                  </w:r>
                  <w:r>
                    <w:rPr>
                      <w:rFonts w:hint="eastAsia"/>
                      <w:color w:val="auto"/>
                      <w:sz w:val="21"/>
                      <w:szCs w:val="21"/>
                      <w:vertAlign w:val="baseline"/>
                    </w:rPr>
                    <w:t>。</w:t>
                  </w:r>
                </w:p>
              </w:tc>
              <w:tc>
                <w:tcPr>
                  <w:tcW w:w="825"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c>
                <w:tcPr>
                  <w:tcW w:w="692"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5"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生态环境</w:t>
                  </w:r>
                </w:p>
              </w:tc>
              <w:tc>
                <w:tcPr>
                  <w:tcW w:w="5400"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严格控制施工活动区域，不破坏征地范围外的植被；严禁盗猎、盗伐及乱砍滥伐行为，严格执行水土保持措施，施工结束后临建设施及时进行拆除、清理以及植被恢复。</w:t>
                  </w:r>
                </w:p>
              </w:tc>
              <w:tc>
                <w:tcPr>
                  <w:tcW w:w="825"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c>
                <w:tcPr>
                  <w:tcW w:w="692"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噪声</w:t>
                  </w:r>
                </w:p>
              </w:tc>
              <w:tc>
                <w:tcPr>
                  <w:tcW w:w="5400"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施工期：合理安排施工时间，严禁夜间施工，加强施工机械设备的管理和维护。</w:t>
                  </w:r>
                </w:p>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运营期：通过安装禁止鸣笛和禁止大声喧哗的警示牌进行预防。</w:t>
                  </w:r>
                </w:p>
              </w:tc>
              <w:tc>
                <w:tcPr>
                  <w:tcW w:w="825"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c>
                <w:tcPr>
                  <w:tcW w:w="692"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固体废弃物</w:t>
                  </w:r>
                </w:p>
              </w:tc>
              <w:tc>
                <w:tcPr>
                  <w:tcW w:w="5400" w:type="dxa"/>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施工期：土石方挖填平衡，不产生弃渣；生活垃圾集中收集后送附近村庄垃圾集中收集点统一处理</w:t>
                  </w:r>
                  <w:r>
                    <w:rPr>
                      <w:rFonts w:hint="eastAsia"/>
                      <w:color w:val="auto"/>
                      <w:sz w:val="21"/>
                      <w:szCs w:val="21"/>
                      <w:vertAlign w:val="baseline"/>
                      <w:lang w:eastAsia="zh-CN"/>
                    </w:rPr>
                    <w:t>，粪便定时由当地百姓清运用作农肥</w:t>
                  </w:r>
                  <w:r>
                    <w:rPr>
                      <w:rFonts w:hint="eastAsia"/>
                      <w:color w:val="auto"/>
                      <w:sz w:val="21"/>
                      <w:szCs w:val="21"/>
                      <w:vertAlign w:val="baseline"/>
                    </w:rPr>
                    <w:t>。</w:t>
                  </w:r>
                </w:p>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r>
                    <w:rPr>
                      <w:rFonts w:hint="eastAsia"/>
                      <w:color w:val="auto"/>
                      <w:sz w:val="21"/>
                      <w:szCs w:val="21"/>
                      <w:vertAlign w:val="baseline"/>
                    </w:rPr>
                    <w:t>运营期：生活垃圾收集后送至环卫部门制定堆放地点，委托环卫部门定期清运处置。</w:t>
                  </w:r>
                </w:p>
              </w:tc>
              <w:tc>
                <w:tcPr>
                  <w:tcW w:w="825"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c>
                <w:tcPr>
                  <w:tcW w:w="692" w:type="dxa"/>
                  <w:vMerge w:val="continue"/>
                  <w:noWrap w:val="0"/>
                  <w:vAlign w:val="center"/>
                </w:tcPr>
                <w:p>
                  <w:pPr>
                    <w:pStyle w:val="28"/>
                    <w:keepNext w:val="0"/>
                    <w:keepLines w:val="0"/>
                    <w:pageBreakBefore w:val="0"/>
                    <w:widowControl/>
                    <w:kinsoku/>
                    <w:wordWrap/>
                    <w:overflowPunct/>
                    <w:topLinePunct w:val="0"/>
                    <w:autoSpaceDE/>
                    <w:autoSpaceDN/>
                    <w:bidi w:val="0"/>
                    <w:adjustRightInd/>
                    <w:snapToGrid/>
                    <w:spacing w:before="0" w:line="240" w:lineRule="auto"/>
                    <w:ind w:firstLine="0" w:firstLineChars="0"/>
                    <w:jc w:val="center"/>
                    <w:textAlignment w:val="auto"/>
                    <w:rPr>
                      <w:rFonts w:hint="eastAsia"/>
                      <w:color w:val="auto"/>
                      <w:sz w:val="21"/>
                      <w:szCs w:val="21"/>
                      <w:vertAlign w:val="baseline"/>
                    </w:rPr>
                  </w:pPr>
                </w:p>
              </w:tc>
            </w:tr>
          </w:tbl>
          <w:p>
            <w:pPr>
              <w:adjustRightInd w:val="0"/>
              <w:snapToGrid w:val="0"/>
              <w:spacing w:line="360" w:lineRule="auto"/>
              <w:ind w:firstLine="480" w:firstLineChars="200"/>
              <w:rPr>
                <w:rFonts w:hint="eastAsia" w:hAnsi="宋体"/>
                <w:color w:val="auto"/>
                <w:sz w:val="24"/>
              </w:rPr>
            </w:pP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5.3.3 项目运行期的环境保护管理</w:t>
            </w:r>
          </w:p>
          <w:p>
            <w:pPr>
              <w:adjustRightInd w:val="0"/>
              <w:snapToGrid w:val="0"/>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（1）根据国家环保政策、标准及环境监测要求，制定该项目运行期环境管理规章制度；</w:t>
            </w:r>
          </w:p>
          <w:p>
            <w:pPr>
              <w:adjustRightInd w:val="0"/>
              <w:snapToGrid w:val="0"/>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（2）负责该项目内所有环保设施的日常运行管理，保障各环保设施的正常运行，并对环保设施的改进提出积极的建议；</w:t>
            </w:r>
          </w:p>
          <w:p>
            <w:pPr>
              <w:adjustRightInd w:val="0"/>
              <w:snapToGrid w:val="0"/>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（3）负责该项目运行期环境监测工作，及时掌握该项目对生态环境的影响情况，建立观测与监测档案；</w:t>
            </w:r>
          </w:p>
          <w:p>
            <w:pPr>
              <w:adjustRightInd w:val="0"/>
              <w:snapToGrid w:val="0"/>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（4）该项目运行期的环境管理由建设单位承担，并接受环境保护主管部门的指导和监督；</w:t>
            </w:r>
          </w:p>
          <w:p>
            <w:pPr>
              <w:adjustRightInd w:val="0"/>
              <w:snapToGrid w:val="0"/>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（5）负责对本企业职工进行环保宣传教育工作。</w:t>
            </w:r>
          </w:p>
          <w:p>
            <w:pPr>
              <w:pStyle w:val="160"/>
              <w:keepNext w:val="0"/>
              <w:keepLines w:val="0"/>
              <w:pageBreakBefore w:val="0"/>
              <w:widowControl w:val="0"/>
              <w:kinsoku/>
              <w:wordWrap/>
              <w:overflowPunct/>
              <w:topLinePunct w:val="0"/>
              <w:autoSpaceDE/>
              <w:autoSpaceDN/>
              <w:bidi w:val="0"/>
              <w:adjustRightInd w:val="0"/>
              <w:snapToGrid w:val="0"/>
              <w:spacing w:after="0" w:line="360" w:lineRule="auto"/>
              <w:ind w:left="0" w:firstLine="562" w:firstLineChars="20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5.3.4 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cs="宋体"/>
                <w:color w:val="auto"/>
                <w:kern w:val="0"/>
                <w:sz w:val="24"/>
              </w:rPr>
            </w:pPr>
            <w:r>
              <w:rPr>
                <w:rFonts w:hint="eastAsia"/>
                <w:color w:val="auto"/>
                <w:kern w:val="0"/>
                <w:sz w:val="24"/>
              </w:rPr>
              <w:t>项目施工期和运营期环境监测计划，详见下表。</w:t>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pacing w:val="10"/>
                <w:sz w:val="21"/>
                <w:szCs w:val="21"/>
              </w:rPr>
              <w:t>表5.3.</w:t>
            </w:r>
            <w:r>
              <w:rPr>
                <w:rFonts w:hint="eastAsia" w:ascii="Times New Roman" w:hAnsi="Times New Roman" w:eastAsia="宋体" w:cs="Times New Roman"/>
                <w:b/>
                <w:bCs/>
                <w:color w:val="auto"/>
                <w:spacing w:val="10"/>
                <w:sz w:val="21"/>
                <w:szCs w:val="21"/>
                <w:lang w:val="en-US" w:eastAsia="zh-CN"/>
              </w:rPr>
              <w:t>4</w:t>
            </w:r>
            <w:r>
              <w:rPr>
                <w:rFonts w:hint="default" w:ascii="Times New Roman" w:hAnsi="Times New Roman" w:eastAsia="宋体" w:cs="Times New Roman"/>
                <w:b/>
                <w:bCs/>
                <w:color w:val="auto"/>
                <w:spacing w:val="10"/>
                <w:sz w:val="21"/>
                <w:szCs w:val="21"/>
                <w:lang w:val="en-US" w:eastAsia="zh-CN"/>
              </w:rPr>
              <w:t xml:space="preserve">-1 </w:t>
            </w:r>
            <w:r>
              <w:rPr>
                <w:rFonts w:hint="default" w:ascii="Times New Roman" w:hAnsi="Times New Roman" w:eastAsia="宋体" w:cs="Times New Roman"/>
                <w:b/>
                <w:bCs/>
                <w:color w:val="auto"/>
                <w:spacing w:val="10"/>
                <w:sz w:val="21"/>
                <w:szCs w:val="21"/>
              </w:rPr>
              <w:t>环境监测计划表</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90"/>
              <w:gridCol w:w="2110"/>
              <w:gridCol w:w="1780"/>
              <w:gridCol w:w="1810"/>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时段</w:t>
                  </w:r>
                </w:p>
              </w:tc>
              <w:tc>
                <w:tcPr>
                  <w:tcW w:w="109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监测要素</w:t>
                  </w:r>
                </w:p>
              </w:tc>
              <w:tc>
                <w:tcPr>
                  <w:tcW w:w="21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监测地点</w:t>
                  </w:r>
                </w:p>
              </w:tc>
              <w:tc>
                <w:tcPr>
                  <w:tcW w:w="178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18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监测频率</w:t>
                  </w:r>
                </w:p>
              </w:tc>
              <w:tc>
                <w:tcPr>
                  <w:tcW w:w="662"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650"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施工期</w:t>
                  </w:r>
                </w:p>
              </w:tc>
              <w:tc>
                <w:tcPr>
                  <w:tcW w:w="109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21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山脚村</w:t>
                  </w:r>
                </w:p>
              </w:tc>
              <w:tc>
                <w:tcPr>
                  <w:tcW w:w="1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等效连续A声级</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c>
                <w:tcPr>
                  <w:tcW w:w="18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施工高峰期监测1次，分昼、夜两个时段</w:t>
                  </w:r>
                </w:p>
              </w:tc>
              <w:tc>
                <w:tcPr>
                  <w:tcW w:w="66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具有资质的监测机构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c>
                <w:tcPr>
                  <w:tcW w:w="109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废气</w:t>
                  </w:r>
                </w:p>
              </w:tc>
              <w:tc>
                <w:tcPr>
                  <w:tcW w:w="21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山脚村</w:t>
                  </w:r>
                </w:p>
              </w:tc>
              <w:tc>
                <w:tcPr>
                  <w:tcW w:w="178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TSP</w:t>
                  </w:r>
                </w:p>
              </w:tc>
              <w:tc>
                <w:tcPr>
                  <w:tcW w:w="18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施工高峰期监测1 次</w:t>
                  </w:r>
                </w:p>
              </w:tc>
              <w:tc>
                <w:tcPr>
                  <w:tcW w:w="66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5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营运期</w:t>
                  </w:r>
                </w:p>
              </w:tc>
              <w:tc>
                <w:tcPr>
                  <w:tcW w:w="109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21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山脚村</w:t>
                  </w:r>
                </w:p>
              </w:tc>
              <w:tc>
                <w:tcPr>
                  <w:tcW w:w="178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等效连续A声级</w:t>
                  </w:r>
                </w:p>
              </w:tc>
              <w:tc>
                <w:tcPr>
                  <w:tcW w:w="181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每季度1 次，分昼、夜两个时段，昼间、夜间各监测 2 天</w:t>
                  </w:r>
                </w:p>
              </w:tc>
              <w:tc>
                <w:tcPr>
                  <w:tcW w:w="66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p>
              </w:tc>
            </w:tr>
          </w:tbl>
          <w:p>
            <w:pPr>
              <w:spacing w:line="360" w:lineRule="auto"/>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pPr>
              <w:adjustRightInd w:val="0"/>
              <w:snapToGrid w:val="0"/>
              <w:jc w:val="center"/>
              <w:rPr>
                <w:bCs/>
                <w:color w:val="auto"/>
                <w:spacing w:val="10"/>
                <w:szCs w:val="21"/>
              </w:rPr>
            </w:pPr>
            <w:r>
              <w:rPr>
                <w:bCs/>
                <w:color w:val="auto"/>
                <w:szCs w:val="21"/>
              </w:rPr>
              <w:t>环保投资</w:t>
            </w:r>
          </w:p>
        </w:tc>
        <w:tc>
          <w:tcPr>
            <w:tcW w:w="8328" w:type="dxa"/>
            <w:noWrap w:val="0"/>
            <w:vAlign w:val="top"/>
          </w:tcPr>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5.4.1 项目环保投资</w:t>
            </w:r>
          </w:p>
          <w:p>
            <w:pPr>
              <w:spacing w:line="360" w:lineRule="auto"/>
              <w:ind w:firstLine="480" w:firstLineChars="200"/>
              <w:rPr>
                <w:bCs/>
                <w:color w:val="auto"/>
                <w:sz w:val="24"/>
              </w:rPr>
            </w:pPr>
            <w:r>
              <w:rPr>
                <w:bCs/>
                <w:color w:val="auto"/>
                <w:sz w:val="24"/>
              </w:rPr>
              <w:t>项目环保投入包括对废气</w:t>
            </w:r>
            <w:r>
              <w:rPr>
                <w:rFonts w:hint="eastAsia"/>
                <w:bCs/>
                <w:color w:val="auto"/>
                <w:sz w:val="24"/>
                <w:lang w:val="en-US" w:eastAsia="zh-CN"/>
              </w:rPr>
              <w:t>治理</w:t>
            </w:r>
            <w:r>
              <w:rPr>
                <w:bCs/>
                <w:color w:val="auto"/>
                <w:sz w:val="24"/>
              </w:rPr>
              <w:t>、废水</w:t>
            </w:r>
            <w:r>
              <w:rPr>
                <w:rFonts w:hint="eastAsia"/>
                <w:bCs/>
                <w:color w:val="auto"/>
                <w:sz w:val="24"/>
                <w:lang w:val="en-US" w:eastAsia="zh-CN"/>
              </w:rPr>
              <w:t>治理</w:t>
            </w:r>
            <w:r>
              <w:rPr>
                <w:bCs/>
                <w:color w:val="auto"/>
                <w:sz w:val="24"/>
              </w:rPr>
              <w:t>、噪声</w:t>
            </w:r>
            <w:r>
              <w:rPr>
                <w:rFonts w:hint="eastAsia"/>
                <w:bCs/>
                <w:color w:val="auto"/>
                <w:sz w:val="24"/>
                <w:lang w:val="en-US" w:eastAsia="zh-CN"/>
              </w:rPr>
              <w:t>防治</w:t>
            </w:r>
            <w:r>
              <w:rPr>
                <w:bCs/>
                <w:color w:val="auto"/>
                <w:sz w:val="24"/>
              </w:rPr>
              <w:t>、固废</w:t>
            </w:r>
            <w:r>
              <w:rPr>
                <w:rFonts w:hint="eastAsia"/>
                <w:bCs/>
                <w:color w:val="auto"/>
                <w:sz w:val="24"/>
                <w:lang w:val="en-US" w:eastAsia="zh-CN"/>
              </w:rPr>
              <w:t>治理、生态恢复等</w:t>
            </w:r>
            <w:r>
              <w:rPr>
                <w:bCs/>
                <w:color w:val="auto"/>
                <w:sz w:val="24"/>
              </w:rPr>
              <w:t>。</w:t>
            </w:r>
            <w:r>
              <w:rPr>
                <w:rFonts w:hint="eastAsia"/>
                <w:color w:val="auto"/>
                <w:kern w:val="0"/>
                <w:sz w:val="24"/>
                <w:lang w:val="en-US" w:eastAsia="zh-CN"/>
              </w:rPr>
              <w:t>本次评价总投资</w:t>
            </w:r>
            <w:r>
              <w:rPr>
                <w:rFonts w:hint="eastAsia"/>
                <w:color w:val="auto"/>
                <w:sz w:val="24"/>
                <w:lang w:val="en-US" w:eastAsia="zh-CN"/>
              </w:rPr>
              <w:t>830万元</w:t>
            </w:r>
            <w:r>
              <w:rPr>
                <w:bCs/>
                <w:color w:val="auto"/>
                <w:sz w:val="24"/>
              </w:rPr>
              <w:t>，其中环保投入约</w:t>
            </w:r>
            <w:r>
              <w:rPr>
                <w:rFonts w:hint="eastAsia"/>
                <w:bCs/>
                <w:color w:val="auto"/>
                <w:sz w:val="24"/>
                <w:lang w:val="en-US" w:eastAsia="zh-CN"/>
              </w:rPr>
              <w:t>36.5</w:t>
            </w:r>
            <w:r>
              <w:rPr>
                <w:bCs/>
                <w:color w:val="auto"/>
                <w:sz w:val="24"/>
              </w:rPr>
              <w:t>万元，占总投资额的</w:t>
            </w:r>
            <w:r>
              <w:rPr>
                <w:rFonts w:hint="eastAsia"/>
                <w:bCs/>
                <w:color w:val="auto"/>
                <w:sz w:val="24"/>
                <w:lang w:val="en-US" w:eastAsia="zh-CN"/>
              </w:rPr>
              <w:t>4.39</w:t>
            </w:r>
            <w:r>
              <w:rPr>
                <w:bCs/>
                <w:color w:val="auto"/>
                <w:sz w:val="24"/>
              </w:rPr>
              <w:t>%。</w:t>
            </w:r>
            <w:r>
              <w:rPr>
                <w:rFonts w:hint="eastAsia"/>
                <w:bCs/>
                <w:color w:val="auto"/>
                <w:sz w:val="24"/>
              </w:rPr>
              <w:t>环保投资估算详见下表</w:t>
            </w:r>
            <w:r>
              <w:rPr>
                <w:bCs/>
                <w:color w:val="auto"/>
                <w:sz w:val="24"/>
              </w:rPr>
              <w:t>。</w:t>
            </w:r>
          </w:p>
          <w:p>
            <w:pPr>
              <w:keepNext/>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kern w:val="0"/>
                <w:szCs w:val="21"/>
              </w:rPr>
            </w:pPr>
            <w:r>
              <w:rPr>
                <w:b/>
                <w:color w:val="auto"/>
                <w:kern w:val="0"/>
                <w:szCs w:val="21"/>
              </w:rPr>
              <w:t>表</w:t>
            </w:r>
            <w:r>
              <w:rPr>
                <w:rFonts w:hint="eastAsia"/>
                <w:b/>
                <w:color w:val="auto"/>
                <w:kern w:val="0"/>
                <w:szCs w:val="21"/>
                <w:lang w:val="en-US" w:eastAsia="zh-CN"/>
              </w:rPr>
              <w:t>5.4.1</w:t>
            </w:r>
            <w:r>
              <w:rPr>
                <w:b/>
                <w:color w:val="auto"/>
                <w:kern w:val="0"/>
                <w:szCs w:val="21"/>
              </w:rPr>
              <w:t>-</w:t>
            </w:r>
            <w:r>
              <w:rPr>
                <w:rFonts w:hint="eastAsia"/>
                <w:b/>
                <w:color w:val="auto"/>
                <w:kern w:val="0"/>
                <w:szCs w:val="21"/>
                <w:lang w:val="en-US" w:eastAsia="zh-CN"/>
              </w:rPr>
              <w:t xml:space="preserve">1 </w:t>
            </w:r>
            <w:r>
              <w:rPr>
                <w:rFonts w:hint="eastAsia"/>
                <w:b/>
                <w:color w:val="auto"/>
                <w:kern w:val="0"/>
                <w:szCs w:val="21"/>
              </w:rPr>
              <w:t>项目环保投资一览表</w:t>
            </w:r>
          </w:p>
          <w:tbl>
            <w:tblPr>
              <w:tblStyle w:val="89"/>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262"/>
              <w:gridCol w:w="3523"/>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8"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b/>
                      <w:color w:val="auto"/>
                      <w:szCs w:val="21"/>
                    </w:rPr>
                  </w:pPr>
                  <w:r>
                    <w:rPr>
                      <w:rFonts w:hint="eastAsia"/>
                      <w:b/>
                      <w:color w:val="auto"/>
                      <w:szCs w:val="21"/>
                    </w:rPr>
                    <w:t>阶段</w:t>
                  </w:r>
                </w:p>
              </w:tc>
              <w:tc>
                <w:tcPr>
                  <w:tcW w:w="1262"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b/>
                      <w:color w:val="auto"/>
                      <w:szCs w:val="21"/>
                    </w:rPr>
                  </w:pPr>
                  <w:r>
                    <w:rPr>
                      <w:rFonts w:hint="eastAsia"/>
                      <w:b/>
                      <w:color w:val="auto"/>
                      <w:szCs w:val="21"/>
                    </w:rPr>
                    <w:t>项目</w:t>
                  </w:r>
                </w:p>
              </w:tc>
              <w:tc>
                <w:tcPr>
                  <w:tcW w:w="3523"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b/>
                      <w:color w:val="auto"/>
                      <w:szCs w:val="21"/>
                    </w:rPr>
                  </w:pPr>
                  <w:r>
                    <w:rPr>
                      <w:rFonts w:hint="eastAsia"/>
                      <w:b/>
                      <w:color w:val="auto"/>
                      <w:szCs w:val="21"/>
                    </w:rPr>
                    <w:t>措施</w:t>
                  </w:r>
                </w:p>
              </w:tc>
              <w:tc>
                <w:tcPr>
                  <w:tcW w:w="203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b/>
                      <w:color w:val="auto"/>
                      <w:szCs w:val="21"/>
                    </w:rPr>
                  </w:pPr>
                  <w:r>
                    <w:rPr>
                      <w:rFonts w:hint="eastAsia"/>
                      <w:b/>
                      <w:color w:val="auto"/>
                      <w:szCs w:val="21"/>
                    </w:rPr>
                    <w:t>投资金额</w:t>
                  </w:r>
                </w:p>
                <w:p>
                  <w:pPr>
                    <w:keepNext w:val="0"/>
                    <w:keepLines w:val="0"/>
                    <w:pageBreakBefore w:val="0"/>
                    <w:kinsoku/>
                    <w:wordWrap/>
                    <w:overflowPunct/>
                    <w:topLinePunct w:val="0"/>
                    <w:bidi w:val="0"/>
                    <w:adjustRightInd w:val="0"/>
                    <w:snapToGrid w:val="0"/>
                    <w:jc w:val="center"/>
                    <w:textAlignment w:val="auto"/>
                    <w:rPr>
                      <w:b/>
                      <w:color w:val="auto"/>
                      <w:szCs w:val="21"/>
                    </w:rPr>
                  </w:pPr>
                  <w:r>
                    <w:rPr>
                      <w:b/>
                      <w:color w:val="auto"/>
                      <w:szCs w:val="21"/>
                    </w:rPr>
                    <w:t>(</w:t>
                  </w:r>
                  <w:r>
                    <w:rPr>
                      <w:rFonts w:hint="eastAsia"/>
                      <w:b/>
                      <w:color w:val="auto"/>
                      <w:szCs w:val="21"/>
                    </w:rPr>
                    <w:t>万元</w:t>
                  </w:r>
                  <w:r>
                    <w:rPr>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施工期</w:t>
                  </w:r>
                </w:p>
              </w:tc>
              <w:tc>
                <w:tcPr>
                  <w:tcW w:w="126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jc w:val="center"/>
                    <w:textAlignment w:val="auto"/>
                    <w:rPr>
                      <w:color w:val="auto"/>
                      <w:szCs w:val="21"/>
                    </w:rPr>
                  </w:pPr>
                  <w:r>
                    <w:rPr>
                      <w:rFonts w:hint="eastAsia" w:ascii="宋体" w:hAnsi="宋体" w:eastAsia="宋体" w:cs="宋体"/>
                      <w:color w:val="auto"/>
                      <w:kern w:val="0"/>
                      <w:sz w:val="21"/>
                      <w:szCs w:val="21"/>
                      <w:lang w:val="en-US" w:eastAsia="zh-CN" w:bidi="ar"/>
                    </w:rPr>
                    <w:t>废水</w:t>
                  </w: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color w:val="auto"/>
                      <w:kern w:val="0"/>
                      <w:szCs w:val="21"/>
                    </w:rPr>
                  </w:pPr>
                  <w:r>
                    <w:rPr>
                      <w:rFonts w:hint="eastAsia"/>
                      <w:color w:val="auto"/>
                      <w:kern w:val="0"/>
                      <w:szCs w:val="21"/>
                    </w:rPr>
                    <w:t>施工废水临时导流沟和沉淀池</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eastAsia"/>
                      <w:snapToGrid w:val="0"/>
                      <w:color w:val="auto"/>
                      <w:kern w:val="0"/>
                      <w:szCs w:val="21"/>
                    </w:rPr>
                  </w:pPr>
                  <w:r>
                    <w:rPr>
                      <w:rFonts w:hint="eastAsia"/>
                      <w:snapToGrid w:val="0"/>
                      <w:color w:val="auto"/>
                      <w:kern w:val="0"/>
                      <w:szCs w:val="21"/>
                    </w:rPr>
                    <w:t>雨水收集沉淀池</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eastAsia"/>
                      <w:snapToGrid w:val="0"/>
                      <w:color w:val="auto"/>
                      <w:kern w:val="0"/>
                      <w:szCs w:val="21"/>
                    </w:rPr>
                  </w:pPr>
                  <w:r>
                    <w:rPr>
                      <w:rFonts w:hint="eastAsia"/>
                      <w:snapToGrid w:val="0"/>
                      <w:color w:val="auto"/>
                      <w:kern w:val="0"/>
                      <w:szCs w:val="21"/>
                    </w:rPr>
                    <w:t>生活污水沉淀池</w:t>
                  </w:r>
                  <w:r>
                    <w:rPr>
                      <w:rFonts w:hint="eastAsia"/>
                      <w:snapToGrid w:val="0"/>
                      <w:color w:val="auto"/>
                      <w:kern w:val="0"/>
                      <w:szCs w:val="21"/>
                      <w:lang w:val="en-US" w:eastAsia="zh-CN"/>
                    </w:rPr>
                    <w:t>1</w:t>
                  </w:r>
                  <w:r>
                    <w:rPr>
                      <w:rFonts w:hint="eastAsia"/>
                      <w:snapToGrid w:val="0"/>
                      <w:color w:val="auto"/>
                      <w:kern w:val="0"/>
                      <w:szCs w:val="21"/>
                    </w:rPr>
                    <w:t>个</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p>
              </w:tc>
              <w:tc>
                <w:tcPr>
                  <w:tcW w:w="126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r>
                    <w:rPr>
                      <w:rFonts w:hint="eastAsia"/>
                      <w:color w:val="auto"/>
                      <w:szCs w:val="21"/>
                    </w:rPr>
                    <w:t>废气</w:t>
                  </w: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eastAsia"/>
                      <w:snapToGrid w:val="0"/>
                      <w:color w:val="auto"/>
                      <w:kern w:val="0"/>
                      <w:szCs w:val="21"/>
                    </w:rPr>
                  </w:pPr>
                  <w:r>
                    <w:rPr>
                      <w:rFonts w:hint="eastAsia"/>
                      <w:snapToGrid w:val="0"/>
                      <w:color w:val="auto"/>
                      <w:kern w:val="0"/>
                      <w:szCs w:val="21"/>
                    </w:rPr>
                    <w:t>洒水车</w:t>
                  </w:r>
                  <w:r>
                    <w:rPr>
                      <w:rFonts w:hint="eastAsia"/>
                      <w:snapToGrid w:val="0"/>
                      <w:color w:val="auto"/>
                      <w:kern w:val="0"/>
                      <w:szCs w:val="21"/>
                      <w:lang w:val="en-US" w:eastAsia="zh-CN"/>
                    </w:rPr>
                    <w:t>1</w:t>
                  </w:r>
                  <w:r>
                    <w:rPr>
                      <w:rFonts w:hint="eastAsia"/>
                      <w:snapToGrid w:val="0"/>
                      <w:color w:val="auto"/>
                      <w:kern w:val="0"/>
                      <w:szCs w:val="21"/>
                    </w:rPr>
                    <w:t>辆</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eastAsia" w:eastAsia="宋体"/>
                      <w:snapToGrid w:val="0"/>
                      <w:color w:val="auto"/>
                      <w:kern w:val="0"/>
                      <w:szCs w:val="21"/>
                      <w:lang w:val="en-US" w:eastAsia="zh-CN"/>
                    </w:rPr>
                  </w:pPr>
                  <w:r>
                    <w:rPr>
                      <w:rFonts w:hint="eastAsia"/>
                      <w:snapToGrid w:val="0"/>
                      <w:color w:val="auto"/>
                      <w:kern w:val="0"/>
                      <w:szCs w:val="21"/>
                    </w:rPr>
                    <w:t>围挡作业</w:t>
                  </w:r>
                  <w:r>
                    <w:rPr>
                      <w:rFonts w:hint="eastAsia"/>
                      <w:snapToGrid w:val="0"/>
                      <w:color w:val="auto"/>
                      <w:kern w:val="0"/>
                      <w:szCs w:val="21"/>
                      <w:lang w:val="en-US" w:eastAsia="zh-CN"/>
                    </w:rPr>
                    <w:t>措施</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临时堆土场、材料遮盖</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车辆运输物料加盖篷布</w:t>
                  </w:r>
                  <w:r>
                    <w:rPr>
                      <w:rFonts w:hint="eastAsia"/>
                      <w:color w:val="auto"/>
                      <w:szCs w:val="21"/>
                      <w:lang w:eastAsia="zh-CN"/>
                    </w:rPr>
                    <w:t>、</w:t>
                  </w:r>
                  <w:r>
                    <w:rPr>
                      <w:rFonts w:hint="eastAsia"/>
                      <w:color w:val="auto"/>
                      <w:szCs w:val="21"/>
                    </w:rPr>
                    <w:t>临时堆存物料遮盖防尘布</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固废</w:t>
                  </w: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rPr>
                  </w:pPr>
                  <w:r>
                    <w:rPr>
                      <w:rFonts w:hint="eastAsia"/>
                      <w:color w:val="auto"/>
                      <w:szCs w:val="21"/>
                    </w:rPr>
                    <w:t>设置临时垃圾收集桶若干</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宋体" w:hAnsi="宋体" w:cs="宋体"/>
                      <w:color w:val="auto"/>
                      <w:szCs w:val="21"/>
                    </w:rPr>
                  </w:pPr>
                  <w:r>
                    <w:rPr>
                      <w:rFonts w:hint="eastAsia" w:ascii="宋体" w:hAnsi="宋体" w:cs="宋体"/>
                      <w:color w:val="auto"/>
                      <w:szCs w:val="21"/>
                    </w:rPr>
                    <w:t>建筑及生活垃圾清运</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宋体" w:hAnsi="宋体" w:cs="宋体"/>
                      <w:color w:val="auto"/>
                      <w:szCs w:val="21"/>
                    </w:rPr>
                  </w:pPr>
                  <w:r>
                    <w:rPr>
                      <w:rFonts w:hint="eastAsia" w:ascii="宋体" w:hAnsi="宋体" w:cs="宋体"/>
                      <w:color w:val="auto"/>
                      <w:szCs w:val="21"/>
                    </w:rPr>
                    <w:t>旱厕定期清掏</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噪声</w:t>
                  </w: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宋体" w:hAnsi="宋体" w:cs="宋体"/>
                      <w:color w:val="auto"/>
                      <w:szCs w:val="21"/>
                    </w:rPr>
                  </w:pPr>
                  <w:r>
                    <w:rPr>
                      <w:rFonts w:hint="eastAsia" w:ascii="宋体" w:hAnsi="宋体" w:cs="宋体"/>
                      <w:color w:val="auto"/>
                      <w:szCs w:val="21"/>
                      <w:lang w:val="en-US" w:eastAsia="zh-CN"/>
                    </w:rPr>
                    <w:t>施工人员噪声防护</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宋体" w:hAnsi="宋体" w:cs="宋体"/>
                      <w:color w:val="auto"/>
                      <w:szCs w:val="21"/>
                    </w:rPr>
                  </w:pPr>
                  <w:r>
                    <w:rPr>
                      <w:rFonts w:hint="eastAsia" w:ascii="宋体" w:hAnsi="宋体" w:cs="宋体"/>
                      <w:color w:val="auto"/>
                      <w:szCs w:val="21"/>
                    </w:rPr>
                    <w:t>限速禁鸣标志牌、围挡等</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其他</w:t>
                  </w: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施工期噪声、废气监测(1次)</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运营期</w:t>
                  </w:r>
                </w:p>
              </w:tc>
              <w:tc>
                <w:tcPr>
                  <w:tcW w:w="1262"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rPr>
                    <w:t>噪声</w:t>
                  </w:r>
                </w:p>
              </w:tc>
              <w:tc>
                <w:tcPr>
                  <w:tcW w:w="3523"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snapToGrid w:val="0"/>
                      <w:color w:val="auto"/>
                      <w:kern w:val="0"/>
                      <w:szCs w:val="21"/>
                    </w:rPr>
                  </w:pPr>
                  <w:r>
                    <w:rPr>
                      <w:rFonts w:hint="eastAsia"/>
                      <w:snapToGrid w:val="0"/>
                      <w:color w:val="auto"/>
                      <w:kern w:val="0"/>
                      <w:szCs w:val="21"/>
                    </w:rPr>
                    <w:t>警示牌</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eastAsia="宋体"/>
                      <w:color w:val="auto"/>
                      <w:szCs w:val="21"/>
                      <w:lang w:val="en-US" w:eastAsia="zh-CN"/>
                    </w:rPr>
                  </w:pP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r>
                    <w:rPr>
                      <w:rFonts w:hint="eastAsia"/>
                      <w:color w:val="auto"/>
                      <w:szCs w:val="21"/>
                    </w:rPr>
                    <w:t>固废</w:t>
                  </w:r>
                </w:p>
              </w:tc>
              <w:tc>
                <w:tcPr>
                  <w:tcW w:w="3523"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eastAsia="宋体"/>
                      <w:color w:val="auto"/>
                      <w:szCs w:val="21"/>
                      <w:lang w:val="en-US" w:eastAsia="zh-CN"/>
                    </w:rPr>
                  </w:pPr>
                  <w:r>
                    <w:rPr>
                      <w:rFonts w:hint="eastAsia"/>
                      <w:color w:val="auto"/>
                      <w:szCs w:val="21"/>
                      <w:lang w:val="en-US" w:eastAsia="zh-CN"/>
                    </w:rPr>
                    <w:t>生活垃圾桶</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8"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color w:val="auto"/>
                      <w:szCs w:val="21"/>
                    </w:rPr>
                  </w:pPr>
                </w:p>
              </w:tc>
              <w:tc>
                <w:tcPr>
                  <w:tcW w:w="1262"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jc w:val="center"/>
                    <w:textAlignment w:val="auto"/>
                    <w:rPr>
                      <w:color w:val="auto"/>
                      <w:szCs w:val="21"/>
                    </w:rPr>
                  </w:pPr>
                  <w:r>
                    <w:rPr>
                      <w:rFonts w:hint="eastAsia" w:ascii="宋体" w:hAnsi="宋体" w:eastAsia="宋体" w:cs="宋体"/>
                      <w:color w:val="auto"/>
                      <w:kern w:val="0"/>
                      <w:sz w:val="21"/>
                      <w:szCs w:val="21"/>
                      <w:lang w:val="en-US" w:eastAsia="zh-CN" w:bidi="ar"/>
                    </w:rPr>
                    <w:t>风险</w:t>
                  </w:r>
                </w:p>
              </w:tc>
              <w:tc>
                <w:tcPr>
                  <w:tcW w:w="3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安全防范措施</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63" w:type="dxa"/>
                  <w:gridSpan w:val="3"/>
                  <w:tcBorders>
                    <w:left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Cs w:val="21"/>
                      <w:lang w:val="en-US" w:eastAsia="zh-CN"/>
                    </w:rPr>
                  </w:pPr>
                  <w:r>
                    <w:rPr>
                      <w:rFonts w:hint="eastAsia"/>
                      <w:color w:val="auto"/>
                      <w:szCs w:val="21"/>
                    </w:rPr>
                    <w:t>合计</w:t>
                  </w:r>
                </w:p>
              </w:tc>
              <w:tc>
                <w:tcPr>
                  <w:tcW w:w="2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36.5</w:t>
                  </w:r>
                </w:p>
              </w:tc>
            </w:tr>
          </w:tbl>
          <w:p>
            <w:pPr>
              <w:pStyle w:val="126"/>
              <w:rPr>
                <w:rFonts w:hint="eastAsia"/>
                <w:color w:val="auto"/>
              </w:rPr>
            </w:pPr>
          </w:p>
        </w:tc>
      </w:tr>
    </w:tbl>
    <w:p>
      <w:pPr>
        <w:rPr>
          <w:color w:val="auto"/>
        </w:rPr>
        <w:sectPr>
          <w:pgSz w:w="11907" w:h="16840"/>
          <w:pgMar w:top="1440" w:right="1797" w:bottom="1440" w:left="1797" w:header="851" w:footer="1077" w:gutter="0"/>
          <w:pgNumType w:fmt="decimal"/>
          <w:cols w:space="720" w:num="1"/>
          <w:docGrid w:linePitch="312" w:charSpace="0"/>
        </w:sectPr>
      </w:pPr>
    </w:p>
    <w:p>
      <w:pPr>
        <w:pStyle w:val="82"/>
        <w:jc w:val="center"/>
        <w:outlineLvl w:val="0"/>
        <w:rPr>
          <w:rFonts w:hint="eastAsia" w:ascii="黑体" w:hAnsi="黑体" w:eastAsia="黑体" w:cs="黑体"/>
          <w:snapToGrid w:val="0"/>
          <w:color w:val="auto"/>
          <w:sz w:val="30"/>
          <w:szCs w:val="30"/>
        </w:rPr>
      </w:pPr>
      <w:bookmarkStart w:id="85" w:name="_Toc83158345"/>
      <w:bookmarkStart w:id="86" w:name="_Toc83158510"/>
      <w:r>
        <w:rPr>
          <w:rFonts w:hint="eastAsia" w:ascii="黑体" w:hAnsi="黑体" w:eastAsia="黑体" w:cs="黑体"/>
          <w:snapToGrid w:val="0"/>
          <w:color w:val="auto"/>
          <w:sz w:val="30"/>
          <w:szCs w:val="30"/>
        </w:rPr>
        <w:t>六、生态环境保护措施监督检查清单</w:t>
      </w:r>
      <w:bookmarkEnd w:id="85"/>
      <w:bookmarkEnd w:id="86"/>
    </w:p>
    <w:tbl>
      <w:tblPr>
        <w:tblStyle w:val="89"/>
        <w:tblW w:w="481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879"/>
        <w:gridCol w:w="1860"/>
        <w:gridCol w:w="2010"/>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vMerge w:val="restart"/>
            <w:tcBorders>
              <w:tl2br w:val="single" w:color="auto" w:sz="4" w:space="0"/>
            </w:tcBorders>
            <w:noWrap w:val="0"/>
            <w:vAlign w:val="top"/>
          </w:tcPr>
          <w:p>
            <w:pPr>
              <w:pStyle w:val="82"/>
              <w:adjustRightInd w:val="0"/>
              <w:snapToGrid w:val="0"/>
              <w:spacing w:before="72" w:beforeLines="30" w:beforeAutospacing="0" w:after="0" w:afterAutospacing="0"/>
              <w:jc w:val="center"/>
              <w:outlineLvl w:val="0"/>
              <w:rPr>
                <w:rFonts w:ascii="Times New Roman" w:hAnsi="Times New Roman"/>
                <w:color w:val="auto"/>
                <w:kern w:val="2"/>
                <w:sz w:val="21"/>
                <w:szCs w:val="21"/>
                <w:lang w:val="en-US" w:eastAsia="zh-CN"/>
              </w:rPr>
            </w:pPr>
            <w:bookmarkStart w:id="87" w:name="_Toc83158346"/>
            <w:bookmarkStart w:id="88" w:name="_Toc83158511"/>
            <w:r>
              <w:rPr>
                <w:rFonts w:ascii="Times New Roman" w:hAnsi="Times New Roman"/>
                <w:color w:val="auto"/>
                <w:kern w:val="2"/>
                <w:sz w:val="21"/>
                <w:szCs w:val="21"/>
                <w:lang w:val="en-US" w:eastAsia="zh-CN"/>
              </w:rPr>
              <w:t>内容</w:t>
            </w:r>
            <w:bookmarkEnd w:id="87"/>
            <w:bookmarkEnd w:id="88"/>
          </w:p>
          <w:p>
            <w:pPr>
              <w:pStyle w:val="82"/>
              <w:adjustRightInd w:val="0"/>
              <w:snapToGrid w:val="0"/>
              <w:spacing w:before="0" w:beforeAutospacing="0" w:after="0" w:afterAutospacing="0" w:line="14" w:lineRule="auto"/>
              <w:outlineLvl w:val="0"/>
              <w:rPr>
                <w:rFonts w:ascii="Times New Roman" w:hAnsi="Times New Roman"/>
                <w:color w:val="auto"/>
                <w:kern w:val="2"/>
                <w:sz w:val="135"/>
                <w:szCs w:val="21"/>
                <w:lang w:val="en-US" w:eastAsia="zh-CN"/>
              </w:rPr>
            </w:pPr>
            <w:r>
              <w:rPr>
                <w:rFonts w:ascii="Times New Roman" w:hAnsi="Times New Roman"/>
                <w:color w:val="auto"/>
                <w:kern w:val="2"/>
                <w:sz w:val="21"/>
                <w:szCs w:val="21"/>
                <w:lang w:val="en-US" w:eastAsia="zh-CN"/>
              </w:rPr>
              <w:t xml:space="preserve"> </w:t>
            </w:r>
            <w:r>
              <w:rPr>
                <w:rFonts w:hint="eastAsia" w:ascii="Times New Roman" w:hAnsi="Times New Roman"/>
                <w:color w:val="auto"/>
                <w:kern w:val="2"/>
                <w:sz w:val="21"/>
                <w:szCs w:val="21"/>
                <w:lang w:val="en-US" w:eastAsia="zh-CN"/>
              </w:rPr>
              <w:t xml:space="preserve">  </w:t>
            </w:r>
            <w:r>
              <w:rPr>
                <w:rFonts w:ascii="Times New Roman" w:hAnsi="Times New Roman"/>
                <w:color w:val="auto"/>
                <w:kern w:val="2"/>
                <w:sz w:val="135"/>
                <w:szCs w:val="21"/>
                <w:lang w:val="en-US" w:eastAsia="zh-CN"/>
              </w:rPr>
              <w:t xml:space="preserve"> </w:t>
            </w:r>
          </w:p>
          <w:p>
            <w:pPr>
              <w:pStyle w:val="82"/>
              <w:adjustRightInd w:val="0"/>
              <w:snapToGrid w:val="0"/>
              <w:spacing w:before="0" w:beforeAutospacing="0" w:after="0" w:afterAutospacing="0"/>
              <w:outlineLvl w:val="0"/>
              <w:rPr>
                <w:rFonts w:ascii="Times New Roman" w:hAnsi="Times New Roman"/>
                <w:color w:val="auto"/>
                <w:kern w:val="2"/>
                <w:sz w:val="21"/>
                <w:szCs w:val="21"/>
                <w:lang w:val="en-US" w:eastAsia="zh-CN"/>
              </w:rPr>
            </w:pPr>
            <w:bookmarkStart w:id="89" w:name="_Toc83158512"/>
            <w:bookmarkStart w:id="90" w:name="_Toc83158347"/>
            <w:r>
              <w:rPr>
                <w:rFonts w:ascii="Times New Roman" w:hAnsi="Times New Roman"/>
                <w:color w:val="auto"/>
                <w:kern w:val="2"/>
                <w:sz w:val="21"/>
                <w:szCs w:val="21"/>
                <w:lang w:val="en-US" w:eastAsia="zh-CN"/>
              </w:rPr>
              <w:t>要素</w:t>
            </w:r>
            <w:bookmarkEnd w:id="89"/>
            <w:bookmarkEnd w:id="90"/>
          </w:p>
        </w:tc>
        <w:tc>
          <w:tcPr>
            <w:tcW w:w="2277" w:type="pct"/>
            <w:gridSpan w:val="2"/>
            <w:noWrap w:val="0"/>
            <w:vAlign w:val="center"/>
          </w:tcPr>
          <w:p>
            <w:pPr>
              <w:pStyle w:val="82"/>
              <w:adjustRightInd w:val="0"/>
              <w:snapToGrid w:val="0"/>
              <w:spacing w:before="0" w:beforeAutospacing="0" w:after="0" w:afterAutospacing="0"/>
              <w:jc w:val="center"/>
              <w:outlineLvl w:val="0"/>
              <w:rPr>
                <w:rFonts w:ascii="Times New Roman" w:hAnsi="Times New Roman"/>
                <w:color w:val="auto"/>
                <w:kern w:val="2"/>
                <w:sz w:val="21"/>
                <w:szCs w:val="21"/>
                <w:lang w:val="en-US" w:eastAsia="zh-CN"/>
              </w:rPr>
            </w:pPr>
            <w:bookmarkStart w:id="91" w:name="_Toc83158513"/>
            <w:bookmarkStart w:id="92" w:name="_Toc83158348"/>
            <w:r>
              <w:rPr>
                <w:rFonts w:ascii="Times New Roman" w:hAnsi="Times New Roman"/>
                <w:color w:val="auto"/>
                <w:kern w:val="2"/>
                <w:sz w:val="21"/>
                <w:szCs w:val="21"/>
                <w:lang w:val="en-US" w:eastAsia="zh-CN"/>
              </w:rPr>
              <w:t>施工期</w:t>
            </w:r>
            <w:bookmarkEnd w:id="91"/>
            <w:bookmarkEnd w:id="92"/>
          </w:p>
        </w:tc>
        <w:tc>
          <w:tcPr>
            <w:tcW w:w="2462" w:type="pct"/>
            <w:gridSpan w:val="2"/>
            <w:noWrap w:val="0"/>
            <w:vAlign w:val="center"/>
          </w:tcPr>
          <w:p>
            <w:pPr>
              <w:pStyle w:val="82"/>
              <w:adjustRightInd w:val="0"/>
              <w:snapToGrid w:val="0"/>
              <w:spacing w:before="0" w:beforeAutospacing="0" w:after="0" w:afterAutospacing="0"/>
              <w:jc w:val="center"/>
              <w:outlineLvl w:val="0"/>
              <w:rPr>
                <w:rFonts w:ascii="Times New Roman" w:hAnsi="Times New Roman"/>
                <w:color w:val="auto"/>
                <w:kern w:val="2"/>
                <w:sz w:val="21"/>
                <w:szCs w:val="21"/>
                <w:lang w:val="en-US" w:eastAsia="zh-CN"/>
              </w:rPr>
            </w:pPr>
            <w:bookmarkStart w:id="93" w:name="_Toc83158349"/>
            <w:bookmarkStart w:id="94" w:name="_Toc83158514"/>
            <w:r>
              <w:rPr>
                <w:rFonts w:ascii="Times New Roman" w:hAnsi="Times New Roman"/>
                <w:color w:val="auto"/>
                <w:kern w:val="2"/>
                <w:sz w:val="21"/>
                <w:szCs w:val="21"/>
                <w:lang w:val="en-US" w:eastAsia="zh-CN"/>
              </w:rPr>
              <w:t>运营期</w:t>
            </w:r>
            <w:bookmarkEnd w:id="93"/>
            <w:bookmarkEnd w:id="9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vMerge w:val="continue"/>
            <w:noWrap w:val="0"/>
            <w:vAlign w:val="top"/>
          </w:tcPr>
          <w:p>
            <w:pPr>
              <w:pStyle w:val="82"/>
              <w:adjustRightInd w:val="0"/>
              <w:snapToGrid w:val="0"/>
              <w:spacing w:before="0" w:beforeAutospacing="0" w:after="0" w:afterAutospacing="0"/>
              <w:ind w:firstLine="840"/>
              <w:jc w:val="center"/>
              <w:outlineLvl w:val="0"/>
              <w:rPr>
                <w:rFonts w:ascii="Times New Roman" w:hAnsi="Times New Roman"/>
                <w:color w:val="auto"/>
                <w:kern w:val="2"/>
                <w:sz w:val="21"/>
                <w:szCs w:val="21"/>
                <w:lang w:val="en-US" w:eastAsia="zh-CN"/>
              </w:rPr>
            </w:pPr>
          </w:p>
        </w:tc>
        <w:tc>
          <w:tcPr>
            <w:tcW w:w="1144" w:type="pct"/>
            <w:noWrap w:val="0"/>
            <w:vAlign w:val="center"/>
          </w:tcPr>
          <w:p>
            <w:pPr>
              <w:pStyle w:val="82"/>
              <w:adjustRightInd w:val="0"/>
              <w:snapToGrid w:val="0"/>
              <w:spacing w:before="0" w:beforeAutospacing="0" w:after="0" w:afterAutospacing="0"/>
              <w:jc w:val="center"/>
              <w:outlineLvl w:val="0"/>
              <w:rPr>
                <w:rFonts w:ascii="Times New Roman" w:hAnsi="Times New Roman"/>
                <w:color w:val="auto"/>
                <w:kern w:val="2"/>
                <w:sz w:val="21"/>
                <w:szCs w:val="21"/>
                <w:lang w:val="en-US" w:eastAsia="zh-CN"/>
              </w:rPr>
            </w:pPr>
            <w:bookmarkStart w:id="95" w:name="_Toc83158515"/>
            <w:bookmarkStart w:id="96" w:name="_Toc83158350"/>
            <w:r>
              <w:rPr>
                <w:rFonts w:ascii="Times New Roman" w:hAnsi="Times New Roman"/>
                <w:color w:val="auto"/>
                <w:kern w:val="2"/>
                <w:sz w:val="21"/>
                <w:szCs w:val="21"/>
                <w:lang w:val="en-US" w:eastAsia="zh-CN"/>
              </w:rPr>
              <w:t>环境保护措施</w:t>
            </w:r>
            <w:bookmarkEnd w:id="95"/>
            <w:bookmarkEnd w:id="96"/>
          </w:p>
        </w:tc>
        <w:tc>
          <w:tcPr>
            <w:tcW w:w="1133" w:type="pct"/>
            <w:noWrap w:val="0"/>
            <w:vAlign w:val="center"/>
          </w:tcPr>
          <w:p>
            <w:pPr>
              <w:pStyle w:val="82"/>
              <w:adjustRightInd w:val="0"/>
              <w:snapToGrid w:val="0"/>
              <w:spacing w:before="0" w:beforeAutospacing="0" w:after="0" w:afterAutospacing="0"/>
              <w:jc w:val="center"/>
              <w:outlineLvl w:val="0"/>
              <w:rPr>
                <w:rFonts w:ascii="Times New Roman" w:hAnsi="Times New Roman"/>
                <w:color w:val="auto"/>
                <w:kern w:val="2"/>
                <w:sz w:val="21"/>
                <w:szCs w:val="21"/>
                <w:lang w:val="en-US" w:eastAsia="zh-CN"/>
              </w:rPr>
            </w:pPr>
            <w:bookmarkStart w:id="97" w:name="_Toc83158351"/>
            <w:bookmarkStart w:id="98" w:name="_Toc83158516"/>
            <w:r>
              <w:rPr>
                <w:rFonts w:ascii="Times New Roman" w:hAnsi="Times New Roman"/>
                <w:color w:val="auto"/>
                <w:kern w:val="2"/>
                <w:sz w:val="21"/>
                <w:szCs w:val="21"/>
                <w:lang w:val="en-US" w:eastAsia="zh-CN"/>
              </w:rPr>
              <w:t>验收要求</w:t>
            </w:r>
            <w:bookmarkEnd w:id="97"/>
            <w:bookmarkEnd w:id="98"/>
          </w:p>
        </w:tc>
        <w:tc>
          <w:tcPr>
            <w:tcW w:w="1224" w:type="pct"/>
            <w:noWrap w:val="0"/>
            <w:vAlign w:val="center"/>
          </w:tcPr>
          <w:p>
            <w:pPr>
              <w:pStyle w:val="82"/>
              <w:adjustRightInd w:val="0"/>
              <w:snapToGrid w:val="0"/>
              <w:spacing w:before="0" w:beforeAutospacing="0" w:after="0" w:afterAutospacing="0"/>
              <w:jc w:val="center"/>
              <w:outlineLvl w:val="0"/>
              <w:rPr>
                <w:rFonts w:ascii="Times New Roman" w:hAnsi="Times New Roman"/>
                <w:color w:val="auto"/>
                <w:kern w:val="2"/>
                <w:sz w:val="21"/>
                <w:szCs w:val="21"/>
                <w:lang w:val="en-US" w:eastAsia="zh-CN"/>
              </w:rPr>
            </w:pPr>
            <w:bookmarkStart w:id="99" w:name="_Toc83158517"/>
            <w:bookmarkStart w:id="100" w:name="_Toc83158352"/>
            <w:r>
              <w:rPr>
                <w:rFonts w:ascii="Times New Roman" w:hAnsi="Times New Roman"/>
                <w:color w:val="auto"/>
                <w:kern w:val="2"/>
                <w:sz w:val="21"/>
                <w:szCs w:val="21"/>
                <w:lang w:val="en-US" w:eastAsia="zh-CN"/>
              </w:rPr>
              <w:t>环境保护措施</w:t>
            </w:r>
            <w:bookmarkEnd w:id="99"/>
            <w:bookmarkEnd w:id="100"/>
          </w:p>
        </w:tc>
        <w:tc>
          <w:tcPr>
            <w:tcW w:w="1237" w:type="pct"/>
            <w:noWrap w:val="0"/>
            <w:vAlign w:val="center"/>
          </w:tcPr>
          <w:p>
            <w:pPr>
              <w:pStyle w:val="82"/>
              <w:adjustRightInd w:val="0"/>
              <w:snapToGrid w:val="0"/>
              <w:spacing w:before="0" w:beforeAutospacing="0" w:after="0" w:afterAutospacing="0"/>
              <w:jc w:val="center"/>
              <w:outlineLvl w:val="0"/>
              <w:rPr>
                <w:rFonts w:ascii="Times New Roman" w:hAnsi="Times New Roman"/>
                <w:color w:val="auto"/>
                <w:kern w:val="2"/>
                <w:sz w:val="21"/>
                <w:szCs w:val="21"/>
                <w:lang w:val="en-US" w:eastAsia="zh-CN"/>
              </w:rPr>
            </w:pPr>
            <w:bookmarkStart w:id="101" w:name="_Toc83158518"/>
            <w:bookmarkStart w:id="102" w:name="_Toc83158353"/>
            <w:r>
              <w:rPr>
                <w:rFonts w:ascii="Times New Roman" w:hAnsi="Times New Roman"/>
                <w:color w:val="auto"/>
                <w:kern w:val="2"/>
                <w:sz w:val="21"/>
                <w:szCs w:val="21"/>
                <w:lang w:val="en-US" w:eastAsia="zh-CN"/>
              </w:rPr>
              <w:t>验收要求</w:t>
            </w:r>
            <w:bookmarkEnd w:id="101"/>
            <w:bookmarkEnd w:id="10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陆生生态</w:t>
            </w:r>
          </w:p>
        </w:tc>
        <w:tc>
          <w:tcPr>
            <w:tcW w:w="1144" w:type="pct"/>
            <w:noWrap w:val="0"/>
            <w:vAlign w:val="center"/>
          </w:tcPr>
          <w:p>
            <w:pPr>
              <w:adjustRightInd w:val="0"/>
              <w:snapToGrid w:val="0"/>
              <w:rPr>
                <w:rFonts w:hint="eastAsia"/>
                <w:color w:val="auto"/>
                <w:szCs w:val="21"/>
              </w:rPr>
            </w:pPr>
            <w:r>
              <w:rPr>
                <w:rFonts w:hint="eastAsia" w:ascii="宋体" w:hAnsi="宋体" w:eastAsia="宋体" w:cs="宋体"/>
                <w:color w:val="auto"/>
                <w:szCs w:val="21"/>
              </w:rPr>
              <w:t>①</w:t>
            </w:r>
            <w:r>
              <w:rPr>
                <w:rFonts w:hint="eastAsia"/>
                <w:color w:val="auto"/>
                <w:szCs w:val="21"/>
              </w:rPr>
              <w:t>施工活动保证在征地红线范围内进行，禁止超计划占用土地和破坏植被，禁止施工人员砍伐树木，禁止到非施工区活动，减少地表扰动；优化施工道路设计，尽量收缩边坡，优化线形，少占土地，场内外道路，除利用现有的乡村道路，其他新建临时道路应根据项目运行后的使用功能合理制定恢复措施。</w:t>
            </w:r>
          </w:p>
          <w:p>
            <w:pPr>
              <w:adjustRightInd w:val="0"/>
              <w:snapToGrid w:val="0"/>
              <w:rPr>
                <w:rFonts w:hint="eastAsia"/>
                <w:color w:val="auto"/>
                <w:szCs w:val="21"/>
              </w:rPr>
            </w:pPr>
            <w:r>
              <w:rPr>
                <w:rFonts w:hint="eastAsia" w:hAnsi="宋体"/>
                <w:bCs/>
                <w:color w:val="auto"/>
                <w:szCs w:val="21"/>
              </w:rPr>
              <w:t>②</w:t>
            </w:r>
            <w:r>
              <w:rPr>
                <w:rFonts w:hint="eastAsia"/>
                <w:color w:val="auto"/>
                <w:szCs w:val="21"/>
              </w:rPr>
              <w:t>针对占用的宜林地采取以下措施：严格控制用地范围，不超范围使用林地；做好施工人员爱护林木花草保护生物多样性的重要性，做到不乱砍滥伐林木，不随意践踏建设区以外的森林植被，不乱捕滥猎野生动物；尽量减少植被破坏，及时恢复植被；依法办理使用林地用地手续。</w:t>
            </w:r>
          </w:p>
          <w:p>
            <w:pPr>
              <w:adjustRightInd w:val="0"/>
              <w:snapToGrid w:val="0"/>
              <w:rPr>
                <w:rFonts w:hint="eastAsia"/>
                <w:color w:val="auto"/>
                <w:szCs w:val="21"/>
              </w:rPr>
            </w:pPr>
            <w:r>
              <w:rPr>
                <w:rFonts w:hint="eastAsia" w:hAnsi="宋体"/>
                <w:bCs/>
                <w:color w:val="auto"/>
                <w:szCs w:val="21"/>
              </w:rPr>
              <w:t>③</w:t>
            </w:r>
            <w:r>
              <w:rPr>
                <w:rFonts w:hint="eastAsia"/>
                <w:color w:val="auto"/>
                <w:szCs w:val="21"/>
              </w:rPr>
              <w:t>施工时要特别注意，应将表层土与下层土分开，表土单独剥离并集中保存于临时表土堆场，待施工完毕后对需植被恢复及复垦的土地进行覆土，以保障植被存活率及耕作基本条件。在临时表土堆存期间，需对表土临时堆场进行临时覆盖，周边布置临时排水沟，并在坡脚进行临时拦挡，防止水土流失。</w:t>
            </w:r>
          </w:p>
          <w:p>
            <w:pPr>
              <w:adjustRightInd w:val="0"/>
              <w:snapToGrid w:val="0"/>
              <w:rPr>
                <w:rFonts w:hint="eastAsia"/>
                <w:color w:val="auto"/>
                <w:szCs w:val="21"/>
              </w:rPr>
            </w:pPr>
            <w:r>
              <w:rPr>
                <w:rFonts w:hint="eastAsia" w:ascii="宋体" w:hAnsi="宋体" w:eastAsia="宋体" w:cs="宋体"/>
                <w:color w:val="auto"/>
                <w:szCs w:val="21"/>
              </w:rPr>
              <w:t>④</w:t>
            </w:r>
            <w:r>
              <w:rPr>
                <w:rFonts w:hint="eastAsia"/>
                <w:color w:val="auto"/>
                <w:szCs w:val="21"/>
              </w:rPr>
              <w:t>优化施工方案及施工工艺，产生的开挖方及时用于场平，有利于减少施工过程中的水土流失。挖填施工应尽量避免在雨季施工。</w:t>
            </w:r>
          </w:p>
          <w:p>
            <w:pPr>
              <w:adjustRightInd w:val="0"/>
              <w:snapToGrid w:val="0"/>
              <w:rPr>
                <w:rFonts w:hint="eastAsia"/>
                <w:color w:val="auto"/>
                <w:szCs w:val="21"/>
              </w:rPr>
            </w:pPr>
            <w:r>
              <w:rPr>
                <w:rFonts w:hint="eastAsia" w:ascii="宋体" w:hAnsi="宋体" w:eastAsia="宋体" w:cs="宋体"/>
                <w:color w:val="auto"/>
                <w:szCs w:val="21"/>
              </w:rPr>
              <w:t>⑤</w:t>
            </w:r>
            <w:r>
              <w:rPr>
                <w:rFonts w:hint="eastAsia"/>
                <w:color w:val="auto"/>
                <w:szCs w:val="21"/>
              </w:rPr>
              <w:t>加强场内道路边坡防护措施，严格执行工程水土保持方案中提出的水保措施，减少水土流失。</w:t>
            </w:r>
          </w:p>
          <w:p>
            <w:pPr>
              <w:adjustRightInd w:val="0"/>
              <w:snapToGrid w:val="0"/>
              <w:rPr>
                <w:rFonts w:hint="eastAsia"/>
                <w:color w:val="auto"/>
                <w:szCs w:val="21"/>
                <w:lang w:eastAsia="zh-CN"/>
              </w:rPr>
            </w:pPr>
            <w:r>
              <w:rPr>
                <w:rFonts w:hint="eastAsia" w:ascii="楷体" w:hAnsi="楷体" w:eastAsia="楷体" w:cs="楷体"/>
                <w:color w:val="auto"/>
                <w:szCs w:val="21"/>
              </w:rPr>
              <w:t>⑥</w:t>
            </w:r>
            <w:r>
              <w:rPr>
                <w:rFonts w:hint="eastAsia"/>
                <w:color w:val="auto"/>
                <w:szCs w:val="21"/>
                <w:lang w:val="en-US" w:eastAsia="zh-CN"/>
              </w:rPr>
              <w:t>施工结束后，对</w:t>
            </w:r>
            <w:r>
              <w:rPr>
                <w:rFonts w:hint="eastAsia"/>
                <w:color w:val="auto"/>
                <w:szCs w:val="21"/>
                <w:lang w:eastAsia="zh-CN"/>
              </w:rPr>
              <w:t>临时用地进行植被恢复或复垦，施工结束后进行土地整治，整治结束后进行植被恢复，采用乔灌草结合方式绿化。</w:t>
            </w:r>
          </w:p>
        </w:tc>
        <w:tc>
          <w:tcPr>
            <w:tcW w:w="1133" w:type="pct"/>
            <w:noWrap w:val="0"/>
            <w:vAlign w:val="center"/>
          </w:tcPr>
          <w:p>
            <w:pPr>
              <w:adjustRightInd w:val="0"/>
              <w:snapToGrid w:val="0"/>
              <w:rPr>
                <w:color w:val="auto"/>
                <w:szCs w:val="21"/>
              </w:rPr>
            </w:pPr>
            <w:r>
              <w:rPr>
                <w:rFonts w:hint="eastAsia"/>
                <w:color w:val="auto"/>
                <w:szCs w:val="21"/>
              </w:rPr>
              <w:t>施工期的各项陆生生态环境保护措施应按照环境影响评价文件、水土保持文件要求落实到位。</w:t>
            </w:r>
          </w:p>
        </w:tc>
        <w:tc>
          <w:tcPr>
            <w:tcW w:w="1224" w:type="pct"/>
            <w:noWrap w:val="0"/>
            <w:vAlign w:val="center"/>
          </w:tcPr>
          <w:p>
            <w:pPr>
              <w:adjustRightInd w:val="0"/>
              <w:snapToGrid w:val="0"/>
              <w:jc w:val="left"/>
              <w:rPr>
                <w:rFonts w:hint="eastAsia" w:hAnsi="宋体"/>
                <w:bCs/>
                <w:color w:val="auto"/>
                <w:szCs w:val="21"/>
              </w:rPr>
            </w:pPr>
            <w:r>
              <w:rPr>
                <w:rFonts w:hint="eastAsia" w:hAnsi="宋体"/>
                <w:bCs/>
                <w:color w:val="auto"/>
                <w:szCs w:val="21"/>
              </w:rPr>
              <w:t>①严禁破坏耕作层，严禁抛荒、撂荒。</w:t>
            </w:r>
          </w:p>
          <w:p>
            <w:pPr>
              <w:adjustRightInd w:val="0"/>
              <w:snapToGrid w:val="0"/>
              <w:jc w:val="left"/>
              <w:rPr>
                <w:rFonts w:hint="eastAsia" w:hAnsi="宋体"/>
                <w:bCs/>
                <w:color w:val="auto"/>
                <w:szCs w:val="21"/>
              </w:rPr>
            </w:pPr>
            <w:r>
              <w:rPr>
                <w:rFonts w:hint="eastAsia" w:hAnsi="宋体"/>
                <w:bCs/>
                <w:color w:val="auto"/>
                <w:szCs w:val="21"/>
              </w:rPr>
              <w:t>②做好员工宣传工作，保护当地的野生动物，禁止人为捕杀；禁止引入外来有害生物。</w:t>
            </w:r>
          </w:p>
          <w:p>
            <w:pPr>
              <w:adjustRightInd w:val="0"/>
              <w:snapToGrid w:val="0"/>
              <w:jc w:val="left"/>
              <w:rPr>
                <w:color w:val="auto"/>
                <w:szCs w:val="21"/>
              </w:rPr>
            </w:pPr>
            <w:r>
              <w:rPr>
                <w:rFonts w:hint="eastAsia" w:hAnsi="宋体"/>
                <w:bCs/>
                <w:color w:val="auto"/>
                <w:szCs w:val="21"/>
              </w:rPr>
              <w:t>③工结束后对临时用地进行植被恢复或复垦，施工结束后进行土地整治，整治结束后进行植被恢复，采用乔灌草结合方式绿化。保障施工期时临时用地的生态恢复措施的执行。</w:t>
            </w:r>
          </w:p>
        </w:tc>
        <w:tc>
          <w:tcPr>
            <w:tcW w:w="1237" w:type="pct"/>
            <w:noWrap w:val="0"/>
            <w:vAlign w:val="center"/>
          </w:tcPr>
          <w:p>
            <w:pPr>
              <w:adjustRightInd w:val="0"/>
              <w:snapToGrid w:val="0"/>
              <w:jc w:val="center"/>
              <w:rPr>
                <w:color w:val="auto"/>
                <w:szCs w:val="21"/>
              </w:rPr>
            </w:pPr>
            <w:r>
              <w:rPr>
                <w:rFonts w:hint="eastAsia"/>
                <w:color w:val="auto"/>
                <w:szCs w:val="21"/>
              </w:rPr>
              <w:t>运营期的各项陆生生态环境保护措施应按照环境影响评价文件、水土保持文件要求落实到位。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水生生态</w:t>
            </w:r>
          </w:p>
        </w:tc>
        <w:tc>
          <w:tcPr>
            <w:tcW w:w="1144" w:type="pct"/>
            <w:noWrap w:val="0"/>
            <w:vAlign w:val="center"/>
          </w:tcPr>
          <w:p>
            <w:pPr>
              <w:adjustRightInd w:val="0"/>
              <w:snapToGrid w:val="0"/>
              <w:jc w:val="center"/>
              <w:rPr>
                <w:color w:val="auto"/>
                <w:szCs w:val="21"/>
              </w:rPr>
            </w:pPr>
            <w:r>
              <w:rPr>
                <w:color w:val="auto"/>
                <w:szCs w:val="21"/>
              </w:rPr>
              <w:t>/</w:t>
            </w:r>
          </w:p>
        </w:tc>
        <w:tc>
          <w:tcPr>
            <w:tcW w:w="1133" w:type="pct"/>
            <w:noWrap w:val="0"/>
            <w:vAlign w:val="center"/>
          </w:tcPr>
          <w:p>
            <w:pPr>
              <w:adjustRightInd w:val="0"/>
              <w:snapToGrid w:val="0"/>
              <w:jc w:val="center"/>
              <w:rPr>
                <w:color w:val="auto"/>
                <w:szCs w:val="21"/>
              </w:rPr>
            </w:pPr>
            <w:r>
              <w:rPr>
                <w:color w:val="auto"/>
                <w:szCs w:val="21"/>
              </w:rPr>
              <w:t>/</w:t>
            </w:r>
          </w:p>
        </w:tc>
        <w:tc>
          <w:tcPr>
            <w:tcW w:w="1224" w:type="pct"/>
            <w:noWrap w:val="0"/>
            <w:vAlign w:val="center"/>
          </w:tcPr>
          <w:p>
            <w:pPr>
              <w:adjustRightInd w:val="0"/>
              <w:snapToGrid w:val="0"/>
              <w:jc w:val="center"/>
              <w:rPr>
                <w:color w:val="auto"/>
                <w:szCs w:val="21"/>
              </w:rPr>
            </w:pPr>
            <w:r>
              <w:rPr>
                <w:color w:val="auto"/>
                <w:szCs w:val="21"/>
              </w:rPr>
              <w:t>/</w:t>
            </w:r>
          </w:p>
        </w:tc>
        <w:tc>
          <w:tcPr>
            <w:tcW w:w="1237" w:type="pct"/>
            <w:noWrap w:val="0"/>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地表水环境</w:t>
            </w:r>
          </w:p>
        </w:tc>
        <w:tc>
          <w:tcPr>
            <w:tcW w:w="1144" w:type="pct"/>
            <w:noWrap w:val="0"/>
            <w:vAlign w:val="center"/>
          </w:tcPr>
          <w:p>
            <w:pPr>
              <w:adjustRightInd w:val="0"/>
              <w:snapToGrid w:val="0"/>
              <w:rPr>
                <w:rFonts w:hint="eastAsia"/>
                <w:color w:val="auto"/>
                <w:szCs w:val="21"/>
              </w:rPr>
            </w:pPr>
            <w:r>
              <w:rPr>
                <w:rFonts w:hint="eastAsia"/>
                <w:color w:val="auto"/>
                <w:szCs w:val="21"/>
              </w:rPr>
              <w:t>①生活污水：在施工营地生活区分别设置沉淀池，生活污水经沉淀池收集池沉淀处理后，全部回用于场地绿化，不外排。</w:t>
            </w:r>
          </w:p>
          <w:p>
            <w:pPr>
              <w:adjustRightInd w:val="0"/>
              <w:snapToGrid w:val="0"/>
              <w:rPr>
                <w:rFonts w:hint="eastAsia"/>
                <w:color w:val="auto"/>
                <w:szCs w:val="21"/>
              </w:rPr>
            </w:pPr>
            <w:r>
              <w:rPr>
                <w:rFonts w:hint="eastAsia"/>
                <w:color w:val="auto"/>
                <w:szCs w:val="21"/>
              </w:rPr>
              <w:t>②建筑施工废水：在施工场地内设置临时导流沟和沉淀池对施工废水进行沉淀处理，处理后的废水回用于洒水抑尘、工程养护和其它施工环节，严禁外排。</w:t>
            </w:r>
          </w:p>
          <w:p>
            <w:pPr>
              <w:adjustRightInd w:val="0"/>
              <w:snapToGrid w:val="0"/>
              <w:rPr>
                <w:rFonts w:hint="eastAsia"/>
                <w:color w:val="auto"/>
                <w:szCs w:val="21"/>
              </w:rPr>
            </w:pPr>
            <w:r>
              <w:rPr>
                <w:rFonts w:hint="eastAsia"/>
                <w:color w:val="auto"/>
                <w:szCs w:val="21"/>
              </w:rPr>
              <w:t>③雨季径流：道路区在地势低处设置排水沟，排水沟末端设置沉淀池，经沉淀处理后，尽量回用于场地内洒水降尘和工程养护等，回用不完部分再外排至周边沟渠，减轻对地表水体的影响。</w:t>
            </w:r>
          </w:p>
          <w:p>
            <w:pPr>
              <w:adjustRightInd w:val="0"/>
              <w:snapToGrid w:val="0"/>
              <w:rPr>
                <w:color w:val="auto"/>
                <w:szCs w:val="21"/>
              </w:rPr>
            </w:pPr>
            <w:r>
              <w:rPr>
                <w:rFonts w:hint="eastAsia"/>
                <w:color w:val="auto"/>
                <w:szCs w:val="21"/>
              </w:rPr>
              <w:t>④加强管理，做好机械的日常维修保养，杜绝跑、冒、滴、漏现象。另外，雨天应对各类机械、粉状物料进行遮盖防雨。</w:t>
            </w:r>
          </w:p>
        </w:tc>
        <w:tc>
          <w:tcPr>
            <w:tcW w:w="1133" w:type="pct"/>
            <w:noWrap w:val="0"/>
            <w:vAlign w:val="center"/>
          </w:tcPr>
          <w:p>
            <w:pPr>
              <w:adjustRightInd w:val="0"/>
              <w:snapToGrid w:val="0"/>
              <w:rPr>
                <w:color w:val="auto"/>
                <w:szCs w:val="21"/>
              </w:rPr>
            </w:pPr>
            <w:r>
              <w:rPr>
                <w:rFonts w:hAnsi="宋体"/>
                <w:color w:val="auto"/>
                <w:szCs w:val="21"/>
              </w:rPr>
              <w:t>施工期</w:t>
            </w:r>
            <w:r>
              <w:rPr>
                <w:rFonts w:hint="eastAsia" w:hAnsi="宋体"/>
                <w:color w:val="auto"/>
                <w:szCs w:val="21"/>
              </w:rPr>
              <w:t>施工生产废水、施工生活污水</w:t>
            </w:r>
            <w:r>
              <w:rPr>
                <w:rFonts w:hAnsi="宋体"/>
                <w:color w:val="auto"/>
                <w:szCs w:val="21"/>
              </w:rPr>
              <w:t>处理后，全部回用，不外排</w:t>
            </w:r>
            <w:r>
              <w:rPr>
                <w:rFonts w:hint="eastAsia" w:hAnsi="宋体"/>
                <w:color w:val="auto"/>
                <w:szCs w:val="21"/>
              </w:rPr>
              <w:t>。</w:t>
            </w:r>
          </w:p>
        </w:tc>
        <w:tc>
          <w:tcPr>
            <w:tcW w:w="1224" w:type="pct"/>
            <w:noWrap w:val="0"/>
            <w:vAlign w:val="center"/>
          </w:tcPr>
          <w:p>
            <w:pPr>
              <w:adjustRightInd w:val="0"/>
              <w:snapToGrid w:val="0"/>
              <w:rPr>
                <w:color w:val="auto"/>
                <w:szCs w:val="21"/>
              </w:rPr>
            </w:pPr>
            <w:r>
              <w:rPr>
                <w:rFonts w:hint="eastAsia"/>
                <w:color w:val="auto"/>
                <w:szCs w:val="21"/>
              </w:rPr>
              <w:t>生活污水经过化粪池处理后进入市政污水收集管网</w:t>
            </w:r>
          </w:p>
        </w:tc>
        <w:tc>
          <w:tcPr>
            <w:tcW w:w="1237" w:type="pct"/>
            <w:noWrap w:val="0"/>
            <w:vAlign w:val="center"/>
          </w:tcPr>
          <w:p>
            <w:pPr>
              <w:adjustRightInd w:val="0"/>
              <w:snapToGrid w:val="0"/>
              <w:rPr>
                <w:color w:val="auto"/>
                <w:szCs w:val="21"/>
              </w:rPr>
            </w:pPr>
            <w:r>
              <w:rPr>
                <w:rFonts w:hint="eastAsia"/>
                <w:color w:val="auto"/>
                <w:szCs w:val="21"/>
              </w:rPr>
              <w:t>对周围地表水环境</w:t>
            </w:r>
            <w:r>
              <w:rPr>
                <w:rFonts w:hint="eastAsia"/>
                <w:color w:val="auto"/>
                <w:szCs w:val="21"/>
                <w:lang w:val="en-US" w:eastAsia="zh-CN"/>
              </w:rPr>
              <w:t>影响较小</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地下水及土壤环境</w:t>
            </w:r>
          </w:p>
        </w:tc>
        <w:tc>
          <w:tcPr>
            <w:tcW w:w="1144" w:type="pct"/>
            <w:noWrap w:val="0"/>
            <w:vAlign w:val="center"/>
          </w:tcPr>
          <w:p>
            <w:pPr>
              <w:adjustRightInd w:val="0"/>
              <w:snapToGrid w:val="0"/>
              <w:jc w:val="center"/>
              <w:rPr>
                <w:color w:val="auto"/>
                <w:szCs w:val="21"/>
              </w:rPr>
            </w:pPr>
            <w:r>
              <w:rPr>
                <w:rFonts w:hint="eastAsia"/>
                <w:color w:val="auto"/>
                <w:szCs w:val="21"/>
              </w:rPr>
              <w:t>/</w:t>
            </w:r>
          </w:p>
        </w:tc>
        <w:tc>
          <w:tcPr>
            <w:tcW w:w="1133" w:type="pct"/>
            <w:noWrap w:val="0"/>
            <w:vAlign w:val="center"/>
          </w:tcPr>
          <w:p>
            <w:pPr>
              <w:adjustRightInd w:val="0"/>
              <w:snapToGrid w:val="0"/>
              <w:jc w:val="center"/>
              <w:rPr>
                <w:color w:val="auto"/>
                <w:szCs w:val="21"/>
              </w:rPr>
            </w:pPr>
            <w:r>
              <w:rPr>
                <w:rFonts w:hint="eastAsia"/>
                <w:color w:val="auto"/>
                <w:szCs w:val="21"/>
              </w:rPr>
              <w:t>/</w:t>
            </w:r>
          </w:p>
        </w:tc>
        <w:tc>
          <w:tcPr>
            <w:tcW w:w="1224" w:type="pct"/>
            <w:noWrap w:val="0"/>
            <w:vAlign w:val="center"/>
          </w:tcPr>
          <w:p>
            <w:pPr>
              <w:adjustRightInd w:val="0"/>
              <w:snapToGrid w:val="0"/>
              <w:jc w:val="center"/>
              <w:rPr>
                <w:color w:val="auto"/>
                <w:szCs w:val="21"/>
              </w:rPr>
            </w:pPr>
            <w:r>
              <w:rPr>
                <w:color w:val="auto"/>
                <w:szCs w:val="21"/>
              </w:rPr>
              <w:t>/</w:t>
            </w:r>
          </w:p>
        </w:tc>
        <w:tc>
          <w:tcPr>
            <w:tcW w:w="1237" w:type="pct"/>
            <w:noWrap w:val="0"/>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声环境</w:t>
            </w:r>
          </w:p>
        </w:tc>
        <w:tc>
          <w:tcPr>
            <w:tcW w:w="1144" w:type="pct"/>
            <w:noWrap w:val="0"/>
            <w:vAlign w:val="center"/>
          </w:tcPr>
          <w:p>
            <w:pPr>
              <w:adjustRightInd w:val="0"/>
              <w:snapToGrid w:val="0"/>
              <w:rPr>
                <w:rFonts w:hint="eastAsia"/>
                <w:color w:val="auto"/>
                <w:szCs w:val="21"/>
              </w:rPr>
            </w:pPr>
            <w:r>
              <w:rPr>
                <w:rFonts w:hint="eastAsia"/>
                <w:color w:val="auto"/>
                <w:szCs w:val="21"/>
              </w:rPr>
              <w:t>①施工机械应尽量选用低噪机械，加强维护，尽量降低施工机械噪声，施工场地距离居民点较近的区域进行临时围挡，同时与周边群众积极沟通，尽可能互相谅解，防止因噪声扰民而出现群体性事件</w:t>
            </w:r>
          </w:p>
          <w:p>
            <w:pPr>
              <w:adjustRightInd w:val="0"/>
              <w:snapToGrid w:val="0"/>
              <w:rPr>
                <w:rFonts w:hint="eastAsia"/>
                <w:color w:val="auto"/>
                <w:szCs w:val="21"/>
              </w:rPr>
            </w:pPr>
            <w:r>
              <w:rPr>
                <w:rFonts w:hint="eastAsia"/>
                <w:color w:val="auto"/>
                <w:szCs w:val="21"/>
              </w:rPr>
              <w:t>②做好工程施工组织计划，尽量集中在昼间施工，禁止夜间作</w:t>
            </w:r>
            <w:r>
              <w:rPr>
                <w:rFonts w:hint="eastAsia"/>
                <w:color w:val="auto"/>
                <w:szCs w:val="21"/>
                <w:lang w:val="en-US" w:eastAsia="zh-CN"/>
              </w:rPr>
              <w:t>业</w:t>
            </w:r>
            <w:r>
              <w:rPr>
                <w:rFonts w:hint="eastAsia"/>
                <w:color w:val="auto"/>
                <w:szCs w:val="21"/>
              </w:rPr>
              <w:t>；</w:t>
            </w:r>
          </w:p>
          <w:p>
            <w:pPr>
              <w:adjustRightInd w:val="0"/>
              <w:snapToGrid w:val="0"/>
              <w:rPr>
                <w:rFonts w:hint="eastAsia"/>
                <w:color w:val="auto"/>
                <w:szCs w:val="21"/>
              </w:rPr>
            </w:pPr>
            <w:r>
              <w:rPr>
                <w:rFonts w:hint="eastAsia"/>
                <w:color w:val="auto"/>
                <w:szCs w:val="21"/>
              </w:rPr>
              <w:t>③做好施工机械的日常维护，使施工机械的噪声维持在最低水平。</w:t>
            </w:r>
          </w:p>
          <w:p>
            <w:pPr>
              <w:adjustRightInd w:val="0"/>
              <w:snapToGrid w:val="0"/>
              <w:rPr>
                <w:rFonts w:hint="eastAsia"/>
                <w:color w:val="auto"/>
                <w:szCs w:val="21"/>
              </w:rPr>
            </w:pPr>
            <w:r>
              <w:rPr>
                <w:rFonts w:hint="eastAsia"/>
                <w:color w:val="auto"/>
                <w:szCs w:val="21"/>
              </w:rPr>
              <w:t>④选用低噪声机械设备，同时施工单位应设专人对设备进行定期保养和维护。</w:t>
            </w:r>
          </w:p>
          <w:p>
            <w:pPr>
              <w:adjustRightInd w:val="0"/>
              <w:snapToGrid w:val="0"/>
              <w:rPr>
                <w:rFonts w:hint="eastAsia"/>
                <w:color w:val="auto"/>
                <w:szCs w:val="21"/>
              </w:rPr>
            </w:pPr>
            <w:r>
              <w:rPr>
                <w:rFonts w:hint="eastAsia"/>
                <w:color w:val="auto"/>
                <w:szCs w:val="21"/>
              </w:rPr>
              <w:t>⑤距离住户近的施工时，施工场地不宜设置高噪声设备，需要切割、钻孔的材料在营地预制准备好后运送到现场进行安装；</w:t>
            </w:r>
          </w:p>
          <w:p>
            <w:pPr>
              <w:adjustRightInd w:val="0"/>
              <w:snapToGrid w:val="0"/>
              <w:rPr>
                <w:color w:val="auto"/>
                <w:szCs w:val="21"/>
              </w:rPr>
            </w:pPr>
            <w:r>
              <w:rPr>
                <w:rFonts w:hint="eastAsia"/>
                <w:color w:val="auto"/>
                <w:szCs w:val="21"/>
              </w:rPr>
              <w:t>⑥加强管理，严格要求运输车辆在经过沿线有居民点的地段必须减速、必须禁止鸣笛、且夜间禁止运输等，避免扰民事件的发生</w:t>
            </w:r>
          </w:p>
        </w:tc>
        <w:tc>
          <w:tcPr>
            <w:tcW w:w="1133" w:type="pct"/>
            <w:noWrap w:val="0"/>
            <w:vAlign w:val="center"/>
          </w:tcPr>
          <w:p>
            <w:pPr>
              <w:adjustRightInd w:val="0"/>
              <w:snapToGrid w:val="0"/>
              <w:jc w:val="left"/>
              <w:rPr>
                <w:color w:val="auto"/>
                <w:szCs w:val="21"/>
              </w:rPr>
            </w:pPr>
            <w:r>
              <w:rPr>
                <w:color w:val="auto"/>
                <w:szCs w:val="21"/>
              </w:rPr>
              <w:t>满足《建筑施工场界环境噪声排放标准》（GB12523-2011）中的相关要求</w:t>
            </w:r>
          </w:p>
        </w:tc>
        <w:tc>
          <w:tcPr>
            <w:tcW w:w="1224" w:type="pct"/>
            <w:noWrap w:val="0"/>
            <w:vAlign w:val="center"/>
          </w:tcPr>
          <w:p>
            <w:pPr>
              <w:adjustRightInd w:val="0"/>
              <w:snapToGrid w:val="0"/>
              <w:jc w:val="left"/>
              <w:rPr>
                <w:rFonts w:hint="eastAsia" w:eastAsia="宋体"/>
                <w:color w:val="auto"/>
                <w:szCs w:val="21"/>
                <w:lang w:val="en-US" w:eastAsia="zh-CN"/>
              </w:rPr>
            </w:pPr>
            <w:r>
              <w:rPr>
                <w:rFonts w:hint="eastAsia" w:eastAsia="宋体"/>
                <w:color w:val="auto"/>
                <w:szCs w:val="21"/>
                <w:lang w:val="en-US" w:eastAsia="zh-CN"/>
              </w:rPr>
              <w:t>主要是交通噪声和人群噪声，通过安装禁止鸣笛和禁止大声喧哗的警示牌进行预防。</w:t>
            </w:r>
          </w:p>
        </w:tc>
        <w:tc>
          <w:tcPr>
            <w:tcW w:w="1237" w:type="pct"/>
            <w:noWrap w:val="0"/>
            <w:vAlign w:val="center"/>
          </w:tcPr>
          <w:p>
            <w:pPr>
              <w:adjustRightInd w:val="0"/>
              <w:snapToGrid w:val="0"/>
              <w:jc w:val="left"/>
              <w:rPr>
                <w:rFonts w:hint="default" w:eastAsia="宋体"/>
                <w:color w:val="auto"/>
                <w:szCs w:val="21"/>
                <w:lang w:val="en-US" w:eastAsia="zh-CN"/>
              </w:rPr>
            </w:pPr>
            <w:r>
              <w:rPr>
                <w:rFonts w:hint="eastAsia" w:hAnsi="宋体"/>
                <w:color w:val="auto"/>
                <w:kern w:val="0"/>
                <w:szCs w:val="21"/>
                <w:lang w:val="en-US" w:eastAsia="zh-CN"/>
              </w:rPr>
              <w:t>对周边环境影响较小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振动</w:t>
            </w:r>
          </w:p>
        </w:tc>
        <w:tc>
          <w:tcPr>
            <w:tcW w:w="1144" w:type="pct"/>
            <w:noWrap w:val="0"/>
            <w:vAlign w:val="center"/>
          </w:tcPr>
          <w:p>
            <w:pPr>
              <w:adjustRightInd w:val="0"/>
              <w:snapToGrid w:val="0"/>
              <w:jc w:val="center"/>
              <w:rPr>
                <w:color w:val="auto"/>
                <w:szCs w:val="21"/>
              </w:rPr>
            </w:pPr>
            <w:r>
              <w:rPr>
                <w:color w:val="auto"/>
                <w:szCs w:val="21"/>
              </w:rPr>
              <w:t>/</w:t>
            </w:r>
          </w:p>
        </w:tc>
        <w:tc>
          <w:tcPr>
            <w:tcW w:w="1133" w:type="pct"/>
            <w:noWrap w:val="0"/>
            <w:vAlign w:val="center"/>
          </w:tcPr>
          <w:p>
            <w:pPr>
              <w:adjustRightInd w:val="0"/>
              <w:snapToGrid w:val="0"/>
              <w:jc w:val="center"/>
              <w:rPr>
                <w:color w:val="auto"/>
                <w:szCs w:val="21"/>
              </w:rPr>
            </w:pPr>
            <w:r>
              <w:rPr>
                <w:color w:val="auto"/>
                <w:szCs w:val="21"/>
              </w:rPr>
              <w:t>/</w:t>
            </w:r>
          </w:p>
        </w:tc>
        <w:tc>
          <w:tcPr>
            <w:tcW w:w="1224" w:type="pct"/>
            <w:noWrap w:val="0"/>
            <w:vAlign w:val="center"/>
          </w:tcPr>
          <w:p>
            <w:pPr>
              <w:adjustRightInd w:val="0"/>
              <w:snapToGrid w:val="0"/>
              <w:jc w:val="center"/>
              <w:rPr>
                <w:color w:val="auto"/>
                <w:szCs w:val="21"/>
              </w:rPr>
            </w:pPr>
            <w:r>
              <w:rPr>
                <w:color w:val="auto"/>
                <w:szCs w:val="21"/>
              </w:rPr>
              <w:t>/</w:t>
            </w:r>
          </w:p>
        </w:tc>
        <w:tc>
          <w:tcPr>
            <w:tcW w:w="1237" w:type="pct"/>
            <w:noWrap w:val="0"/>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大气环境</w:t>
            </w:r>
          </w:p>
        </w:tc>
        <w:tc>
          <w:tcPr>
            <w:tcW w:w="1144" w:type="pct"/>
            <w:noWrap w:val="0"/>
            <w:vAlign w:val="center"/>
          </w:tcPr>
          <w:p>
            <w:pPr>
              <w:adjustRightInd w:val="0"/>
              <w:snapToGrid w:val="0"/>
              <w:rPr>
                <w:rFonts w:hint="eastAsia"/>
                <w:color w:val="auto"/>
                <w:szCs w:val="21"/>
              </w:rPr>
            </w:pPr>
            <w:r>
              <w:rPr>
                <w:rFonts w:hint="eastAsia"/>
                <w:color w:val="auto"/>
                <w:szCs w:val="21"/>
              </w:rPr>
              <w:t>①加强施工现场管理：在距敏感点较近区域施工，应及时采取洒水降尘、围挡作业等措施；施工现场做到及时清理，临时堆场应有覆盖措施，减少二次扬尘；施工中应对场地进行洒水降尘，临时堆场进行遮盖拦挡，车轮冲洗。</w:t>
            </w:r>
          </w:p>
          <w:p>
            <w:pPr>
              <w:adjustRightInd w:val="0"/>
              <w:snapToGrid w:val="0"/>
              <w:rPr>
                <w:rFonts w:hint="eastAsia"/>
                <w:color w:val="auto"/>
                <w:szCs w:val="21"/>
              </w:rPr>
            </w:pPr>
            <w:r>
              <w:rPr>
                <w:rFonts w:hint="eastAsia"/>
                <w:color w:val="auto"/>
                <w:szCs w:val="21"/>
              </w:rPr>
              <w:t>② 使用商品混凝土；运输的车辆必须车身整洁，装载车厢完好，装载货物堆码整齐，运输建筑材料及建筑垃圾的车辆加盖蓬布以减少洒落，不得污染道路。</w:t>
            </w:r>
          </w:p>
          <w:p>
            <w:pPr>
              <w:adjustRightInd w:val="0"/>
              <w:snapToGrid w:val="0"/>
              <w:rPr>
                <w:rFonts w:hint="eastAsia"/>
                <w:color w:val="auto"/>
                <w:szCs w:val="21"/>
              </w:rPr>
            </w:pPr>
            <w:r>
              <w:rPr>
                <w:rFonts w:hint="eastAsia"/>
                <w:color w:val="auto"/>
                <w:szCs w:val="21"/>
              </w:rPr>
              <w:t>③施工场地内车辆应采取低速行驶，道路保持清洁，裸露场地采取洒水降尘措施。</w:t>
            </w:r>
          </w:p>
          <w:p>
            <w:pPr>
              <w:adjustRightInd w:val="0"/>
              <w:snapToGrid w:val="0"/>
              <w:rPr>
                <w:rFonts w:hint="eastAsia"/>
                <w:color w:val="auto"/>
                <w:szCs w:val="21"/>
              </w:rPr>
            </w:pPr>
            <w:r>
              <w:rPr>
                <w:rFonts w:hint="eastAsia"/>
                <w:color w:val="auto"/>
                <w:szCs w:val="21"/>
              </w:rPr>
              <w:t>④对建筑垃圾及时处理、清运，以减少占地，防止粉尘污染。</w:t>
            </w:r>
          </w:p>
          <w:p>
            <w:pPr>
              <w:adjustRightInd w:val="0"/>
              <w:snapToGrid w:val="0"/>
              <w:rPr>
                <w:color w:val="auto"/>
                <w:szCs w:val="21"/>
              </w:rPr>
            </w:pPr>
            <w:r>
              <w:rPr>
                <w:rFonts w:hint="eastAsia"/>
                <w:color w:val="auto"/>
                <w:szCs w:val="21"/>
              </w:rPr>
              <w:t>⑤在施工场地上设置专人负责临时堆土、建筑垃圾、建筑材料的处置、清运和堆放，临时堆放场地应远离居民区。</w:t>
            </w:r>
          </w:p>
        </w:tc>
        <w:tc>
          <w:tcPr>
            <w:tcW w:w="1133" w:type="pct"/>
            <w:noWrap w:val="0"/>
            <w:vAlign w:val="center"/>
          </w:tcPr>
          <w:p>
            <w:pPr>
              <w:adjustRightInd w:val="0"/>
              <w:snapToGrid w:val="0"/>
              <w:jc w:val="left"/>
              <w:rPr>
                <w:color w:val="auto"/>
                <w:szCs w:val="21"/>
              </w:rPr>
            </w:pPr>
            <w:r>
              <w:rPr>
                <w:rFonts w:hAnsi="宋体"/>
                <w:color w:val="auto"/>
                <w:szCs w:val="21"/>
              </w:rPr>
              <w:t>施工期扬尘排放达到《大气污染物综合排放标准》（</w:t>
            </w:r>
            <w:r>
              <w:rPr>
                <w:color w:val="auto"/>
                <w:szCs w:val="21"/>
              </w:rPr>
              <w:t>GB16279-1996</w:t>
            </w:r>
            <w:r>
              <w:rPr>
                <w:rFonts w:hAnsi="宋体"/>
                <w:color w:val="auto"/>
                <w:szCs w:val="21"/>
              </w:rPr>
              <w:t>）无组织排放监控浓度限值，即周界外浓度最高点颗粒物</w:t>
            </w:r>
            <w:r>
              <w:rPr>
                <w:color w:val="auto"/>
                <w:szCs w:val="21"/>
              </w:rPr>
              <w:t>≤1.0mg/m</w:t>
            </w:r>
            <w:r>
              <w:rPr>
                <w:color w:val="auto"/>
                <w:szCs w:val="21"/>
                <w:vertAlign w:val="superscript"/>
              </w:rPr>
              <w:t>3</w:t>
            </w:r>
          </w:p>
        </w:tc>
        <w:tc>
          <w:tcPr>
            <w:tcW w:w="1224" w:type="pct"/>
            <w:noWrap w:val="0"/>
            <w:vAlign w:val="center"/>
          </w:tcPr>
          <w:p>
            <w:pPr>
              <w:rPr>
                <w:rFonts w:hint="eastAsia"/>
                <w:color w:val="auto"/>
                <w:szCs w:val="21"/>
              </w:rPr>
            </w:pPr>
            <w:r>
              <w:rPr>
                <w:rFonts w:hint="eastAsia"/>
                <w:color w:val="auto"/>
              </w:rPr>
              <w:t>项目产生的废气主要是卫生间的臭味及汽车尾气，通过卫生管理及喷洒除臭剂等处理恶臭，汽车尾气通过自然扩撒。</w:t>
            </w:r>
          </w:p>
        </w:tc>
        <w:tc>
          <w:tcPr>
            <w:tcW w:w="1237" w:type="pct"/>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对周边环境影响较小。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固体废物</w:t>
            </w:r>
          </w:p>
        </w:tc>
        <w:tc>
          <w:tcPr>
            <w:tcW w:w="1144" w:type="pct"/>
            <w:noWrap w:val="0"/>
            <w:vAlign w:val="center"/>
          </w:tcPr>
          <w:p>
            <w:pPr>
              <w:adjustRightInd w:val="0"/>
              <w:snapToGrid w:val="0"/>
              <w:rPr>
                <w:rFonts w:hint="eastAsia"/>
                <w:color w:val="auto"/>
                <w:szCs w:val="21"/>
              </w:rPr>
            </w:pPr>
            <w:r>
              <w:rPr>
                <w:rFonts w:hint="eastAsia"/>
                <w:color w:val="auto"/>
                <w:szCs w:val="21"/>
              </w:rPr>
              <w:t>①废弃土石方：全部在场地内回填，不设置弃渣场，禁止乱弃渣。</w:t>
            </w:r>
          </w:p>
          <w:p>
            <w:pPr>
              <w:adjustRightInd w:val="0"/>
              <w:snapToGrid w:val="0"/>
              <w:rPr>
                <w:rFonts w:hint="eastAsia"/>
                <w:color w:val="auto"/>
                <w:szCs w:val="21"/>
              </w:rPr>
            </w:pPr>
            <w:r>
              <w:rPr>
                <w:rFonts w:hint="eastAsia"/>
                <w:color w:val="auto"/>
                <w:szCs w:val="21"/>
              </w:rPr>
              <w:t>②建筑垃圾：分类收集，能利用部分外售收购商进行回收利用，不可回收部分委托有资质单位清运至政府部门指定的场所进行处</w:t>
            </w:r>
          </w:p>
          <w:p>
            <w:pPr>
              <w:adjustRightInd w:val="0"/>
              <w:snapToGrid w:val="0"/>
              <w:rPr>
                <w:rFonts w:hint="eastAsia"/>
                <w:color w:val="auto"/>
                <w:szCs w:val="21"/>
              </w:rPr>
            </w:pPr>
            <w:r>
              <w:rPr>
                <w:rFonts w:hint="eastAsia"/>
                <w:color w:val="auto"/>
                <w:szCs w:val="21"/>
              </w:rPr>
              <w:t>置。</w:t>
            </w:r>
          </w:p>
          <w:p>
            <w:pPr>
              <w:adjustRightInd w:val="0"/>
              <w:snapToGrid w:val="0"/>
              <w:rPr>
                <w:rFonts w:hint="eastAsia"/>
                <w:color w:val="auto"/>
                <w:szCs w:val="21"/>
              </w:rPr>
            </w:pPr>
            <w:r>
              <w:rPr>
                <w:rFonts w:hint="eastAsia"/>
                <w:color w:val="auto"/>
                <w:szCs w:val="21"/>
              </w:rPr>
              <w:t>③生活垃圾：在施工场地设置临时生活垃圾收集容器，对施工人员的生活垃圾进行 分 类 收集，垃圾实行“日产日清”，能利用部分外售收购商进行回收利用，不可回收部分送至附近村子生活垃圾收集点由环卫部门清运。</w:t>
            </w:r>
          </w:p>
          <w:p>
            <w:pPr>
              <w:adjustRightInd w:val="0"/>
              <w:snapToGrid w:val="0"/>
              <w:rPr>
                <w:rFonts w:hint="eastAsia"/>
                <w:color w:val="auto"/>
                <w:szCs w:val="21"/>
              </w:rPr>
            </w:pPr>
            <w:r>
              <w:rPr>
                <w:rFonts w:hint="eastAsia"/>
                <w:color w:val="auto"/>
                <w:szCs w:val="21"/>
              </w:rPr>
              <w:t>④粪便：定时由当地百姓清运用作农肥。</w:t>
            </w:r>
          </w:p>
          <w:p>
            <w:pPr>
              <w:adjustRightInd w:val="0"/>
              <w:snapToGrid w:val="0"/>
              <w:rPr>
                <w:color w:val="auto"/>
                <w:szCs w:val="21"/>
              </w:rPr>
            </w:pPr>
            <w:r>
              <w:rPr>
                <w:rFonts w:hint="eastAsia"/>
                <w:color w:val="auto"/>
                <w:szCs w:val="21"/>
              </w:rPr>
              <w:t>⑤临时堆土：项目临时堆场应选择在项目用地范围内，严禁新增占地，并进行覆盖和拦档。</w:t>
            </w:r>
          </w:p>
        </w:tc>
        <w:tc>
          <w:tcPr>
            <w:tcW w:w="1133" w:type="pct"/>
            <w:noWrap w:val="0"/>
            <w:vAlign w:val="center"/>
          </w:tcPr>
          <w:p>
            <w:pPr>
              <w:adjustRightInd w:val="0"/>
              <w:snapToGrid w:val="0"/>
              <w:rPr>
                <w:rFonts w:hint="eastAsia" w:eastAsia="宋体"/>
                <w:color w:val="auto"/>
                <w:szCs w:val="21"/>
                <w:lang w:eastAsia="zh-CN"/>
              </w:rPr>
            </w:pPr>
            <w:r>
              <w:rPr>
                <w:rFonts w:hAnsi="宋体"/>
                <w:color w:val="auto"/>
                <w:kern w:val="0"/>
                <w:szCs w:val="21"/>
              </w:rPr>
              <w:t>固体废物合理处置，没有随意堆放和排放现象</w:t>
            </w:r>
            <w:r>
              <w:rPr>
                <w:rFonts w:hint="eastAsia" w:hAnsi="宋体"/>
                <w:color w:val="auto"/>
                <w:kern w:val="0"/>
                <w:szCs w:val="21"/>
                <w:lang w:eastAsia="zh-CN"/>
              </w:rPr>
              <w:t>，固废处置率100%</w:t>
            </w:r>
          </w:p>
        </w:tc>
        <w:tc>
          <w:tcPr>
            <w:tcW w:w="1224" w:type="pct"/>
            <w:noWrap w:val="0"/>
            <w:vAlign w:val="center"/>
          </w:tcPr>
          <w:p>
            <w:pPr>
              <w:adjustRightInd w:val="0"/>
              <w:snapToGrid w:val="0"/>
              <w:jc w:val="center"/>
              <w:rPr>
                <w:rFonts w:hint="eastAsia"/>
                <w:color w:val="auto"/>
                <w:szCs w:val="21"/>
              </w:rPr>
            </w:pPr>
            <w:r>
              <w:rPr>
                <w:rFonts w:hint="eastAsia"/>
                <w:color w:val="auto"/>
                <w:szCs w:val="21"/>
              </w:rPr>
              <w:t>本项目区分散设置若干生活垃圾收集桶，生活垃圾收集后送至环卫部门制定堆放地点，委托环卫部门定期清运处置。</w:t>
            </w:r>
          </w:p>
        </w:tc>
        <w:tc>
          <w:tcPr>
            <w:tcW w:w="1237" w:type="pct"/>
            <w:noWrap w:val="0"/>
            <w:vAlign w:val="center"/>
          </w:tcPr>
          <w:p>
            <w:pPr>
              <w:adjustRightInd w:val="0"/>
              <w:snapToGrid w:val="0"/>
              <w:jc w:val="center"/>
              <w:rPr>
                <w:color w:val="auto"/>
                <w:szCs w:val="21"/>
              </w:rPr>
            </w:pPr>
            <w:r>
              <w:rPr>
                <w:rFonts w:hint="eastAsia"/>
                <w:color w:val="auto"/>
                <w:szCs w:val="21"/>
              </w:rPr>
              <w:t>固废处置率100%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环境风险</w:t>
            </w:r>
          </w:p>
        </w:tc>
        <w:tc>
          <w:tcPr>
            <w:tcW w:w="1144" w:type="pct"/>
            <w:noWrap w:val="0"/>
            <w:vAlign w:val="center"/>
          </w:tcPr>
          <w:p>
            <w:pPr>
              <w:adjustRightInd w:val="0"/>
              <w:snapToGrid w:val="0"/>
              <w:jc w:val="center"/>
              <w:rPr>
                <w:color w:val="auto"/>
                <w:szCs w:val="21"/>
              </w:rPr>
            </w:pPr>
            <w:r>
              <w:rPr>
                <w:color w:val="auto"/>
                <w:szCs w:val="21"/>
              </w:rPr>
              <w:t>/</w:t>
            </w:r>
          </w:p>
        </w:tc>
        <w:tc>
          <w:tcPr>
            <w:tcW w:w="1133" w:type="pct"/>
            <w:noWrap w:val="0"/>
            <w:vAlign w:val="center"/>
          </w:tcPr>
          <w:p>
            <w:pPr>
              <w:adjustRightInd w:val="0"/>
              <w:snapToGrid w:val="0"/>
              <w:jc w:val="center"/>
              <w:rPr>
                <w:color w:val="auto"/>
                <w:szCs w:val="21"/>
              </w:rPr>
            </w:pPr>
            <w:r>
              <w:rPr>
                <w:color w:val="auto"/>
                <w:szCs w:val="21"/>
              </w:rPr>
              <w:t>/</w:t>
            </w:r>
          </w:p>
        </w:tc>
        <w:tc>
          <w:tcPr>
            <w:tcW w:w="1224" w:type="pct"/>
            <w:noWrap w:val="0"/>
            <w:vAlign w:val="center"/>
          </w:tcPr>
          <w:p>
            <w:pPr>
              <w:adjustRightInd w:val="0"/>
              <w:snapToGrid w:val="0"/>
              <w:jc w:val="left"/>
              <w:rPr>
                <w:rFonts w:hint="eastAsia"/>
                <w:color w:val="auto"/>
                <w:szCs w:val="21"/>
              </w:rPr>
            </w:pPr>
            <w:r>
              <w:rPr>
                <w:rFonts w:hint="eastAsia"/>
                <w:color w:val="auto"/>
                <w:szCs w:val="21"/>
              </w:rPr>
              <w:t>（1）应按《生产经营单位生产安全事故应急预案编制导则》（GB/T 29639-2020）的相关要求编写应急预案，并定期进行演练、培训。在经营过程中根据实际情况及时修订和完善应急预案。</w:t>
            </w:r>
          </w:p>
          <w:p>
            <w:pPr>
              <w:adjustRightInd w:val="0"/>
              <w:snapToGrid w:val="0"/>
              <w:jc w:val="left"/>
              <w:rPr>
                <w:rFonts w:hint="eastAsia"/>
                <w:color w:val="auto"/>
                <w:szCs w:val="21"/>
              </w:rPr>
            </w:pPr>
            <w:r>
              <w:rPr>
                <w:rFonts w:hint="eastAsia"/>
                <w:color w:val="auto"/>
                <w:szCs w:val="21"/>
              </w:rPr>
              <w:t>（2）企业应当组织开展本单位的应急预案、应急知识、自救互救和避险逃生技能的培训活动，使有关人员了解应急预案内容，熟悉应急职责、应急处置程序和措施。应急预案演练半年进行一次，并根据演练效果和《生产经营单位生产安全事故应急预案编制导则》（GB/T29639-2020）的要求，不断修改完善安全事故应急救援预案。</w:t>
            </w:r>
          </w:p>
          <w:p>
            <w:pPr>
              <w:adjustRightInd w:val="0"/>
              <w:snapToGrid w:val="0"/>
              <w:jc w:val="left"/>
              <w:rPr>
                <w:rFonts w:hint="eastAsia"/>
                <w:color w:val="auto"/>
                <w:szCs w:val="21"/>
              </w:rPr>
            </w:pPr>
            <w:r>
              <w:rPr>
                <w:rFonts w:hint="eastAsia"/>
                <w:color w:val="auto"/>
                <w:szCs w:val="21"/>
              </w:rPr>
              <w:t>（3）企业应建立健全事故应急救援体系。依据国家相关法律法规及标准要求，建立、健全应急组织和专（兼）职应急队伍，明确职责，并定期进行事故应急演练。</w:t>
            </w:r>
          </w:p>
          <w:p>
            <w:pPr>
              <w:adjustRightInd w:val="0"/>
              <w:snapToGrid w:val="0"/>
              <w:jc w:val="left"/>
              <w:rPr>
                <w:rFonts w:hint="eastAsia"/>
                <w:color w:val="auto"/>
                <w:szCs w:val="21"/>
              </w:rPr>
            </w:pPr>
            <w:r>
              <w:rPr>
                <w:rFonts w:hint="eastAsia"/>
                <w:color w:val="auto"/>
                <w:szCs w:val="21"/>
              </w:rPr>
              <w:t>（4）企业应当在编制应急预案的基础上，针对工作场所、岗位的特点，编制简明、实用、有效的应急处置卡。应急处置卡应当规定重点岗位、人员的应急处置程序和措施，以及相关联络人员和联系方式，便于从业人员携带。</w:t>
            </w:r>
          </w:p>
          <w:p>
            <w:pPr>
              <w:adjustRightInd w:val="0"/>
              <w:snapToGrid w:val="0"/>
              <w:jc w:val="left"/>
              <w:rPr>
                <w:rFonts w:hint="eastAsia"/>
                <w:color w:val="auto"/>
                <w:szCs w:val="21"/>
              </w:rPr>
            </w:pPr>
            <w:r>
              <w:rPr>
                <w:rFonts w:hint="eastAsia"/>
                <w:color w:val="auto"/>
                <w:szCs w:val="21"/>
              </w:rPr>
              <w:t>企业应当按照应急预案的规定，落实应急指挥体系、应急救援队伍、应急物资及装备，建立应急物资、装备配备及其使用档案，并对应急物资、装备进行定期检测和维护，使其处于适用状态。</w:t>
            </w:r>
          </w:p>
          <w:p>
            <w:pPr>
              <w:adjustRightInd w:val="0"/>
              <w:snapToGrid w:val="0"/>
              <w:jc w:val="left"/>
              <w:rPr>
                <w:rFonts w:hint="eastAsia"/>
                <w:color w:val="auto"/>
                <w:szCs w:val="21"/>
              </w:rPr>
            </w:pPr>
            <w:r>
              <w:rPr>
                <w:rFonts w:hint="eastAsia"/>
                <w:color w:val="auto"/>
                <w:szCs w:val="21"/>
              </w:rPr>
              <w:t>（5）在现有消防安全管理制度基础上，新增《特种设备（电梯）安全管理制度》《用电安全管理制度》《车辆交通管理制度》《有限空间作业安全管理制度》等，形成覆盖全风险的制度体系；制度发布后组织全员培训。</w:t>
            </w:r>
          </w:p>
          <w:p>
            <w:pPr>
              <w:adjustRightInd w:val="0"/>
              <w:snapToGrid w:val="0"/>
              <w:jc w:val="left"/>
              <w:rPr>
                <w:rFonts w:hint="eastAsia"/>
                <w:color w:val="auto"/>
                <w:szCs w:val="21"/>
              </w:rPr>
            </w:pPr>
            <w:r>
              <w:rPr>
                <w:rFonts w:hint="eastAsia"/>
                <w:color w:val="auto"/>
                <w:szCs w:val="21"/>
              </w:rPr>
              <w:t>（6）建立 “日常巡查 + 专项检查 + 第三方检查” 机制：保安部每日开展防火、交通巡查，安全管理部门每周组织综合检查，每季度邀请第三方机构开展专项检查（电气、消防、特种设备）；制定隐患排查清单，对排查出的隐患分类登记（一般隐患 3 日内整改，重大隐患立即停产整改），整改完成后组织验收，形成 “排查 - 整改 - 验收” 闭环，隐患治理记录存档备查。</w:t>
            </w:r>
          </w:p>
          <w:p>
            <w:pPr>
              <w:adjustRightInd w:val="0"/>
              <w:snapToGrid w:val="0"/>
              <w:jc w:val="left"/>
              <w:rPr>
                <w:color w:val="auto"/>
                <w:szCs w:val="21"/>
              </w:rPr>
            </w:pPr>
            <w:r>
              <w:rPr>
                <w:rFonts w:hint="eastAsia"/>
                <w:color w:val="auto"/>
                <w:szCs w:val="21"/>
              </w:rPr>
              <w:t>（7）按照《企业安全生产费用提取和使用管理办法》（财资〔2022〕136 号）要求，足额提取安全生产费用（不低于上年度营业收入的 1.5%），专项用于安全设施改造（如消防设施更新、电气线路整改）、防护用品采购、安全培训、应急演练等；建立费用使用台账，每季度向企业负责人汇报使用情况，确保资金专款专用，不得挪用。</w:t>
            </w:r>
          </w:p>
        </w:tc>
        <w:tc>
          <w:tcPr>
            <w:tcW w:w="1237" w:type="pct"/>
            <w:noWrap w:val="0"/>
            <w:vAlign w:val="center"/>
          </w:tcPr>
          <w:p>
            <w:pPr>
              <w:keepNext w:val="0"/>
              <w:keepLines w:val="0"/>
              <w:widowControl/>
              <w:suppressLineNumbers w:val="0"/>
              <w:jc w:val="left"/>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7" w:hRule="atLeast"/>
          <w:jc w:val="center"/>
        </w:trPr>
        <w:tc>
          <w:tcPr>
            <w:tcW w:w="259" w:type="pct"/>
            <w:vMerge w:val="restart"/>
            <w:noWrap w:val="0"/>
            <w:vAlign w:val="center"/>
          </w:tcPr>
          <w:p>
            <w:pPr>
              <w:adjustRightInd w:val="0"/>
              <w:snapToGrid w:val="0"/>
              <w:jc w:val="center"/>
              <w:rPr>
                <w:color w:val="auto"/>
                <w:szCs w:val="21"/>
              </w:rPr>
            </w:pPr>
            <w:r>
              <w:rPr>
                <w:color w:val="auto"/>
                <w:szCs w:val="21"/>
              </w:rPr>
              <w:t>环境监测</w:t>
            </w:r>
          </w:p>
        </w:tc>
        <w:tc>
          <w:tcPr>
            <w:tcW w:w="1144" w:type="pct"/>
            <w:noWrap w:val="0"/>
            <w:vAlign w:val="center"/>
          </w:tcPr>
          <w:p>
            <w:pPr>
              <w:adjustRightInd w:val="0"/>
              <w:snapToGrid w:val="0"/>
              <w:jc w:val="left"/>
              <w:rPr>
                <w:rFonts w:hint="eastAsia"/>
                <w:color w:val="auto"/>
                <w:szCs w:val="21"/>
              </w:rPr>
            </w:pPr>
            <w:r>
              <w:rPr>
                <w:rFonts w:hint="eastAsia"/>
                <w:color w:val="auto"/>
                <w:szCs w:val="21"/>
                <w:lang w:val="en-US" w:eastAsia="zh-CN"/>
              </w:rPr>
              <w:t>敏感点</w:t>
            </w:r>
            <w:r>
              <w:rPr>
                <w:rFonts w:hint="eastAsia"/>
                <w:color w:val="auto"/>
                <w:szCs w:val="21"/>
              </w:rPr>
              <w:t>噪声</w:t>
            </w:r>
          </w:p>
          <w:p>
            <w:pPr>
              <w:adjustRightInd w:val="0"/>
              <w:snapToGrid w:val="0"/>
              <w:jc w:val="left"/>
              <w:rPr>
                <w:rFonts w:hint="eastAsia"/>
                <w:color w:val="auto"/>
                <w:szCs w:val="21"/>
                <w:lang w:val="en-US" w:eastAsia="zh-CN"/>
              </w:rPr>
            </w:pPr>
            <w:r>
              <w:rPr>
                <w:rFonts w:hint="eastAsia"/>
                <w:color w:val="auto"/>
                <w:szCs w:val="21"/>
              </w:rPr>
              <w:t>①监测地点：</w:t>
            </w:r>
            <w:r>
              <w:rPr>
                <w:rFonts w:hint="eastAsia"/>
                <w:color w:val="auto"/>
                <w:szCs w:val="21"/>
                <w:lang w:val="en-US" w:eastAsia="zh-CN"/>
              </w:rPr>
              <w:t>山脚村</w:t>
            </w:r>
          </w:p>
          <w:p>
            <w:pPr>
              <w:adjustRightInd w:val="0"/>
              <w:snapToGrid w:val="0"/>
              <w:jc w:val="left"/>
              <w:rPr>
                <w:rFonts w:hint="eastAsia"/>
                <w:color w:val="auto"/>
                <w:szCs w:val="21"/>
              </w:rPr>
            </w:pPr>
            <w:r>
              <w:rPr>
                <w:rFonts w:hint="eastAsia"/>
                <w:color w:val="auto"/>
                <w:szCs w:val="21"/>
              </w:rPr>
              <w:t>②监测因子：等效连续 A 声级</w:t>
            </w:r>
          </w:p>
          <w:p>
            <w:pPr>
              <w:adjustRightInd w:val="0"/>
              <w:snapToGrid w:val="0"/>
              <w:jc w:val="left"/>
              <w:rPr>
                <w:color w:val="auto"/>
                <w:szCs w:val="21"/>
              </w:rPr>
            </w:pPr>
            <w:r>
              <w:rPr>
                <w:rFonts w:hint="eastAsia"/>
                <w:color w:val="auto"/>
                <w:szCs w:val="21"/>
              </w:rPr>
              <w:t>③监测频率：施工高峰期监测</w:t>
            </w:r>
            <w:r>
              <w:rPr>
                <w:rFonts w:hint="eastAsia"/>
                <w:color w:val="auto"/>
                <w:szCs w:val="21"/>
                <w:lang w:val="en-US" w:eastAsia="zh-CN"/>
              </w:rPr>
              <w:t>1</w:t>
            </w:r>
            <w:r>
              <w:rPr>
                <w:rFonts w:hint="eastAsia"/>
                <w:color w:val="auto"/>
                <w:szCs w:val="21"/>
              </w:rPr>
              <w:t xml:space="preserve"> 次，分昼、夜两个时段</w:t>
            </w:r>
          </w:p>
        </w:tc>
        <w:tc>
          <w:tcPr>
            <w:tcW w:w="1133" w:type="pct"/>
            <w:noWrap w:val="0"/>
            <w:vAlign w:val="center"/>
          </w:tcPr>
          <w:p>
            <w:pPr>
              <w:adjustRightInd w:val="0"/>
              <w:snapToGrid w:val="0"/>
              <w:jc w:val="left"/>
              <w:rPr>
                <w:color w:val="auto"/>
                <w:szCs w:val="21"/>
              </w:rPr>
            </w:pPr>
            <w:r>
              <w:rPr>
                <w:rFonts w:hint="eastAsia"/>
                <w:color w:val="auto"/>
                <w:szCs w:val="21"/>
              </w:rPr>
              <w:t>场界噪声满足《建筑施工场界环境噪声排放标准》（GB12523-2011）</w:t>
            </w:r>
          </w:p>
        </w:tc>
        <w:tc>
          <w:tcPr>
            <w:tcW w:w="1224" w:type="pct"/>
            <w:noWrap w:val="0"/>
            <w:vAlign w:val="center"/>
          </w:tcPr>
          <w:p>
            <w:pPr>
              <w:adjustRightInd w:val="0"/>
              <w:snapToGrid w:val="0"/>
              <w:jc w:val="left"/>
              <w:rPr>
                <w:rFonts w:hint="eastAsia"/>
                <w:color w:val="auto"/>
                <w:szCs w:val="21"/>
              </w:rPr>
            </w:pPr>
            <w:r>
              <w:rPr>
                <w:rFonts w:hint="eastAsia"/>
                <w:color w:val="auto"/>
                <w:szCs w:val="21"/>
                <w:lang w:val="en-US" w:eastAsia="zh-CN"/>
              </w:rPr>
              <w:t>敏感点</w:t>
            </w:r>
            <w:r>
              <w:rPr>
                <w:rFonts w:hint="eastAsia"/>
                <w:color w:val="auto"/>
                <w:szCs w:val="21"/>
              </w:rPr>
              <w:t>噪声：</w:t>
            </w:r>
          </w:p>
          <w:p>
            <w:pPr>
              <w:adjustRightInd w:val="0"/>
              <w:snapToGrid w:val="0"/>
              <w:jc w:val="left"/>
              <w:rPr>
                <w:rFonts w:hint="eastAsia"/>
                <w:color w:val="auto"/>
                <w:szCs w:val="21"/>
              </w:rPr>
            </w:pPr>
            <w:r>
              <w:rPr>
                <w:rFonts w:hint="eastAsia"/>
                <w:color w:val="auto"/>
                <w:szCs w:val="21"/>
              </w:rPr>
              <w:t>①监测地点：</w:t>
            </w:r>
            <w:r>
              <w:rPr>
                <w:rFonts w:hint="eastAsia"/>
                <w:color w:val="auto"/>
                <w:szCs w:val="21"/>
                <w:lang w:val="en-US" w:eastAsia="zh-CN"/>
              </w:rPr>
              <w:t>山脚村</w:t>
            </w:r>
          </w:p>
          <w:p>
            <w:pPr>
              <w:adjustRightInd w:val="0"/>
              <w:snapToGrid w:val="0"/>
              <w:jc w:val="left"/>
              <w:rPr>
                <w:rFonts w:hint="eastAsia"/>
                <w:color w:val="auto"/>
                <w:szCs w:val="21"/>
              </w:rPr>
            </w:pPr>
            <w:r>
              <w:rPr>
                <w:rFonts w:hint="eastAsia"/>
                <w:color w:val="auto"/>
                <w:szCs w:val="21"/>
              </w:rPr>
              <w:t>②监测因子：等效连续 A 声级</w:t>
            </w:r>
          </w:p>
          <w:p>
            <w:pPr>
              <w:adjustRightInd w:val="0"/>
              <w:snapToGrid w:val="0"/>
              <w:jc w:val="left"/>
              <w:rPr>
                <w:color w:val="auto"/>
                <w:szCs w:val="21"/>
              </w:rPr>
            </w:pPr>
            <w:r>
              <w:rPr>
                <w:rFonts w:hint="eastAsia"/>
                <w:color w:val="auto"/>
                <w:szCs w:val="21"/>
              </w:rPr>
              <w:t>③监测频率：每季度 1次，分昼、夜两个时段，昼间、夜间各监测 2 天</w:t>
            </w:r>
          </w:p>
        </w:tc>
        <w:tc>
          <w:tcPr>
            <w:tcW w:w="1237" w:type="pct"/>
            <w:noWrap w:val="0"/>
            <w:vAlign w:val="center"/>
          </w:tcPr>
          <w:p>
            <w:pPr>
              <w:adjustRightInd w:val="0"/>
              <w:snapToGrid w:val="0"/>
              <w:jc w:val="left"/>
              <w:rPr>
                <w:color w:val="auto"/>
                <w:szCs w:val="21"/>
              </w:rPr>
            </w:pPr>
            <w:r>
              <w:rPr>
                <w:rFonts w:hint="eastAsia"/>
                <w:color w:val="auto"/>
                <w:szCs w:val="21"/>
              </w:rPr>
              <w:t>敏感点噪声满足《声环境质量标准》（GB3096-2008）</w:t>
            </w:r>
            <w:r>
              <w:rPr>
                <w:rFonts w:hint="eastAsia"/>
                <w:color w:val="auto"/>
                <w:szCs w:val="21"/>
                <w:lang w:val="en-US" w:eastAsia="zh-CN"/>
              </w:rPr>
              <w:t>2</w:t>
            </w:r>
            <w:r>
              <w:rPr>
                <w:rFonts w:hint="eastAsia"/>
                <w:color w:val="auto"/>
                <w:szCs w:val="21"/>
              </w:rPr>
              <w:t>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vMerge w:val="continue"/>
            <w:noWrap w:val="0"/>
            <w:vAlign w:val="center"/>
          </w:tcPr>
          <w:p>
            <w:pPr>
              <w:adjustRightInd w:val="0"/>
              <w:snapToGrid w:val="0"/>
              <w:jc w:val="center"/>
              <w:rPr>
                <w:color w:val="auto"/>
                <w:szCs w:val="21"/>
              </w:rPr>
            </w:pPr>
          </w:p>
        </w:tc>
        <w:tc>
          <w:tcPr>
            <w:tcW w:w="1144" w:type="pct"/>
            <w:noWrap w:val="0"/>
            <w:vAlign w:val="center"/>
          </w:tcPr>
          <w:p>
            <w:pPr>
              <w:adjustRightInd w:val="0"/>
              <w:snapToGrid w:val="0"/>
              <w:jc w:val="left"/>
              <w:rPr>
                <w:rFonts w:hint="eastAsia"/>
                <w:color w:val="auto"/>
                <w:szCs w:val="21"/>
              </w:rPr>
            </w:pPr>
            <w:r>
              <w:rPr>
                <w:rFonts w:hint="eastAsia"/>
                <w:color w:val="auto"/>
                <w:szCs w:val="21"/>
              </w:rPr>
              <w:t>废气</w:t>
            </w:r>
          </w:p>
          <w:p>
            <w:pPr>
              <w:adjustRightInd w:val="0"/>
              <w:snapToGrid w:val="0"/>
              <w:jc w:val="left"/>
              <w:rPr>
                <w:rFonts w:hint="eastAsia"/>
                <w:color w:val="auto"/>
                <w:szCs w:val="21"/>
              </w:rPr>
            </w:pPr>
            <w:r>
              <w:rPr>
                <w:rFonts w:hint="eastAsia"/>
                <w:color w:val="auto"/>
                <w:szCs w:val="21"/>
              </w:rPr>
              <w:t>①监测地点：</w:t>
            </w:r>
            <w:r>
              <w:rPr>
                <w:rFonts w:hint="eastAsia"/>
                <w:color w:val="auto"/>
                <w:szCs w:val="21"/>
                <w:lang w:val="en-US" w:eastAsia="zh-CN"/>
              </w:rPr>
              <w:t>山脚村</w:t>
            </w:r>
          </w:p>
          <w:p>
            <w:pPr>
              <w:adjustRightInd w:val="0"/>
              <w:snapToGrid w:val="0"/>
              <w:jc w:val="left"/>
              <w:rPr>
                <w:rFonts w:hint="eastAsia"/>
                <w:color w:val="auto"/>
                <w:szCs w:val="21"/>
              </w:rPr>
            </w:pPr>
            <w:r>
              <w:rPr>
                <w:rFonts w:hint="eastAsia"/>
                <w:color w:val="auto"/>
                <w:szCs w:val="21"/>
              </w:rPr>
              <w:t>②监测因子：</w:t>
            </w:r>
            <w:r>
              <w:rPr>
                <w:rFonts w:hint="eastAsia"/>
                <w:color w:val="auto"/>
                <w:szCs w:val="21"/>
                <w:lang w:val="en-US" w:eastAsia="zh-CN"/>
              </w:rPr>
              <w:t>T</w:t>
            </w:r>
            <w:r>
              <w:rPr>
                <w:rFonts w:hint="eastAsia"/>
                <w:color w:val="auto"/>
                <w:szCs w:val="21"/>
              </w:rPr>
              <w:t>SP</w:t>
            </w:r>
          </w:p>
          <w:p>
            <w:pPr>
              <w:adjustRightInd w:val="0"/>
              <w:snapToGrid w:val="0"/>
              <w:jc w:val="left"/>
              <w:rPr>
                <w:rFonts w:hint="eastAsia"/>
                <w:color w:val="auto"/>
                <w:szCs w:val="21"/>
              </w:rPr>
            </w:pPr>
            <w:r>
              <w:rPr>
                <w:rFonts w:hint="eastAsia"/>
                <w:color w:val="auto"/>
                <w:szCs w:val="21"/>
              </w:rPr>
              <w:t>③监测频率：施工高峰期监测1次</w:t>
            </w:r>
          </w:p>
        </w:tc>
        <w:tc>
          <w:tcPr>
            <w:tcW w:w="1133" w:type="pct"/>
            <w:noWrap w:val="0"/>
            <w:vAlign w:val="center"/>
          </w:tcPr>
          <w:p>
            <w:pPr>
              <w:adjustRightInd w:val="0"/>
              <w:snapToGrid w:val="0"/>
              <w:jc w:val="left"/>
              <w:rPr>
                <w:rFonts w:hint="eastAsia"/>
                <w:color w:val="auto"/>
                <w:szCs w:val="21"/>
              </w:rPr>
            </w:pPr>
            <w:r>
              <w:rPr>
                <w:rFonts w:hint="eastAsia"/>
                <w:color w:val="auto"/>
                <w:szCs w:val="21"/>
              </w:rPr>
              <w:t>无组织排放达到《大气污染物综合排放标准》要求</w:t>
            </w:r>
          </w:p>
        </w:tc>
        <w:tc>
          <w:tcPr>
            <w:tcW w:w="1224" w:type="pct"/>
            <w:noWrap w:val="0"/>
            <w:vAlign w:val="center"/>
          </w:tcPr>
          <w:p>
            <w:pPr>
              <w:adjustRightInd w:val="0"/>
              <w:snapToGrid w:val="0"/>
              <w:jc w:val="center"/>
              <w:rPr>
                <w:rFonts w:hint="eastAsia"/>
                <w:color w:val="auto"/>
                <w:szCs w:val="21"/>
              </w:rPr>
            </w:pPr>
            <w:r>
              <w:rPr>
                <w:rFonts w:hint="eastAsia"/>
                <w:color w:val="auto"/>
                <w:szCs w:val="21"/>
              </w:rPr>
              <w:t>/</w:t>
            </w:r>
          </w:p>
        </w:tc>
        <w:tc>
          <w:tcPr>
            <w:tcW w:w="1237" w:type="pct"/>
            <w:noWrap w:val="0"/>
            <w:vAlign w:val="center"/>
          </w:tcPr>
          <w:p>
            <w:pPr>
              <w:adjustRightInd w:val="0"/>
              <w:snapToGrid w:val="0"/>
              <w:jc w:val="center"/>
              <w:rPr>
                <w:rFonts w:hint="eastAsia"/>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59" w:type="pct"/>
            <w:noWrap w:val="0"/>
            <w:vAlign w:val="center"/>
          </w:tcPr>
          <w:p>
            <w:pPr>
              <w:adjustRightInd w:val="0"/>
              <w:snapToGrid w:val="0"/>
              <w:jc w:val="center"/>
              <w:rPr>
                <w:color w:val="auto"/>
                <w:szCs w:val="21"/>
              </w:rPr>
            </w:pPr>
            <w:r>
              <w:rPr>
                <w:color w:val="auto"/>
                <w:szCs w:val="21"/>
              </w:rPr>
              <w:t>其他</w:t>
            </w:r>
          </w:p>
        </w:tc>
        <w:tc>
          <w:tcPr>
            <w:tcW w:w="1144" w:type="pct"/>
            <w:noWrap w:val="0"/>
            <w:vAlign w:val="center"/>
          </w:tcPr>
          <w:p>
            <w:pPr>
              <w:adjustRightInd w:val="0"/>
              <w:snapToGrid w:val="0"/>
              <w:jc w:val="center"/>
              <w:rPr>
                <w:color w:val="auto"/>
                <w:szCs w:val="21"/>
              </w:rPr>
            </w:pPr>
            <w:r>
              <w:rPr>
                <w:color w:val="auto"/>
                <w:szCs w:val="21"/>
              </w:rPr>
              <w:t>/</w:t>
            </w:r>
          </w:p>
        </w:tc>
        <w:tc>
          <w:tcPr>
            <w:tcW w:w="1133" w:type="pct"/>
            <w:noWrap w:val="0"/>
            <w:vAlign w:val="center"/>
          </w:tcPr>
          <w:p>
            <w:pPr>
              <w:adjustRightInd w:val="0"/>
              <w:snapToGrid w:val="0"/>
              <w:jc w:val="center"/>
              <w:rPr>
                <w:color w:val="auto"/>
                <w:szCs w:val="21"/>
              </w:rPr>
            </w:pPr>
            <w:r>
              <w:rPr>
                <w:color w:val="auto"/>
                <w:szCs w:val="21"/>
              </w:rPr>
              <w:t>/</w:t>
            </w:r>
          </w:p>
        </w:tc>
        <w:tc>
          <w:tcPr>
            <w:tcW w:w="1224" w:type="pct"/>
            <w:noWrap w:val="0"/>
            <w:vAlign w:val="center"/>
          </w:tcPr>
          <w:p>
            <w:pPr>
              <w:adjustRightInd w:val="0"/>
              <w:snapToGrid w:val="0"/>
              <w:jc w:val="center"/>
              <w:rPr>
                <w:color w:val="auto"/>
                <w:szCs w:val="21"/>
              </w:rPr>
            </w:pPr>
            <w:r>
              <w:rPr>
                <w:rFonts w:hint="eastAsia"/>
                <w:color w:val="auto"/>
                <w:szCs w:val="21"/>
              </w:rPr>
              <w:t>/</w:t>
            </w:r>
          </w:p>
        </w:tc>
        <w:tc>
          <w:tcPr>
            <w:tcW w:w="1237" w:type="pct"/>
            <w:noWrap w:val="0"/>
            <w:vAlign w:val="center"/>
          </w:tcPr>
          <w:p>
            <w:pPr>
              <w:adjustRightInd w:val="0"/>
              <w:snapToGrid w:val="0"/>
              <w:jc w:val="center"/>
              <w:rPr>
                <w:color w:val="auto"/>
                <w:szCs w:val="21"/>
              </w:rPr>
            </w:pPr>
            <w:r>
              <w:rPr>
                <w:rFonts w:hint="eastAsia"/>
                <w:color w:val="auto"/>
                <w:szCs w:val="21"/>
              </w:rPr>
              <w:t>/</w:t>
            </w:r>
          </w:p>
        </w:tc>
      </w:tr>
    </w:tbl>
    <w:p>
      <w:pPr>
        <w:pStyle w:val="82"/>
        <w:jc w:val="center"/>
        <w:outlineLvl w:val="0"/>
        <w:rPr>
          <w:rFonts w:ascii="Times New Roman" w:hAnsi="Times New Roman"/>
          <w:snapToGrid w:val="0"/>
          <w:color w:val="auto"/>
          <w:sz w:val="30"/>
          <w:szCs w:val="30"/>
        </w:rPr>
        <w:sectPr>
          <w:pgSz w:w="11906" w:h="16838"/>
          <w:pgMar w:top="1440" w:right="1800" w:bottom="1440" w:left="1800" w:header="851" w:footer="1077" w:gutter="0"/>
          <w:pgNumType w:fmt="decimal"/>
          <w:cols w:space="720" w:num="1"/>
          <w:docGrid w:linePitch="312" w:charSpace="0"/>
        </w:sectPr>
      </w:pPr>
      <w:bookmarkStart w:id="103" w:name="_Toc83158354"/>
      <w:bookmarkStart w:id="104" w:name="_Toc83158519"/>
    </w:p>
    <w:p>
      <w:pPr>
        <w:pStyle w:val="82"/>
        <w:jc w:val="center"/>
        <w:outlineLvl w:val="0"/>
        <w:rPr>
          <w:rFonts w:ascii="Times New Roman" w:hAnsi="Times New Roman"/>
          <w:snapToGrid w:val="0"/>
          <w:color w:val="auto"/>
          <w:sz w:val="30"/>
          <w:szCs w:val="30"/>
        </w:rPr>
        <w:sectPr>
          <w:type w:val="continuous"/>
          <w:pgSz w:w="11906" w:h="16838"/>
          <w:pgMar w:top="1440" w:right="1800" w:bottom="1440" w:left="1800" w:header="851" w:footer="1077" w:gutter="0"/>
          <w:pgNumType w:fmt="decimal"/>
          <w:cols w:space="720" w:num="1"/>
          <w:docGrid w:linePitch="312" w:charSpace="0"/>
        </w:sectPr>
      </w:pPr>
    </w:p>
    <w:p>
      <w:pPr>
        <w:pStyle w:val="82"/>
        <w:jc w:val="center"/>
        <w:outlineLvl w:val="0"/>
        <w:rPr>
          <w:rFonts w:hint="eastAsia" w:ascii="黑体" w:hAnsi="黑体" w:eastAsia="黑体" w:cs="黑体"/>
          <w:snapToGrid w:val="0"/>
          <w:color w:val="auto"/>
          <w:sz w:val="30"/>
          <w:szCs w:val="30"/>
        </w:rPr>
      </w:pPr>
      <w:r>
        <w:rPr>
          <w:rFonts w:hint="eastAsia" w:ascii="黑体" w:hAnsi="黑体" w:eastAsia="黑体" w:cs="黑体"/>
          <w:snapToGrid w:val="0"/>
          <w:color w:val="auto"/>
          <w:sz w:val="30"/>
          <w:szCs w:val="30"/>
        </w:rPr>
        <w:t>七、结论</w:t>
      </w:r>
      <w:bookmarkEnd w:id="103"/>
      <w:bookmarkEnd w:id="104"/>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2" w:hRule="atLeast"/>
        </w:trPr>
        <w:tc>
          <w:tcPr>
            <w:tcW w:w="8522" w:type="dxa"/>
            <w:noWrap w:val="0"/>
            <w:vAlign w:val="top"/>
          </w:tcPr>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7.1评价结论</w:t>
            </w:r>
          </w:p>
          <w:p>
            <w:pPr>
              <w:adjustRightInd w:val="0"/>
              <w:snapToGrid w:val="0"/>
              <w:spacing w:line="360" w:lineRule="auto"/>
              <w:ind w:firstLine="480" w:firstLineChars="200"/>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本项目符合国家产业政策、相关规划、三线一单控制要求、环保政策要求。项目无重大环境制约因素，选址合理。项目在设计和施工过程中按环评及水土保持方案提出的生态保护和污染防治措施落实后，产生的环境影响满足相应环境保护标准要求，对当地生态环境、声环境、大气环境、水环境等的影响很小，不会改变项目所在区域环境功能。从环保角度分析，项目建设是可行的。</w:t>
            </w:r>
          </w:p>
          <w:p>
            <w:pPr>
              <w:pStyle w:val="160"/>
              <w:keepNext w:val="0"/>
              <w:keepLines w:val="0"/>
              <w:pageBreakBefore w:val="0"/>
              <w:widowControl w:val="0"/>
              <w:kinsoku/>
              <w:wordWrap/>
              <w:overflowPunct/>
              <w:topLinePunct w:val="0"/>
              <w:autoSpaceDE/>
              <w:autoSpaceDN/>
              <w:bidi w:val="0"/>
              <w:adjustRightInd w:val="0"/>
              <w:snapToGrid w:val="0"/>
              <w:spacing w:after="0" w:line="480" w:lineRule="auto"/>
              <w:ind w:left="0"/>
              <w:jc w:val="both"/>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7.2建议</w:t>
            </w:r>
          </w:p>
          <w:p>
            <w:pPr>
              <w:adjustRightInd w:val="0"/>
              <w:snapToGrid w:val="0"/>
              <w:spacing w:line="360" w:lineRule="auto"/>
              <w:ind w:firstLine="480" w:firstLineChars="200"/>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（1）环保设施与主体工程要求同时设计、同时施工、同时投产。</w:t>
            </w:r>
          </w:p>
          <w:p>
            <w:pPr>
              <w:adjustRightInd w:val="0"/>
              <w:snapToGrid w:val="0"/>
              <w:spacing w:line="360" w:lineRule="auto"/>
              <w:ind w:firstLine="480" w:firstLineChars="200"/>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（2）项目建设、运营期间应加强与周边敏感点居民的沟通交流工作，消除周围居民担忧。</w:t>
            </w:r>
          </w:p>
          <w:p>
            <w:pPr>
              <w:adjustRightInd w:val="0"/>
              <w:snapToGrid w:val="0"/>
              <w:spacing w:line="360" w:lineRule="auto"/>
              <w:ind w:firstLine="480" w:firstLineChars="200"/>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（3）加强企业环保管理力度，增加环保知识培训，提高员工环境保护意识。</w:t>
            </w:r>
          </w:p>
          <w:p>
            <w:pPr>
              <w:pStyle w:val="82"/>
              <w:jc w:val="both"/>
              <w:outlineLvl w:val="0"/>
              <w:rPr>
                <w:rFonts w:ascii="Times New Roman" w:hAnsi="Times New Roman"/>
                <w:snapToGrid w:val="0"/>
                <w:color w:val="auto"/>
                <w:sz w:val="30"/>
                <w:szCs w:val="30"/>
                <w:lang w:val="en-US" w:eastAsia="zh-CN"/>
              </w:rPr>
            </w:pPr>
          </w:p>
          <w:p>
            <w:pPr>
              <w:pStyle w:val="82"/>
              <w:jc w:val="both"/>
              <w:outlineLvl w:val="0"/>
              <w:rPr>
                <w:rFonts w:ascii="Times New Roman" w:hAnsi="Times New Roman"/>
                <w:snapToGrid w:val="0"/>
                <w:color w:val="auto"/>
                <w:sz w:val="30"/>
                <w:szCs w:val="30"/>
                <w:lang w:val="en-US" w:eastAsia="zh-CN"/>
              </w:rPr>
            </w:pPr>
          </w:p>
          <w:p>
            <w:pPr>
              <w:pStyle w:val="82"/>
              <w:jc w:val="both"/>
              <w:outlineLvl w:val="0"/>
              <w:rPr>
                <w:rFonts w:ascii="Times New Roman" w:hAnsi="Times New Roman"/>
                <w:snapToGrid w:val="0"/>
                <w:color w:val="auto"/>
                <w:sz w:val="30"/>
                <w:szCs w:val="30"/>
                <w:lang w:val="en-US" w:eastAsia="zh-CN"/>
              </w:rPr>
            </w:pPr>
          </w:p>
          <w:p>
            <w:pPr>
              <w:pStyle w:val="82"/>
              <w:jc w:val="both"/>
              <w:outlineLvl w:val="0"/>
              <w:rPr>
                <w:rFonts w:hint="eastAsia" w:ascii="Times New Roman" w:hAnsi="Times New Roman"/>
                <w:snapToGrid w:val="0"/>
                <w:color w:val="auto"/>
                <w:sz w:val="30"/>
                <w:szCs w:val="30"/>
                <w:lang w:val="en-US" w:eastAsia="zh-CN"/>
              </w:rPr>
            </w:pPr>
          </w:p>
        </w:tc>
      </w:tr>
    </w:tbl>
    <w:p>
      <w:pPr>
        <w:pStyle w:val="126"/>
        <w:rPr>
          <w:rFonts w:hint="eastAsia"/>
          <w:color w:val="auto"/>
        </w:rPr>
      </w:pPr>
    </w:p>
    <w:sectPr>
      <w:footerReference r:id="rId6" w:type="default"/>
      <w:pgSz w:w="11906" w:h="16838"/>
      <w:pgMar w:top="1440" w:right="1800" w:bottom="1440" w:left="1800"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华文细黑">
    <w:altName w:val="汉仪中等线简"/>
    <w:panose1 w:val="02010600040101010101"/>
    <w:charset w:val="86"/>
    <w:family w:val="auto"/>
    <w:pitch w:val="default"/>
    <w:sig w:usb0="00000000" w:usb1="00000000" w:usb2="00000000" w:usb3="00000000" w:csb0="0004009F" w:csb1="DFD70000"/>
  </w:font>
  <w:font w:name="??">
    <w:altName w:val="Times New Roman"/>
    <w:panose1 w:val="00000000000000000000"/>
    <w:charset w:val="00"/>
    <w:family w:val="roman"/>
    <w:pitch w:val="default"/>
    <w:sig w:usb0="00000000" w:usb1="00000000" w:usb2="00000000" w:usb3="00000000" w:csb0="00000001" w:csb1="00000000"/>
  </w:font>
  <w:font w:name="Bold">
    <w:altName w:val="Times New Roman"/>
    <w:panose1 w:val="00000000000000000000"/>
    <w:charset w:val="00"/>
    <w:family w:val="roman"/>
    <w:pitch w:val="default"/>
    <w:sig w:usb0="00000000" w:usb1="00000000" w:usb2="00000000" w:usb3="00000000" w:csb0="00040001" w:csb1="00000000"/>
  </w:font>
  <w:font w:name="Microsoft YaHei UI">
    <w:altName w:val="微软雅黑"/>
    <w:panose1 w:val="020B0503020204020204"/>
    <w:charset w:val="86"/>
    <w:family w:val="swiss"/>
    <w:pitch w:val="default"/>
    <w:sig w:usb0="00000000" w:usb1="00000000" w:usb2="00000016" w:usb3="00000000" w:csb0="0004001F" w:csb1="00000000"/>
  </w:font>
  <w:font w:name="Century Gothic">
    <w:altName w:val="Trebuchet MS"/>
    <w:panose1 w:val="020B0502020202020204"/>
    <w:charset w:val="00"/>
    <w:family w:val="swiss"/>
    <w:pitch w:val="default"/>
    <w:sig w:usb0="00000000"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华文中宋">
    <w:altName w:val="汉仪中宋简"/>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姚体">
    <w:altName w:val="宋体"/>
    <w:panose1 w:val="02010601030101010101"/>
    <w:charset w:val="86"/>
    <w:family w:val="auto"/>
    <w:pitch w:val="default"/>
    <w:sig w:usb0="00000000" w:usb1="00000000" w:usb2="00000000" w:usb3="00000000" w:csb0="00040000" w:csb1="00000000"/>
  </w:font>
  <w:font w:name="木?能字?">
    <w:altName w:val="Malgun Gothic"/>
    <w:panose1 w:val="00000000000000000000"/>
    <w:charset w:val="81"/>
    <w:family w:val="roman"/>
    <w:pitch w:val="default"/>
    <w:sig w:usb0="00000000" w:usb1="00000000" w:usb2="00000010" w:usb3="00000000" w:csb0="00080000" w:csb1="00000000"/>
  </w:font>
  <w:font w:name="Arial Narrow">
    <w:altName w:val="Times New Roman"/>
    <w:panose1 w:val="020B0606020202030204"/>
    <w:charset w:val="00"/>
    <w:family w:val="swiss"/>
    <w:pitch w:val="default"/>
    <w:sig w:usb0="00000000"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宋体">
    <w:panose1 w:val="02010600030101010101"/>
    <w:charset w:val="86"/>
    <w:family w:val="auto"/>
    <w:pitch w:val="default"/>
    <w:sig w:usb0="00000003" w:usb1="288F0000" w:usb2="00000006" w:usb3="00000000" w:csb0="00040001" w:csb1="00000000"/>
  </w:font>
  <w:font w:name="华文楷体">
    <w:altName w:val="方正楷体_GBK"/>
    <w:panose1 w:val="02010600040101010101"/>
    <w:charset w:val="86"/>
    <w:family w:val="auto"/>
    <w:pitch w:val="default"/>
    <w:sig w:usb0="00000000" w:usb1="00000000" w:usb2="00000000" w:usb3="00000000" w:csb0="0004009F" w:csb1="DFD70000"/>
  </w:font>
  <w:font w:name="AdobeHeitiStd-Regular">
    <w:altName w:val="黑体"/>
    <w:panose1 w:val="00000000000000000000"/>
    <w:charset w:val="86"/>
    <w:family w:val="auto"/>
    <w:pitch w:val="default"/>
    <w:sig w:usb0="00000000" w:usb1="00000000" w:usb2="00000010" w:usb3="00000000" w:csb0="00040000" w:csb1="00000000"/>
  </w:font>
  <w:font w:name="华文新魏">
    <w:altName w:val="方正魏碑_GBK"/>
    <w:panose1 w:val="02010800040101010101"/>
    <w:charset w:val="86"/>
    <w:family w:val="auto"/>
    <w:pitch w:val="default"/>
    <w:sig w:usb0="00000000" w:usb1="00000000" w:usb2="00000000" w:usb3="00000000" w:csb0="00040000" w:csb1="00000000"/>
  </w:font>
  <w:font w:name="JKIKGP+CenturyGothic">
    <w:altName w:val="宋体"/>
    <w:panose1 w:val="00000000000000000000"/>
    <w:charset w:val="86"/>
    <w:family w:val="swiss"/>
    <w:pitch w:val="default"/>
    <w:sig w:usb0="00000000" w:usb1="00000000" w:usb2="00000010" w:usb3="00000000" w:csb0="00040000" w:csb1="00000000"/>
  </w:font>
  <w:font w:name="Garamond">
    <w:altName w:val="Andalus"/>
    <w:panose1 w:val="02020404030301010803"/>
    <w:charset w:val="00"/>
    <w:family w:val="roman"/>
    <w:pitch w:val="default"/>
    <w:sig w:usb0="00000000" w:usb1="00000000" w:usb2="00000000" w:usb3="00000000" w:csb0="0000009F" w:csb1="DFD70000"/>
  </w:font>
  <w:font w:name="幼圆">
    <w:altName w:val="仿宋"/>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outside" w:y="1"/>
      <w:rPr>
        <w:rStyle w:val="94"/>
      </w:rPr>
    </w:pPr>
    <w:r>
      <w:fldChar w:fldCharType="begin"/>
    </w:r>
    <w:r>
      <w:rPr>
        <w:rStyle w:val="94"/>
      </w:rPr>
      <w:instrText xml:space="preserve">PAGE  </w:instrText>
    </w:r>
    <w:r>
      <w:fldChar w:fldCharType="end"/>
    </w:r>
  </w:p>
  <w:p>
    <w:pPr>
      <w:pStyle w:val="5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M6pebnPAAAABQEAAA8AAAAAAAAAAQAgAAAAOAAA&#10;AGRycy9kb3ducmV2LnhtbFBLAQIUABQAAAAIAIdO4kCJeVf4wgEAAHADAAAOAAAAAAAAAAEAIAAA&#10;ADQBAABkcnMvZTJvRG9jLnhtbFBLBQYAAAAABgAGAFkBAABoBQAAAAA=&#10;">
              <v:fill on="f" focussize="0,0"/>
              <v:stroke on="f"/>
              <v:imagedata o:title=""/>
              <o:lock v:ext="edit" aspectratio="f"/>
              <v:textbox inset="0mm,0mm,0mm,0mm" style="mso-fit-shape-to-text:t;">
                <w:txbxContent>
                  <w:p>
                    <w:pPr>
                      <w:pStyle w:val="5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M6pebnPAAAABQEAAA8AAAAAAAAAAQAgAAAAOAAA&#10;AGRycy9kb3ducmV2LnhtbFBLAQIUABQAAAAIAIdO4kCu3wibwgEAAHADAAAOAAAAAAAAAAEAIAAA&#10;ADQBAABkcnMvZTJvRG9jLnhtbFBLBQYAAAAABgAGAFkBAABoBQAAAAA=&#10;">
              <v:fill on="f" focussize="0,0"/>
              <v:stroke on="f"/>
              <v:imagedata o:title=""/>
              <o:lock v:ext="edit" aspectratio="f"/>
              <v:textbox inset="0mm,0mm,0mm,0mm" style="mso-fit-shape-to-text:t;">
                <w:txbxContent>
                  <w:p>
                    <w:pPr>
                      <w:pStyle w:val="5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xZDMwMmIzYTg1MDhmMDhhOGZkM2IwNjlkYjU1ZDAifQ=="/>
  </w:docVars>
  <w:rsids>
    <w:rsidRoot w:val="00172A27"/>
    <w:rsid w:val="00001CED"/>
    <w:rsid w:val="00001E67"/>
    <w:rsid w:val="00002CE2"/>
    <w:rsid w:val="00003CD8"/>
    <w:rsid w:val="00005130"/>
    <w:rsid w:val="00014965"/>
    <w:rsid w:val="0001523A"/>
    <w:rsid w:val="00016ECB"/>
    <w:rsid w:val="000269F6"/>
    <w:rsid w:val="0003073A"/>
    <w:rsid w:val="00031939"/>
    <w:rsid w:val="00032D25"/>
    <w:rsid w:val="00037C6B"/>
    <w:rsid w:val="0005219D"/>
    <w:rsid w:val="0005568F"/>
    <w:rsid w:val="00056E11"/>
    <w:rsid w:val="0006153D"/>
    <w:rsid w:val="00061B1F"/>
    <w:rsid w:val="000664DB"/>
    <w:rsid w:val="0007127D"/>
    <w:rsid w:val="00071AE5"/>
    <w:rsid w:val="000723AA"/>
    <w:rsid w:val="00074783"/>
    <w:rsid w:val="00074EDC"/>
    <w:rsid w:val="000801E0"/>
    <w:rsid w:val="00082A29"/>
    <w:rsid w:val="0008331D"/>
    <w:rsid w:val="00083C18"/>
    <w:rsid w:val="000855C1"/>
    <w:rsid w:val="0009145E"/>
    <w:rsid w:val="00092899"/>
    <w:rsid w:val="00096A3E"/>
    <w:rsid w:val="00097625"/>
    <w:rsid w:val="00097B5B"/>
    <w:rsid w:val="000A178E"/>
    <w:rsid w:val="000A557E"/>
    <w:rsid w:val="000A5F14"/>
    <w:rsid w:val="000A6370"/>
    <w:rsid w:val="000A63B3"/>
    <w:rsid w:val="000A64F6"/>
    <w:rsid w:val="000B058F"/>
    <w:rsid w:val="000B693F"/>
    <w:rsid w:val="000B6FF9"/>
    <w:rsid w:val="000C09AC"/>
    <w:rsid w:val="000C0A63"/>
    <w:rsid w:val="000C437E"/>
    <w:rsid w:val="000C58E7"/>
    <w:rsid w:val="000E1F4A"/>
    <w:rsid w:val="000E2BF5"/>
    <w:rsid w:val="000E5F16"/>
    <w:rsid w:val="000E6EB3"/>
    <w:rsid w:val="000F0688"/>
    <w:rsid w:val="000F29A8"/>
    <w:rsid w:val="000F4452"/>
    <w:rsid w:val="000F474B"/>
    <w:rsid w:val="000F6DA1"/>
    <w:rsid w:val="000F701B"/>
    <w:rsid w:val="001046E4"/>
    <w:rsid w:val="00104BF3"/>
    <w:rsid w:val="001056A0"/>
    <w:rsid w:val="00115279"/>
    <w:rsid w:val="00117459"/>
    <w:rsid w:val="0011749A"/>
    <w:rsid w:val="0012050A"/>
    <w:rsid w:val="00120F2B"/>
    <w:rsid w:val="00121884"/>
    <w:rsid w:val="00124649"/>
    <w:rsid w:val="00127A68"/>
    <w:rsid w:val="00140B13"/>
    <w:rsid w:val="00141B68"/>
    <w:rsid w:val="001466DA"/>
    <w:rsid w:val="00154DE1"/>
    <w:rsid w:val="00155B40"/>
    <w:rsid w:val="00157435"/>
    <w:rsid w:val="001613B8"/>
    <w:rsid w:val="00163EEA"/>
    <w:rsid w:val="00167762"/>
    <w:rsid w:val="00167A07"/>
    <w:rsid w:val="0017046A"/>
    <w:rsid w:val="001704A3"/>
    <w:rsid w:val="0017504D"/>
    <w:rsid w:val="00175DA7"/>
    <w:rsid w:val="0017628E"/>
    <w:rsid w:val="00177422"/>
    <w:rsid w:val="00184F10"/>
    <w:rsid w:val="00185546"/>
    <w:rsid w:val="0019146B"/>
    <w:rsid w:val="00194398"/>
    <w:rsid w:val="001A67BE"/>
    <w:rsid w:val="001A7D2A"/>
    <w:rsid w:val="001B112D"/>
    <w:rsid w:val="001B574C"/>
    <w:rsid w:val="001C06E0"/>
    <w:rsid w:val="001C0AF9"/>
    <w:rsid w:val="001C0F05"/>
    <w:rsid w:val="001C155A"/>
    <w:rsid w:val="001C2C64"/>
    <w:rsid w:val="001C48C0"/>
    <w:rsid w:val="001C4F98"/>
    <w:rsid w:val="001C7B72"/>
    <w:rsid w:val="001D2C8E"/>
    <w:rsid w:val="001D36B5"/>
    <w:rsid w:val="001D637A"/>
    <w:rsid w:val="001D6726"/>
    <w:rsid w:val="001E2F23"/>
    <w:rsid w:val="001F3347"/>
    <w:rsid w:val="001F4440"/>
    <w:rsid w:val="001F69E4"/>
    <w:rsid w:val="001F6B1C"/>
    <w:rsid w:val="001F7158"/>
    <w:rsid w:val="00205FE5"/>
    <w:rsid w:val="00206A65"/>
    <w:rsid w:val="00212D31"/>
    <w:rsid w:val="002130C7"/>
    <w:rsid w:val="002144A8"/>
    <w:rsid w:val="00215E0A"/>
    <w:rsid w:val="002218A8"/>
    <w:rsid w:val="0022306D"/>
    <w:rsid w:val="00226574"/>
    <w:rsid w:val="002278EC"/>
    <w:rsid w:val="00230FB3"/>
    <w:rsid w:val="00233BCA"/>
    <w:rsid w:val="00233E3E"/>
    <w:rsid w:val="00234DC5"/>
    <w:rsid w:val="002357C7"/>
    <w:rsid w:val="002367C4"/>
    <w:rsid w:val="00242CE2"/>
    <w:rsid w:val="00243E70"/>
    <w:rsid w:val="0025006F"/>
    <w:rsid w:val="0025146D"/>
    <w:rsid w:val="00254638"/>
    <w:rsid w:val="0025679E"/>
    <w:rsid w:val="00260C68"/>
    <w:rsid w:val="0026173A"/>
    <w:rsid w:val="002648B0"/>
    <w:rsid w:val="00266AAA"/>
    <w:rsid w:val="00270B34"/>
    <w:rsid w:val="00275271"/>
    <w:rsid w:val="0027535E"/>
    <w:rsid w:val="00275AA6"/>
    <w:rsid w:val="00277C4C"/>
    <w:rsid w:val="002807D5"/>
    <w:rsid w:val="00282CCD"/>
    <w:rsid w:val="00287453"/>
    <w:rsid w:val="00293276"/>
    <w:rsid w:val="00293823"/>
    <w:rsid w:val="002A168C"/>
    <w:rsid w:val="002A1C51"/>
    <w:rsid w:val="002A25F0"/>
    <w:rsid w:val="002A2C48"/>
    <w:rsid w:val="002A2DEC"/>
    <w:rsid w:val="002A3EED"/>
    <w:rsid w:val="002A4A39"/>
    <w:rsid w:val="002A5A17"/>
    <w:rsid w:val="002A6425"/>
    <w:rsid w:val="002A6549"/>
    <w:rsid w:val="002B49E2"/>
    <w:rsid w:val="002B7B00"/>
    <w:rsid w:val="002B7B1F"/>
    <w:rsid w:val="002B7C44"/>
    <w:rsid w:val="002C1388"/>
    <w:rsid w:val="002C2E58"/>
    <w:rsid w:val="002C3C6A"/>
    <w:rsid w:val="002D28E1"/>
    <w:rsid w:val="002D42DB"/>
    <w:rsid w:val="002D476C"/>
    <w:rsid w:val="002D67F9"/>
    <w:rsid w:val="002E1F3A"/>
    <w:rsid w:val="002E298A"/>
    <w:rsid w:val="002E2E98"/>
    <w:rsid w:val="002E4227"/>
    <w:rsid w:val="002F0082"/>
    <w:rsid w:val="002F02A4"/>
    <w:rsid w:val="002F272B"/>
    <w:rsid w:val="002F2D54"/>
    <w:rsid w:val="002F3C87"/>
    <w:rsid w:val="002F7C6D"/>
    <w:rsid w:val="003027E4"/>
    <w:rsid w:val="0030332C"/>
    <w:rsid w:val="003103A3"/>
    <w:rsid w:val="00310C38"/>
    <w:rsid w:val="00312296"/>
    <w:rsid w:val="00312CA0"/>
    <w:rsid w:val="0031340E"/>
    <w:rsid w:val="00316464"/>
    <w:rsid w:val="00316C53"/>
    <w:rsid w:val="003174A0"/>
    <w:rsid w:val="0032073A"/>
    <w:rsid w:val="0032171C"/>
    <w:rsid w:val="00321D8E"/>
    <w:rsid w:val="00331286"/>
    <w:rsid w:val="003314A7"/>
    <w:rsid w:val="00334996"/>
    <w:rsid w:val="00336969"/>
    <w:rsid w:val="00336C52"/>
    <w:rsid w:val="003400A1"/>
    <w:rsid w:val="00341B3E"/>
    <w:rsid w:val="00341B42"/>
    <w:rsid w:val="0034376A"/>
    <w:rsid w:val="003440D1"/>
    <w:rsid w:val="00345154"/>
    <w:rsid w:val="0034560E"/>
    <w:rsid w:val="00350523"/>
    <w:rsid w:val="00352975"/>
    <w:rsid w:val="00353217"/>
    <w:rsid w:val="00356868"/>
    <w:rsid w:val="00357908"/>
    <w:rsid w:val="00363C42"/>
    <w:rsid w:val="0036485B"/>
    <w:rsid w:val="0037052C"/>
    <w:rsid w:val="00373B0D"/>
    <w:rsid w:val="00374CBD"/>
    <w:rsid w:val="00376988"/>
    <w:rsid w:val="00381A72"/>
    <w:rsid w:val="00383C26"/>
    <w:rsid w:val="00387B85"/>
    <w:rsid w:val="00387BCA"/>
    <w:rsid w:val="00390F52"/>
    <w:rsid w:val="00397737"/>
    <w:rsid w:val="003A1762"/>
    <w:rsid w:val="003A1948"/>
    <w:rsid w:val="003A3866"/>
    <w:rsid w:val="003A4A32"/>
    <w:rsid w:val="003A5353"/>
    <w:rsid w:val="003B152A"/>
    <w:rsid w:val="003B2199"/>
    <w:rsid w:val="003B545B"/>
    <w:rsid w:val="003B6C28"/>
    <w:rsid w:val="003B782F"/>
    <w:rsid w:val="003D10F3"/>
    <w:rsid w:val="003D3EE9"/>
    <w:rsid w:val="003D45D8"/>
    <w:rsid w:val="003E29AD"/>
    <w:rsid w:val="003E7681"/>
    <w:rsid w:val="003F0809"/>
    <w:rsid w:val="003F5BAB"/>
    <w:rsid w:val="003F611C"/>
    <w:rsid w:val="003F755C"/>
    <w:rsid w:val="00403FBA"/>
    <w:rsid w:val="004046EE"/>
    <w:rsid w:val="00406F01"/>
    <w:rsid w:val="00411B36"/>
    <w:rsid w:val="004121D7"/>
    <w:rsid w:val="00416D50"/>
    <w:rsid w:val="00416E2F"/>
    <w:rsid w:val="00417772"/>
    <w:rsid w:val="00420E6A"/>
    <w:rsid w:val="0042269E"/>
    <w:rsid w:val="00426A37"/>
    <w:rsid w:val="004338F2"/>
    <w:rsid w:val="00433CA9"/>
    <w:rsid w:val="004346AF"/>
    <w:rsid w:val="0043521D"/>
    <w:rsid w:val="00435270"/>
    <w:rsid w:val="00442024"/>
    <w:rsid w:val="0044254C"/>
    <w:rsid w:val="00442BA7"/>
    <w:rsid w:val="00442E5B"/>
    <w:rsid w:val="004437DA"/>
    <w:rsid w:val="00443F6A"/>
    <w:rsid w:val="00445121"/>
    <w:rsid w:val="004476C9"/>
    <w:rsid w:val="004478B9"/>
    <w:rsid w:val="00450A17"/>
    <w:rsid w:val="00453DD4"/>
    <w:rsid w:val="0045665D"/>
    <w:rsid w:val="00456FBD"/>
    <w:rsid w:val="004608B7"/>
    <w:rsid w:val="00461BDD"/>
    <w:rsid w:val="00466321"/>
    <w:rsid w:val="00467179"/>
    <w:rsid w:val="004672AF"/>
    <w:rsid w:val="00470CDB"/>
    <w:rsid w:val="004727B0"/>
    <w:rsid w:val="00472DB2"/>
    <w:rsid w:val="0047366C"/>
    <w:rsid w:val="00480247"/>
    <w:rsid w:val="0048081D"/>
    <w:rsid w:val="0048117E"/>
    <w:rsid w:val="00481B73"/>
    <w:rsid w:val="004855F6"/>
    <w:rsid w:val="00485847"/>
    <w:rsid w:val="00485871"/>
    <w:rsid w:val="00486F0C"/>
    <w:rsid w:val="004915E2"/>
    <w:rsid w:val="00493C06"/>
    <w:rsid w:val="00494670"/>
    <w:rsid w:val="00497723"/>
    <w:rsid w:val="004A0077"/>
    <w:rsid w:val="004A0541"/>
    <w:rsid w:val="004A0EB4"/>
    <w:rsid w:val="004A3823"/>
    <w:rsid w:val="004A3A32"/>
    <w:rsid w:val="004A59BB"/>
    <w:rsid w:val="004B19C8"/>
    <w:rsid w:val="004B43A3"/>
    <w:rsid w:val="004B4C49"/>
    <w:rsid w:val="004B58A5"/>
    <w:rsid w:val="004B63D9"/>
    <w:rsid w:val="004C0882"/>
    <w:rsid w:val="004C55BE"/>
    <w:rsid w:val="004C6BFA"/>
    <w:rsid w:val="004C7E7B"/>
    <w:rsid w:val="004D17D3"/>
    <w:rsid w:val="004D6A71"/>
    <w:rsid w:val="004D7964"/>
    <w:rsid w:val="004E0113"/>
    <w:rsid w:val="004E36AD"/>
    <w:rsid w:val="004E5B30"/>
    <w:rsid w:val="004E5BEA"/>
    <w:rsid w:val="004F0779"/>
    <w:rsid w:val="004F1230"/>
    <w:rsid w:val="004F173F"/>
    <w:rsid w:val="004F177C"/>
    <w:rsid w:val="004F2DCE"/>
    <w:rsid w:val="004F3AC6"/>
    <w:rsid w:val="0050087B"/>
    <w:rsid w:val="005039CB"/>
    <w:rsid w:val="0050558F"/>
    <w:rsid w:val="005057E0"/>
    <w:rsid w:val="00506286"/>
    <w:rsid w:val="00510813"/>
    <w:rsid w:val="00510C91"/>
    <w:rsid w:val="00511DE0"/>
    <w:rsid w:val="00515B0A"/>
    <w:rsid w:val="00517F02"/>
    <w:rsid w:val="00523CC2"/>
    <w:rsid w:val="00524270"/>
    <w:rsid w:val="00524547"/>
    <w:rsid w:val="005258A2"/>
    <w:rsid w:val="00530F7C"/>
    <w:rsid w:val="00534567"/>
    <w:rsid w:val="00534F43"/>
    <w:rsid w:val="00535A84"/>
    <w:rsid w:val="00536889"/>
    <w:rsid w:val="00537D12"/>
    <w:rsid w:val="00542E07"/>
    <w:rsid w:val="00547D93"/>
    <w:rsid w:val="00554A7B"/>
    <w:rsid w:val="00555309"/>
    <w:rsid w:val="0055572C"/>
    <w:rsid w:val="0056064F"/>
    <w:rsid w:val="00561B84"/>
    <w:rsid w:val="0056290B"/>
    <w:rsid w:val="00571D98"/>
    <w:rsid w:val="005720AE"/>
    <w:rsid w:val="00574467"/>
    <w:rsid w:val="0058030D"/>
    <w:rsid w:val="00580605"/>
    <w:rsid w:val="00582045"/>
    <w:rsid w:val="00584F4B"/>
    <w:rsid w:val="00590AE3"/>
    <w:rsid w:val="005918F1"/>
    <w:rsid w:val="005A06B7"/>
    <w:rsid w:val="005A1759"/>
    <w:rsid w:val="005A61C1"/>
    <w:rsid w:val="005A6892"/>
    <w:rsid w:val="005B030A"/>
    <w:rsid w:val="005B0E9C"/>
    <w:rsid w:val="005B51FF"/>
    <w:rsid w:val="005C03BD"/>
    <w:rsid w:val="005C308C"/>
    <w:rsid w:val="005C30B4"/>
    <w:rsid w:val="005D0369"/>
    <w:rsid w:val="005D0F42"/>
    <w:rsid w:val="005D51F2"/>
    <w:rsid w:val="005D53FE"/>
    <w:rsid w:val="005D6B8E"/>
    <w:rsid w:val="005D7A0F"/>
    <w:rsid w:val="005E0438"/>
    <w:rsid w:val="005E1791"/>
    <w:rsid w:val="005E2CE6"/>
    <w:rsid w:val="005E6324"/>
    <w:rsid w:val="005F228B"/>
    <w:rsid w:val="005F2559"/>
    <w:rsid w:val="005F29CD"/>
    <w:rsid w:val="005F308F"/>
    <w:rsid w:val="005F3E56"/>
    <w:rsid w:val="005F4DFB"/>
    <w:rsid w:val="005F5E1F"/>
    <w:rsid w:val="005F6CC0"/>
    <w:rsid w:val="005F7E13"/>
    <w:rsid w:val="00603E5B"/>
    <w:rsid w:val="00604BC8"/>
    <w:rsid w:val="00611940"/>
    <w:rsid w:val="00614863"/>
    <w:rsid w:val="00615B4C"/>
    <w:rsid w:val="00615B5D"/>
    <w:rsid w:val="00616C9B"/>
    <w:rsid w:val="00620FDD"/>
    <w:rsid w:val="00621446"/>
    <w:rsid w:val="0062146F"/>
    <w:rsid w:val="00622C7F"/>
    <w:rsid w:val="00627F81"/>
    <w:rsid w:val="006300FA"/>
    <w:rsid w:val="006343AF"/>
    <w:rsid w:val="0063634A"/>
    <w:rsid w:val="00640E35"/>
    <w:rsid w:val="0064250D"/>
    <w:rsid w:val="0064521D"/>
    <w:rsid w:val="006461DB"/>
    <w:rsid w:val="00646812"/>
    <w:rsid w:val="00650F02"/>
    <w:rsid w:val="006535EB"/>
    <w:rsid w:val="00663016"/>
    <w:rsid w:val="00665A5B"/>
    <w:rsid w:val="006700B0"/>
    <w:rsid w:val="00674605"/>
    <w:rsid w:val="0067486F"/>
    <w:rsid w:val="006748B8"/>
    <w:rsid w:val="006774C4"/>
    <w:rsid w:val="00677985"/>
    <w:rsid w:val="0068535B"/>
    <w:rsid w:val="0068736E"/>
    <w:rsid w:val="0069290A"/>
    <w:rsid w:val="006951A6"/>
    <w:rsid w:val="00697032"/>
    <w:rsid w:val="006975AC"/>
    <w:rsid w:val="006A0531"/>
    <w:rsid w:val="006A0561"/>
    <w:rsid w:val="006A0FD5"/>
    <w:rsid w:val="006A15FB"/>
    <w:rsid w:val="006A27C9"/>
    <w:rsid w:val="006A70A5"/>
    <w:rsid w:val="006A72BF"/>
    <w:rsid w:val="006A790B"/>
    <w:rsid w:val="006A7ED8"/>
    <w:rsid w:val="006B332A"/>
    <w:rsid w:val="006B33BD"/>
    <w:rsid w:val="006C3F75"/>
    <w:rsid w:val="006C4EDF"/>
    <w:rsid w:val="006D170E"/>
    <w:rsid w:val="006E06AF"/>
    <w:rsid w:val="006E27DD"/>
    <w:rsid w:val="006E3098"/>
    <w:rsid w:val="006E6030"/>
    <w:rsid w:val="006F0A03"/>
    <w:rsid w:val="006F1789"/>
    <w:rsid w:val="006F435F"/>
    <w:rsid w:val="00703CDE"/>
    <w:rsid w:val="00705237"/>
    <w:rsid w:val="007067D2"/>
    <w:rsid w:val="00706C5D"/>
    <w:rsid w:val="007118E6"/>
    <w:rsid w:val="007132F8"/>
    <w:rsid w:val="007170D5"/>
    <w:rsid w:val="00722169"/>
    <w:rsid w:val="007225C9"/>
    <w:rsid w:val="00723321"/>
    <w:rsid w:val="00731F7C"/>
    <w:rsid w:val="00735CD7"/>
    <w:rsid w:val="00743970"/>
    <w:rsid w:val="00746CD8"/>
    <w:rsid w:val="00754034"/>
    <w:rsid w:val="00754111"/>
    <w:rsid w:val="00754BF1"/>
    <w:rsid w:val="00755A30"/>
    <w:rsid w:val="00755E1C"/>
    <w:rsid w:val="00756556"/>
    <w:rsid w:val="0076132B"/>
    <w:rsid w:val="007623AE"/>
    <w:rsid w:val="00762654"/>
    <w:rsid w:val="0076310C"/>
    <w:rsid w:val="007659A1"/>
    <w:rsid w:val="00770B19"/>
    <w:rsid w:val="00773365"/>
    <w:rsid w:val="00774FA0"/>
    <w:rsid w:val="007760C4"/>
    <w:rsid w:val="007761AF"/>
    <w:rsid w:val="00776620"/>
    <w:rsid w:val="00776E63"/>
    <w:rsid w:val="00777B6D"/>
    <w:rsid w:val="00781D0F"/>
    <w:rsid w:val="00784855"/>
    <w:rsid w:val="00784F39"/>
    <w:rsid w:val="0078545C"/>
    <w:rsid w:val="0078579F"/>
    <w:rsid w:val="007906C4"/>
    <w:rsid w:val="00790F82"/>
    <w:rsid w:val="007940EA"/>
    <w:rsid w:val="007967E8"/>
    <w:rsid w:val="007A01B9"/>
    <w:rsid w:val="007A63F2"/>
    <w:rsid w:val="007B68DE"/>
    <w:rsid w:val="007C1857"/>
    <w:rsid w:val="007C32E7"/>
    <w:rsid w:val="007C514F"/>
    <w:rsid w:val="007C759B"/>
    <w:rsid w:val="007D0F95"/>
    <w:rsid w:val="007D665C"/>
    <w:rsid w:val="007D7ECB"/>
    <w:rsid w:val="007E2392"/>
    <w:rsid w:val="007E25A1"/>
    <w:rsid w:val="007E3918"/>
    <w:rsid w:val="007E4BD2"/>
    <w:rsid w:val="007E7145"/>
    <w:rsid w:val="007F2EFF"/>
    <w:rsid w:val="007F3916"/>
    <w:rsid w:val="00801179"/>
    <w:rsid w:val="00801E77"/>
    <w:rsid w:val="00802479"/>
    <w:rsid w:val="008048EA"/>
    <w:rsid w:val="00805372"/>
    <w:rsid w:val="00805B7B"/>
    <w:rsid w:val="00806E71"/>
    <w:rsid w:val="00810B50"/>
    <w:rsid w:val="0081166A"/>
    <w:rsid w:val="0081293E"/>
    <w:rsid w:val="00814FFB"/>
    <w:rsid w:val="00820568"/>
    <w:rsid w:val="00830535"/>
    <w:rsid w:val="00830F99"/>
    <w:rsid w:val="00831A80"/>
    <w:rsid w:val="008332C8"/>
    <w:rsid w:val="00833743"/>
    <w:rsid w:val="008340A4"/>
    <w:rsid w:val="00835A6C"/>
    <w:rsid w:val="00836799"/>
    <w:rsid w:val="00837028"/>
    <w:rsid w:val="00837131"/>
    <w:rsid w:val="00844964"/>
    <w:rsid w:val="00845F57"/>
    <w:rsid w:val="008521E0"/>
    <w:rsid w:val="008525B0"/>
    <w:rsid w:val="00860115"/>
    <w:rsid w:val="00861418"/>
    <w:rsid w:val="00861E59"/>
    <w:rsid w:val="008623DC"/>
    <w:rsid w:val="0086295F"/>
    <w:rsid w:val="00864EA0"/>
    <w:rsid w:val="00867CBC"/>
    <w:rsid w:val="00870B4C"/>
    <w:rsid w:val="00873835"/>
    <w:rsid w:val="00876C30"/>
    <w:rsid w:val="00877017"/>
    <w:rsid w:val="008773C0"/>
    <w:rsid w:val="00880364"/>
    <w:rsid w:val="00882248"/>
    <w:rsid w:val="00882F93"/>
    <w:rsid w:val="00885F2C"/>
    <w:rsid w:val="00886C4C"/>
    <w:rsid w:val="0088711C"/>
    <w:rsid w:val="00892ECF"/>
    <w:rsid w:val="00892F06"/>
    <w:rsid w:val="00894285"/>
    <w:rsid w:val="008966D8"/>
    <w:rsid w:val="008A40AE"/>
    <w:rsid w:val="008A4E19"/>
    <w:rsid w:val="008A67C5"/>
    <w:rsid w:val="008B22E1"/>
    <w:rsid w:val="008B2558"/>
    <w:rsid w:val="008B3C78"/>
    <w:rsid w:val="008B4AE9"/>
    <w:rsid w:val="008B6523"/>
    <w:rsid w:val="008C30AD"/>
    <w:rsid w:val="008D068E"/>
    <w:rsid w:val="008D0F7A"/>
    <w:rsid w:val="008D1812"/>
    <w:rsid w:val="008D1E67"/>
    <w:rsid w:val="008D63BE"/>
    <w:rsid w:val="008D72CA"/>
    <w:rsid w:val="008D7BB3"/>
    <w:rsid w:val="008E0CFF"/>
    <w:rsid w:val="008E3179"/>
    <w:rsid w:val="008E5D6B"/>
    <w:rsid w:val="008E689B"/>
    <w:rsid w:val="008E76F0"/>
    <w:rsid w:val="008F15FE"/>
    <w:rsid w:val="008F2A94"/>
    <w:rsid w:val="008F5187"/>
    <w:rsid w:val="008F53A7"/>
    <w:rsid w:val="008F709C"/>
    <w:rsid w:val="00901567"/>
    <w:rsid w:val="0090312B"/>
    <w:rsid w:val="00904961"/>
    <w:rsid w:val="00905204"/>
    <w:rsid w:val="00913F39"/>
    <w:rsid w:val="009149D0"/>
    <w:rsid w:val="0091736D"/>
    <w:rsid w:val="00927A80"/>
    <w:rsid w:val="00931001"/>
    <w:rsid w:val="00931863"/>
    <w:rsid w:val="00933524"/>
    <w:rsid w:val="00933743"/>
    <w:rsid w:val="009360A1"/>
    <w:rsid w:val="009400BB"/>
    <w:rsid w:val="0094278D"/>
    <w:rsid w:val="0095308A"/>
    <w:rsid w:val="00954815"/>
    <w:rsid w:val="00955AEE"/>
    <w:rsid w:val="00956F14"/>
    <w:rsid w:val="009620FD"/>
    <w:rsid w:val="0096247A"/>
    <w:rsid w:val="00963155"/>
    <w:rsid w:val="00963CFF"/>
    <w:rsid w:val="009646A9"/>
    <w:rsid w:val="00965F4B"/>
    <w:rsid w:val="0097036F"/>
    <w:rsid w:val="00970F8A"/>
    <w:rsid w:val="00971FB5"/>
    <w:rsid w:val="00972D2A"/>
    <w:rsid w:val="00975CC5"/>
    <w:rsid w:val="00976328"/>
    <w:rsid w:val="00976754"/>
    <w:rsid w:val="00976B4E"/>
    <w:rsid w:val="0098027A"/>
    <w:rsid w:val="00982C14"/>
    <w:rsid w:val="00982C71"/>
    <w:rsid w:val="00984458"/>
    <w:rsid w:val="00984D7F"/>
    <w:rsid w:val="00985283"/>
    <w:rsid w:val="00987322"/>
    <w:rsid w:val="00991915"/>
    <w:rsid w:val="009940F4"/>
    <w:rsid w:val="009A0634"/>
    <w:rsid w:val="009A0F3B"/>
    <w:rsid w:val="009A72C7"/>
    <w:rsid w:val="009A73C0"/>
    <w:rsid w:val="009B0897"/>
    <w:rsid w:val="009B0CBF"/>
    <w:rsid w:val="009B1781"/>
    <w:rsid w:val="009B1FD3"/>
    <w:rsid w:val="009B5A03"/>
    <w:rsid w:val="009B77E3"/>
    <w:rsid w:val="009D0852"/>
    <w:rsid w:val="009D1FBF"/>
    <w:rsid w:val="009E399C"/>
    <w:rsid w:val="009E43C1"/>
    <w:rsid w:val="009E7E95"/>
    <w:rsid w:val="009F116F"/>
    <w:rsid w:val="009F167D"/>
    <w:rsid w:val="009F314E"/>
    <w:rsid w:val="009F329E"/>
    <w:rsid w:val="009F41F9"/>
    <w:rsid w:val="009F73FA"/>
    <w:rsid w:val="009F7ED3"/>
    <w:rsid w:val="00A03607"/>
    <w:rsid w:val="00A047FF"/>
    <w:rsid w:val="00A04FEF"/>
    <w:rsid w:val="00A074AC"/>
    <w:rsid w:val="00A122CD"/>
    <w:rsid w:val="00A12A32"/>
    <w:rsid w:val="00A14090"/>
    <w:rsid w:val="00A14248"/>
    <w:rsid w:val="00A14947"/>
    <w:rsid w:val="00A2321A"/>
    <w:rsid w:val="00A23C6A"/>
    <w:rsid w:val="00A23DC5"/>
    <w:rsid w:val="00A26945"/>
    <w:rsid w:val="00A34028"/>
    <w:rsid w:val="00A35568"/>
    <w:rsid w:val="00A37056"/>
    <w:rsid w:val="00A37536"/>
    <w:rsid w:val="00A37CD4"/>
    <w:rsid w:val="00A417F6"/>
    <w:rsid w:val="00A4358F"/>
    <w:rsid w:val="00A43FAB"/>
    <w:rsid w:val="00A46A3B"/>
    <w:rsid w:val="00A46F67"/>
    <w:rsid w:val="00A478A1"/>
    <w:rsid w:val="00A54AA1"/>
    <w:rsid w:val="00A55BFD"/>
    <w:rsid w:val="00A568FF"/>
    <w:rsid w:val="00A6045F"/>
    <w:rsid w:val="00A61496"/>
    <w:rsid w:val="00A61833"/>
    <w:rsid w:val="00A61A1B"/>
    <w:rsid w:val="00A624C6"/>
    <w:rsid w:val="00A63CEC"/>
    <w:rsid w:val="00A7031E"/>
    <w:rsid w:val="00A728B1"/>
    <w:rsid w:val="00A763DE"/>
    <w:rsid w:val="00A803D6"/>
    <w:rsid w:val="00A80587"/>
    <w:rsid w:val="00A81282"/>
    <w:rsid w:val="00A8713F"/>
    <w:rsid w:val="00A91167"/>
    <w:rsid w:val="00A9171C"/>
    <w:rsid w:val="00A92CFF"/>
    <w:rsid w:val="00A92FFD"/>
    <w:rsid w:val="00A95975"/>
    <w:rsid w:val="00A9708D"/>
    <w:rsid w:val="00AA2C17"/>
    <w:rsid w:val="00AA4172"/>
    <w:rsid w:val="00AA6202"/>
    <w:rsid w:val="00AB1914"/>
    <w:rsid w:val="00AB5330"/>
    <w:rsid w:val="00AB7747"/>
    <w:rsid w:val="00AC2532"/>
    <w:rsid w:val="00AC5AE9"/>
    <w:rsid w:val="00AC7101"/>
    <w:rsid w:val="00AD1507"/>
    <w:rsid w:val="00AD4587"/>
    <w:rsid w:val="00AD4C9C"/>
    <w:rsid w:val="00AD5A70"/>
    <w:rsid w:val="00AD738B"/>
    <w:rsid w:val="00AE1BF4"/>
    <w:rsid w:val="00AE2FDE"/>
    <w:rsid w:val="00AE5D97"/>
    <w:rsid w:val="00AE6794"/>
    <w:rsid w:val="00AF792D"/>
    <w:rsid w:val="00B01110"/>
    <w:rsid w:val="00B02262"/>
    <w:rsid w:val="00B03CEC"/>
    <w:rsid w:val="00B1209F"/>
    <w:rsid w:val="00B12AD0"/>
    <w:rsid w:val="00B233CF"/>
    <w:rsid w:val="00B2419C"/>
    <w:rsid w:val="00B24F30"/>
    <w:rsid w:val="00B27D7F"/>
    <w:rsid w:val="00B31ABF"/>
    <w:rsid w:val="00B335AE"/>
    <w:rsid w:val="00B34278"/>
    <w:rsid w:val="00B37CE1"/>
    <w:rsid w:val="00B40ACF"/>
    <w:rsid w:val="00B41CF1"/>
    <w:rsid w:val="00B46BAA"/>
    <w:rsid w:val="00B50637"/>
    <w:rsid w:val="00B50B5F"/>
    <w:rsid w:val="00B53698"/>
    <w:rsid w:val="00B54128"/>
    <w:rsid w:val="00B55826"/>
    <w:rsid w:val="00B602FB"/>
    <w:rsid w:val="00B60426"/>
    <w:rsid w:val="00B622DD"/>
    <w:rsid w:val="00B63522"/>
    <w:rsid w:val="00B70315"/>
    <w:rsid w:val="00B7429E"/>
    <w:rsid w:val="00B7451A"/>
    <w:rsid w:val="00B76974"/>
    <w:rsid w:val="00B76F1D"/>
    <w:rsid w:val="00B778DC"/>
    <w:rsid w:val="00B778F0"/>
    <w:rsid w:val="00B77CA9"/>
    <w:rsid w:val="00B83EC2"/>
    <w:rsid w:val="00B84A42"/>
    <w:rsid w:val="00B85905"/>
    <w:rsid w:val="00B863B8"/>
    <w:rsid w:val="00B8740B"/>
    <w:rsid w:val="00B92A19"/>
    <w:rsid w:val="00B94317"/>
    <w:rsid w:val="00B9544C"/>
    <w:rsid w:val="00B9595F"/>
    <w:rsid w:val="00BA0AD8"/>
    <w:rsid w:val="00BA29E9"/>
    <w:rsid w:val="00BB1E13"/>
    <w:rsid w:val="00BB3618"/>
    <w:rsid w:val="00BC0C9E"/>
    <w:rsid w:val="00BC32DC"/>
    <w:rsid w:val="00BD1B51"/>
    <w:rsid w:val="00BD47F6"/>
    <w:rsid w:val="00BE312D"/>
    <w:rsid w:val="00BE3FCA"/>
    <w:rsid w:val="00BE400F"/>
    <w:rsid w:val="00BF0951"/>
    <w:rsid w:val="00BF6483"/>
    <w:rsid w:val="00BF78A9"/>
    <w:rsid w:val="00C05719"/>
    <w:rsid w:val="00C064C0"/>
    <w:rsid w:val="00C06C6C"/>
    <w:rsid w:val="00C10578"/>
    <w:rsid w:val="00C119BD"/>
    <w:rsid w:val="00C1776A"/>
    <w:rsid w:val="00C17D62"/>
    <w:rsid w:val="00C219DE"/>
    <w:rsid w:val="00C21FDC"/>
    <w:rsid w:val="00C24EE7"/>
    <w:rsid w:val="00C2596A"/>
    <w:rsid w:val="00C271BE"/>
    <w:rsid w:val="00C27425"/>
    <w:rsid w:val="00C328FE"/>
    <w:rsid w:val="00C33A05"/>
    <w:rsid w:val="00C35433"/>
    <w:rsid w:val="00C42500"/>
    <w:rsid w:val="00C4409D"/>
    <w:rsid w:val="00C455BE"/>
    <w:rsid w:val="00C45750"/>
    <w:rsid w:val="00C50323"/>
    <w:rsid w:val="00C517A9"/>
    <w:rsid w:val="00C51E5F"/>
    <w:rsid w:val="00C529B3"/>
    <w:rsid w:val="00C61E4B"/>
    <w:rsid w:val="00C62ACE"/>
    <w:rsid w:val="00C62E3A"/>
    <w:rsid w:val="00C64503"/>
    <w:rsid w:val="00C64A1F"/>
    <w:rsid w:val="00C64B0B"/>
    <w:rsid w:val="00C64BFF"/>
    <w:rsid w:val="00C672E2"/>
    <w:rsid w:val="00C70621"/>
    <w:rsid w:val="00C70A43"/>
    <w:rsid w:val="00C763C9"/>
    <w:rsid w:val="00C76CAC"/>
    <w:rsid w:val="00C80057"/>
    <w:rsid w:val="00C82C79"/>
    <w:rsid w:val="00C84753"/>
    <w:rsid w:val="00C9043B"/>
    <w:rsid w:val="00C915A5"/>
    <w:rsid w:val="00C91611"/>
    <w:rsid w:val="00CA07D5"/>
    <w:rsid w:val="00CA119E"/>
    <w:rsid w:val="00CA3585"/>
    <w:rsid w:val="00CA3D5A"/>
    <w:rsid w:val="00CA4C7C"/>
    <w:rsid w:val="00CA601C"/>
    <w:rsid w:val="00CB0183"/>
    <w:rsid w:val="00CB1EA3"/>
    <w:rsid w:val="00CB3CA7"/>
    <w:rsid w:val="00CB5004"/>
    <w:rsid w:val="00CB552C"/>
    <w:rsid w:val="00CB6A9E"/>
    <w:rsid w:val="00CC6181"/>
    <w:rsid w:val="00CD2BCD"/>
    <w:rsid w:val="00CD34C4"/>
    <w:rsid w:val="00CD36AA"/>
    <w:rsid w:val="00CD3791"/>
    <w:rsid w:val="00CD3C50"/>
    <w:rsid w:val="00CD3DCE"/>
    <w:rsid w:val="00CD65B0"/>
    <w:rsid w:val="00CD6BA7"/>
    <w:rsid w:val="00CE02CD"/>
    <w:rsid w:val="00CE10E9"/>
    <w:rsid w:val="00CE140A"/>
    <w:rsid w:val="00CE613C"/>
    <w:rsid w:val="00CF084E"/>
    <w:rsid w:val="00D0072E"/>
    <w:rsid w:val="00D050B1"/>
    <w:rsid w:val="00D05BA6"/>
    <w:rsid w:val="00D11B27"/>
    <w:rsid w:val="00D11EC0"/>
    <w:rsid w:val="00D12A79"/>
    <w:rsid w:val="00D13681"/>
    <w:rsid w:val="00D15727"/>
    <w:rsid w:val="00D16332"/>
    <w:rsid w:val="00D22D38"/>
    <w:rsid w:val="00D24972"/>
    <w:rsid w:val="00D2515E"/>
    <w:rsid w:val="00D2667E"/>
    <w:rsid w:val="00D26DFF"/>
    <w:rsid w:val="00D308ED"/>
    <w:rsid w:val="00D33C6F"/>
    <w:rsid w:val="00D3587D"/>
    <w:rsid w:val="00D35A52"/>
    <w:rsid w:val="00D37D77"/>
    <w:rsid w:val="00D45A2F"/>
    <w:rsid w:val="00D56178"/>
    <w:rsid w:val="00D5685B"/>
    <w:rsid w:val="00D56CF0"/>
    <w:rsid w:val="00D56F5C"/>
    <w:rsid w:val="00D57DB9"/>
    <w:rsid w:val="00D61C18"/>
    <w:rsid w:val="00D61E5E"/>
    <w:rsid w:val="00D622BD"/>
    <w:rsid w:val="00D62D41"/>
    <w:rsid w:val="00D67C76"/>
    <w:rsid w:val="00D704B1"/>
    <w:rsid w:val="00D70B63"/>
    <w:rsid w:val="00D72B92"/>
    <w:rsid w:val="00D72ED4"/>
    <w:rsid w:val="00D73F61"/>
    <w:rsid w:val="00D754C0"/>
    <w:rsid w:val="00D776A2"/>
    <w:rsid w:val="00D801C4"/>
    <w:rsid w:val="00D80946"/>
    <w:rsid w:val="00D817AB"/>
    <w:rsid w:val="00D84718"/>
    <w:rsid w:val="00D90836"/>
    <w:rsid w:val="00D95896"/>
    <w:rsid w:val="00D95CC6"/>
    <w:rsid w:val="00D97119"/>
    <w:rsid w:val="00DA2DA3"/>
    <w:rsid w:val="00DA5C86"/>
    <w:rsid w:val="00DA6615"/>
    <w:rsid w:val="00DA67BC"/>
    <w:rsid w:val="00DA76AE"/>
    <w:rsid w:val="00DA7FF6"/>
    <w:rsid w:val="00DB181E"/>
    <w:rsid w:val="00DB1C7A"/>
    <w:rsid w:val="00DB2983"/>
    <w:rsid w:val="00DB343D"/>
    <w:rsid w:val="00DB5579"/>
    <w:rsid w:val="00DB5CFE"/>
    <w:rsid w:val="00DC21DF"/>
    <w:rsid w:val="00DC3574"/>
    <w:rsid w:val="00DC3DC2"/>
    <w:rsid w:val="00DC72A6"/>
    <w:rsid w:val="00DD2113"/>
    <w:rsid w:val="00DD265E"/>
    <w:rsid w:val="00DD4E31"/>
    <w:rsid w:val="00DD71BF"/>
    <w:rsid w:val="00DE2990"/>
    <w:rsid w:val="00DE5CE7"/>
    <w:rsid w:val="00DF1930"/>
    <w:rsid w:val="00DF2172"/>
    <w:rsid w:val="00DF508E"/>
    <w:rsid w:val="00DF514A"/>
    <w:rsid w:val="00DF550B"/>
    <w:rsid w:val="00E0358D"/>
    <w:rsid w:val="00E039E9"/>
    <w:rsid w:val="00E06327"/>
    <w:rsid w:val="00E11667"/>
    <w:rsid w:val="00E12128"/>
    <w:rsid w:val="00E2064B"/>
    <w:rsid w:val="00E21DDB"/>
    <w:rsid w:val="00E25239"/>
    <w:rsid w:val="00E252D0"/>
    <w:rsid w:val="00E265B1"/>
    <w:rsid w:val="00E275B0"/>
    <w:rsid w:val="00E35AE3"/>
    <w:rsid w:val="00E412D0"/>
    <w:rsid w:val="00E41BBE"/>
    <w:rsid w:val="00E44B90"/>
    <w:rsid w:val="00E46C86"/>
    <w:rsid w:val="00E47CDB"/>
    <w:rsid w:val="00E51B2D"/>
    <w:rsid w:val="00E55A88"/>
    <w:rsid w:val="00E566BC"/>
    <w:rsid w:val="00E57DA5"/>
    <w:rsid w:val="00E57EBE"/>
    <w:rsid w:val="00E60982"/>
    <w:rsid w:val="00E60C8D"/>
    <w:rsid w:val="00E6162F"/>
    <w:rsid w:val="00E6311B"/>
    <w:rsid w:val="00E63D35"/>
    <w:rsid w:val="00E63FB7"/>
    <w:rsid w:val="00E64055"/>
    <w:rsid w:val="00E65D97"/>
    <w:rsid w:val="00E67EFD"/>
    <w:rsid w:val="00E702DC"/>
    <w:rsid w:val="00E71FFB"/>
    <w:rsid w:val="00E76D1D"/>
    <w:rsid w:val="00E76ED0"/>
    <w:rsid w:val="00E806F8"/>
    <w:rsid w:val="00E821C6"/>
    <w:rsid w:val="00E824AC"/>
    <w:rsid w:val="00E87752"/>
    <w:rsid w:val="00E8793B"/>
    <w:rsid w:val="00E90F81"/>
    <w:rsid w:val="00E91A6D"/>
    <w:rsid w:val="00E9242D"/>
    <w:rsid w:val="00E92B7B"/>
    <w:rsid w:val="00E954E9"/>
    <w:rsid w:val="00EB041C"/>
    <w:rsid w:val="00EB1084"/>
    <w:rsid w:val="00EB1822"/>
    <w:rsid w:val="00EB2F7B"/>
    <w:rsid w:val="00EB4655"/>
    <w:rsid w:val="00EB672B"/>
    <w:rsid w:val="00EC5874"/>
    <w:rsid w:val="00EC7355"/>
    <w:rsid w:val="00ED053E"/>
    <w:rsid w:val="00ED192D"/>
    <w:rsid w:val="00ED30B4"/>
    <w:rsid w:val="00ED31F5"/>
    <w:rsid w:val="00EE1FF9"/>
    <w:rsid w:val="00EE75F9"/>
    <w:rsid w:val="00EF108C"/>
    <w:rsid w:val="00EF2759"/>
    <w:rsid w:val="00EF45EB"/>
    <w:rsid w:val="00EF5099"/>
    <w:rsid w:val="00EF5E33"/>
    <w:rsid w:val="00EF634F"/>
    <w:rsid w:val="00EF6C65"/>
    <w:rsid w:val="00F00075"/>
    <w:rsid w:val="00F007D3"/>
    <w:rsid w:val="00F04A20"/>
    <w:rsid w:val="00F07822"/>
    <w:rsid w:val="00F07826"/>
    <w:rsid w:val="00F11604"/>
    <w:rsid w:val="00F15C95"/>
    <w:rsid w:val="00F21320"/>
    <w:rsid w:val="00F22985"/>
    <w:rsid w:val="00F241AB"/>
    <w:rsid w:val="00F246A3"/>
    <w:rsid w:val="00F27482"/>
    <w:rsid w:val="00F308AC"/>
    <w:rsid w:val="00F30B29"/>
    <w:rsid w:val="00F31382"/>
    <w:rsid w:val="00F35829"/>
    <w:rsid w:val="00F36E20"/>
    <w:rsid w:val="00F41916"/>
    <w:rsid w:val="00F42868"/>
    <w:rsid w:val="00F43232"/>
    <w:rsid w:val="00F44AF7"/>
    <w:rsid w:val="00F465A7"/>
    <w:rsid w:val="00F46751"/>
    <w:rsid w:val="00F46D86"/>
    <w:rsid w:val="00F50B7C"/>
    <w:rsid w:val="00F5130B"/>
    <w:rsid w:val="00F5202D"/>
    <w:rsid w:val="00F52CF6"/>
    <w:rsid w:val="00F5300D"/>
    <w:rsid w:val="00F54496"/>
    <w:rsid w:val="00F54EAD"/>
    <w:rsid w:val="00F61097"/>
    <w:rsid w:val="00F63C85"/>
    <w:rsid w:val="00F66D1D"/>
    <w:rsid w:val="00F74345"/>
    <w:rsid w:val="00F74441"/>
    <w:rsid w:val="00F75D75"/>
    <w:rsid w:val="00F77F30"/>
    <w:rsid w:val="00F82589"/>
    <w:rsid w:val="00F82B19"/>
    <w:rsid w:val="00F85846"/>
    <w:rsid w:val="00F90AA7"/>
    <w:rsid w:val="00F90CA5"/>
    <w:rsid w:val="00F90EAF"/>
    <w:rsid w:val="00F9212D"/>
    <w:rsid w:val="00FA098A"/>
    <w:rsid w:val="00FA1985"/>
    <w:rsid w:val="00FA301A"/>
    <w:rsid w:val="00FA3547"/>
    <w:rsid w:val="00FA406A"/>
    <w:rsid w:val="00FA4B95"/>
    <w:rsid w:val="00FA4EB5"/>
    <w:rsid w:val="00FA5CB6"/>
    <w:rsid w:val="00FA638E"/>
    <w:rsid w:val="00FB0417"/>
    <w:rsid w:val="00FC3F72"/>
    <w:rsid w:val="00FC4B34"/>
    <w:rsid w:val="00FC53E4"/>
    <w:rsid w:val="00FC66AC"/>
    <w:rsid w:val="00FD0AD8"/>
    <w:rsid w:val="00FD18F4"/>
    <w:rsid w:val="00FD74B4"/>
    <w:rsid w:val="00FF0E83"/>
    <w:rsid w:val="00FF1740"/>
    <w:rsid w:val="00FF1771"/>
    <w:rsid w:val="00FF6FCE"/>
    <w:rsid w:val="00FF7518"/>
    <w:rsid w:val="00FF7650"/>
    <w:rsid w:val="00FF7DF3"/>
    <w:rsid w:val="00FF7FD8"/>
    <w:rsid w:val="011238BC"/>
    <w:rsid w:val="01310463"/>
    <w:rsid w:val="01516DFF"/>
    <w:rsid w:val="01837CD3"/>
    <w:rsid w:val="01A30B83"/>
    <w:rsid w:val="01D46E29"/>
    <w:rsid w:val="01EC58CB"/>
    <w:rsid w:val="01F87859"/>
    <w:rsid w:val="021547E5"/>
    <w:rsid w:val="023106C6"/>
    <w:rsid w:val="02343BA3"/>
    <w:rsid w:val="02963DFC"/>
    <w:rsid w:val="02BC0CD5"/>
    <w:rsid w:val="02ED0B03"/>
    <w:rsid w:val="043C5827"/>
    <w:rsid w:val="04B07ED0"/>
    <w:rsid w:val="04D94524"/>
    <w:rsid w:val="0507227F"/>
    <w:rsid w:val="05297BF6"/>
    <w:rsid w:val="05742AC8"/>
    <w:rsid w:val="06352F05"/>
    <w:rsid w:val="063E7D85"/>
    <w:rsid w:val="06597EE2"/>
    <w:rsid w:val="06906924"/>
    <w:rsid w:val="06B61BBA"/>
    <w:rsid w:val="06D325CB"/>
    <w:rsid w:val="070875E0"/>
    <w:rsid w:val="07293586"/>
    <w:rsid w:val="07295285"/>
    <w:rsid w:val="0739500A"/>
    <w:rsid w:val="073C66A1"/>
    <w:rsid w:val="07770C56"/>
    <w:rsid w:val="08493DAB"/>
    <w:rsid w:val="085716A6"/>
    <w:rsid w:val="0872378B"/>
    <w:rsid w:val="089F29B3"/>
    <w:rsid w:val="092217DD"/>
    <w:rsid w:val="093A7294"/>
    <w:rsid w:val="0958005D"/>
    <w:rsid w:val="09BD09FB"/>
    <w:rsid w:val="09E56409"/>
    <w:rsid w:val="0A0A57FB"/>
    <w:rsid w:val="0B017ABA"/>
    <w:rsid w:val="0B147832"/>
    <w:rsid w:val="0B2A59EC"/>
    <w:rsid w:val="0B7C1C57"/>
    <w:rsid w:val="0B857798"/>
    <w:rsid w:val="0BD27BF6"/>
    <w:rsid w:val="0D6C7FD9"/>
    <w:rsid w:val="0D733C76"/>
    <w:rsid w:val="0D9D4A0E"/>
    <w:rsid w:val="0E110D06"/>
    <w:rsid w:val="0F0B28A7"/>
    <w:rsid w:val="0F13775A"/>
    <w:rsid w:val="0F9A112B"/>
    <w:rsid w:val="0FFF060A"/>
    <w:rsid w:val="106D2F64"/>
    <w:rsid w:val="109A649D"/>
    <w:rsid w:val="10B63710"/>
    <w:rsid w:val="10BC7E8C"/>
    <w:rsid w:val="10D821AF"/>
    <w:rsid w:val="111C2F7A"/>
    <w:rsid w:val="113013DE"/>
    <w:rsid w:val="11323A8B"/>
    <w:rsid w:val="11432A26"/>
    <w:rsid w:val="11CE4CFA"/>
    <w:rsid w:val="122B06C2"/>
    <w:rsid w:val="122E7563"/>
    <w:rsid w:val="12D30AF6"/>
    <w:rsid w:val="12E87CB4"/>
    <w:rsid w:val="134639C0"/>
    <w:rsid w:val="13723140"/>
    <w:rsid w:val="13951726"/>
    <w:rsid w:val="13AA4FA2"/>
    <w:rsid w:val="141606C9"/>
    <w:rsid w:val="14396509"/>
    <w:rsid w:val="1447165C"/>
    <w:rsid w:val="14754BCD"/>
    <w:rsid w:val="147E4E1C"/>
    <w:rsid w:val="14976A66"/>
    <w:rsid w:val="14A304CF"/>
    <w:rsid w:val="157C7732"/>
    <w:rsid w:val="15FD0F65"/>
    <w:rsid w:val="166B11CD"/>
    <w:rsid w:val="166E27D5"/>
    <w:rsid w:val="167E0E12"/>
    <w:rsid w:val="16FC2D3B"/>
    <w:rsid w:val="170014CB"/>
    <w:rsid w:val="174A5489"/>
    <w:rsid w:val="17716AF3"/>
    <w:rsid w:val="17735226"/>
    <w:rsid w:val="1969345E"/>
    <w:rsid w:val="1A1C66C0"/>
    <w:rsid w:val="1A42393B"/>
    <w:rsid w:val="1A5A1E87"/>
    <w:rsid w:val="1ABC3CD7"/>
    <w:rsid w:val="1AE11A22"/>
    <w:rsid w:val="1B046F80"/>
    <w:rsid w:val="1B3267B5"/>
    <w:rsid w:val="1B3F482B"/>
    <w:rsid w:val="1B60475D"/>
    <w:rsid w:val="1BB13E30"/>
    <w:rsid w:val="1BC25DC8"/>
    <w:rsid w:val="1C000B71"/>
    <w:rsid w:val="1C295955"/>
    <w:rsid w:val="1C3D3F38"/>
    <w:rsid w:val="1C4F6C49"/>
    <w:rsid w:val="1C5E7925"/>
    <w:rsid w:val="1C887FC8"/>
    <w:rsid w:val="1CD91FC4"/>
    <w:rsid w:val="1CF2169F"/>
    <w:rsid w:val="1D5F6196"/>
    <w:rsid w:val="1D6132A5"/>
    <w:rsid w:val="1D8E56D5"/>
    <w:rsid w:val="1D9B306F"/>
    <w:rsid w:val="1DD7484D"/>
    <w:rsid w:val="1E3E6351"/>
    <w:rsid w:val="1E423633"/>
    <w:rsid w:val="1E711CBD"/>
    <w:rsid w:val="1E7A43DA"/>
    <w:rsid w:val="1EA3620F"/>
    <w:rsid w:val="1EAB5455"/>
    <w:rsid w:val="1EB277FE"/>
    <w:rsid w:val="1FDB75C6"/>
    <w:rsid w:val="1FE7539E"/>
    <w:rsid w:val="20963CB8"/>
    <w:rsid w:val="20B07FB6"/>
    <w:rsid w:val="20BE1A4A"/>
    <w:rsid w:val="2135221A"/>
    <w:rsid w:val="213B74B1"/>
    <w:rsid w:val="215A2310"/>
    <w:rsid w:val="21845A3B"/>
    <w:rsid w:val="21DE318A"/>
    <w:rsid w:val="21EF5B80"/>
    <w:rsid w:val="223F5941"/>
    <w:rsid w:val="22576990"/>
    <w:rsid w:val="22943A5C"/>
    <w:rsid w:val="229C4EAB"/>
    <w:rsid w:val="22F24A29"/>
    <w:rsid w:val="23C3791C"/>
    <w:rsid w:val="24051910"/>
    <w:rsid w:val="24417468"/>
    <w:rsid w:val="24435C44"/>
    <w:rsid w:val="24C2141E"/>
    <w:rsid w:val="24CB7E9E"/>
    <w:rsid w:val="252D53FE"/>
    <w:rsid w:val="25EC2D81"/>
    <w:rsid w:val="2606298C"/>
    <w:rsid w:val="261A2BD2"/>
    <w:rsid w:val="262308A7"/>
    <w:rsid w:val="264528BD"/>
    <w:rsid w:val="2751523A"/>
    <w:rsid w:val="27682FE2"/>
    <w:rsid w:val="27AE7D3B"/>
    <w:rsid w:val="27CC0A2D"/>
    <w:rsid w:val="27D15DD1"/>
    <w:rsid w:val="28A76295"/>
    <w:rsid w:val="28E34735"/>
    <w:rsid w:val="28E55E03"/>
    <w:rsid w:val="29206EB8"/>
    <w:rsid w:val="298D6880"/>
    <w:rsid w:val="29B669AE"/>
    <w:rsid w:val="29BB32AC"/>
    <w:rsid w:val="29E325E0"/>
    <w:rsid w:val="29E348CA"/>
    <w:rsid w:val="29EB6C3D"/>
    <w:rsid w:val="2A2F6297"/>
    <w:rsid w:val="2A452503"/>
    <w:rsid w:val="2A493722"/>
    <w:rsid w:val="2A673CCE"/>
    <w:rsid w:val="2A8F25D7"/>
    <w:rsid w:val="2A9324EB"/>
    <w:rsid w:val="2AB86F15"/>
    <w:rsid w:val="2B766AD4"/>
    <w:rsid w:val="2BA936A8"/>
    <w:rsid w:val="2BBB59A7"/>
    <w:rsid w:val="2BEC17B6"/>
    <w:rsid w:val="2BF15CD4"/>
    <w:rsid w:val="2C273C30"/>
    <w:rsid w:val="2C315A5A"/>
    <w:rsid w:val="2C774E93"/>
    <w:rsid w:val="2CFC5700"/>
    <w:rsid w:val="2D13011D"/>
    <w:rsid w:val="2D1303A9"/>
    <w:rsid w:val="2D4045BF"/>
    <w:rsid w:val="2D9E56F5"/>
    <w:rsid w:val="2E0378BE"/>
    <w:rsid w:val="2E667F96"/>
    <w:rsid w:val="2E8226AB"/>
    <w:rsid w:val="2EB04745"/>
    <w:rsid w:val="2EC20B45"/>
    <w:rsid w:val="2EC511E2"/>
    <w:rsid w:val="2EC843DA"/>
    <w:rsid w:val="2F832C79"/>
    <w:rsid w:val="2FEF2D58"/>
    <w:rsid w:val="3019006E"/>
    <w:rsid w:val="30580BC9"/>
    <w:rsid w:val="308530C4"/>
    <w:rsid w:val="30ED34D3"/>
    <w:rsid w:val="311E2ED7"/>
    <w:rsid w:val="3149572A"/>
    <w:rsid w:val="315C449C"/>
    <w:rsid w:val="31800E69"/>
    <w:rsid w:val="31B66690"/>
    <w:rsid w:val="31B82709"/>
    <w:rsid w:val="32400B34"/>
    <w:rsid w:val="326C2F0C"/>
    <w:rsid w:val="329E6876"/>
    <w:rsid w:val="32F51837"/>
    <w:rsid w:val="33A2664D"/>
    <w:rsid w:val="33B214B0"/>
    <w:rsid w:val="33B52C6D"/>
    <w:rsid w:val="33CF6778"/>
    <w:rsid w:val="33D934D4"/>
    <w:rsid w:val="33FD5F18"/>
    <w:rsid w:val="33FE2F6A"/>
    <w:rsid w:val="34446BED"/>
    <w:rsid w:val="347462EC"/>
    <w:rsid w:val="34956D64"/>
    <w:rsid w:val="34D718D8"/>
    <w:rsid w:val="34E73F31"/>
    <w:rsid w:val="353C7B66"/>
    <w:rsid w:val="36074A7F"/>
    <w:rsid w:val="36923549"/>
    <w:rsid w:val="36B75FBF"/>
    <w:rsid w:val="36D36DF1"/>
    <w:rsid w:val="36FB4891"/>
    <w:rsid w:val="37882570"/>
    <w:rsid w:val="37955CE4"/>
    <w:rsid w:val="37963293"/>
    <w:rsid w:val="37A976CD"/>
    <w:rsid w:val="37EF3416"/>
    <w:rsid w:val="38F12CD3"/>
    <w:rsid w:val="38F94775"/>
    <w:rsid w:val="390470FD"/>
    <w:rsid w:val="392971ED"/>
    <w:rsid w:val="39BE06A1"/>
    <w:rsid w:val="3A476777"/>
    <w:rsid w:val="3A486AB7"/>
    <w:rsid w:val="3AA203AB"/>
    <w:rsid w:val="3B22622E"/>
    <w:rsid w:val="3B3763D1"/>
    <w:rsid w:val="3C013557"/>
    <w:rsid w:val="3C6771E9"/>
    <w:rsid w:val="3CDA245A"/>
    <w:rsid w:val="3CEE0A37"/>
    <w:rsid w:val="3DF3269A"/>
    <w:rsid w:val="3E76416D"/>
    <w:rsid w:val="3EAC028B"/>
    <w:rsid w:val="3F660E74"/>
    <w:rsid w:val="407366EC"/>
    <w:rsid w:val="407A6407"/>
    <w:rsid w:val="408829FA"/>
    <w:rsid w:val="41897484"/>
    <w:rsid w:val="41E30291"/>
    <w:rsid w:val="41FF6551"/>
    <w:rsid w:val="42070150"/>
    <w:rsid w:val="421313B9"/>
    <w:rsid w:val="423A3BCC"/>
    <w:rsid w:val="426B2F48"/>
    <w:rsid w:val="42B13570"/>
    <w:rsid w:val="42C446F0"/>
    <w:rsid w:val="4322356B"/>
    <w:rsid w:val="4339398A"/>
    <w:rsid w:val="433A6FE6"/>
    <w:rsid w:val="4350713C"/>
    <w:rsid w:val="436653E0"/>
    <w:rsid w:val="441A20D3"/>
    <w:rsid w:val="445D7291"/>
    <w:rsid w:val="44875339"/>
    <w:rsid w:val="448C3473"/>
    <w:rsid w:val="44CD14E0"/>
    <w:rsid w:val="458946E9"/>
    <w:rsid w:val="46215034"/>
    <w:rsid w:val="464477A3"/>
    <w:rsid w:val="46AE1281"/>
    <w:rsid w:val="46D955A7"/>
    <w:rsid w:val="47133957"/>
    <w:rsid w:val="472121B1"/>
    <w:rsid w:val="4779329E"/>
    <w:rsid w:val="47A07E0C"/>
    <w:rsid w:val="47BC174C"/>
    <w:rsid w:val="47E562A0"/>
    <w:rsid w:val="4870272E"/>
    <w:rsid w:val="49511D36"/>
    <w:rsid w:val="499C5813"/>
    <w:rsid w:val="49DC7715"/>
    <w:rsid w:val="4A023139"/>
    <w:rsid w:val="4A32094A"/>
    <w:rsid w:val="4A7B576F"/>
    <w:rsid w:val="4AA641EA"/>
    <w:rsid w:val="4B360631"/>
    <w:rsid w:val="4BA27335"/>
    <w:rsid w:val="4BE156B5"/>
    <w:rsid w:val="4C240BE6"/>
    <w:rsid w:val="4C4A0649"/>
    <w:rsid w:val="4C6A4491"/>
    <w:rsid w:val="4CE470D3"/>
    <w:rsid w:val="4D351F9C"/>
    <w:rsid w:val="4D445EF2"/>
    <w:rsid w:val="4D5136B4"/>
    <w:rsid w:val="4DB93AE3"/>
    <w:rsid w:val="4DEC4FB0"/>
    <w:rsid w:val="4E075D8A"/>
    <w:rsid w:val="4E7D4F7C"/>
    <w:rsid w:val="4E882775"/>
    <w:rsid w:val="4ED17A6E"/>
    <w:rsid w:val="4EF25C08"/>
    <w:rsid w:val="4EF600C7"/>
    <w:rsid w:val="4F163609"/>
    <w:rsid w:val="4F5353AE"/>
    <w:rsid w:val="4FAA16AC"/>
    <w:rsid w:val="4FC62A8C"/>
    <w:rsid w:val="4FE20F0D"/>
    <w:rsid w:val="50504C4B"/>
    <w:rsid w:val="5085147E"/>
    <w:rsid w:val="509C6E7C"/>
    <w:rsid w:val="50F13999"/>
    <w:rsid w:val="50F73E5B"/>
    <w:rsid w:val="50FE4613"/>
    <w:rsid w:val="51530BB9"/>
    <w:rsid w:val="5162104E"/>
    <w:rsid w:val="51932FAD"/>
    <w:rsid w:val="51AA02F7"/>
    <w:rsid w:val="51B476AF"/>
    <w:rsid w:val="51D71239"/>
    <w:rsid w:val="51DD0840"/>
    <w:rsid w:val="524E7D2E"/>
    <w:rsid w:val="528529BF"/>
    <w:rsid w:val="52B529D5"/>
    <w:rsid w:val="5388686B"/>
    <w:rsid w:val="538B2D6D"/>
    <w:rsid w:val="53A039CC"/>
    <w:rsid w:val="53A1505A"/>
    <w:rsid w:val="54063E08"/>
    <w:rsid w:val="543437E8"/>
    <w:rsid w:val="54471EB6"/>
    <w:rsid w:val="54B44336"/>
    <w:rsid w:val="557A35C9"/>
    <w:rsid w:val="559465F1"/>
    <w:rsid w:val="559B174B"/>
    <w:rsid w:val="55CE0CF4"/>
    <w:rsid w:val="55F94907"/>
    <w:rsid w:val="560848BC"/>
    <w:rsid w:val="5678751C"/>
    <w:rsid w:val="56B22A9C"/>
    <w:rsid w:val="56BC2FA6"/>
    <w:rsid w:val="56DF5A9D"/>
    <w:rsid w:val="56FC33A3"/>
    <w:rsid w:val="57B10631"/>
    <w:rsid w:val="57B31B2B"/>
    <w:rsid w:val="57B72A76"/>
    <w:rsid w:val="58352334"/>
    <w:rsid w:val="58874654"/>
    <w:rsid w:val="58AC14E3"/>
    <w:rsid w:val="58DB6032"/>
    <w:rsid w:val="591028F4"/>
    <w:rsid w:val="59B70973"/>
    <w:rsid w:val="5A01701C"/>
    <w:rsid w:val="5A3C747D"/>
    <w:rsid w:val="5A6B2D19"/>
    <w:rsid w:val="5AA25853"/>
    <w:rsid w:val="5ABE2233"/>
    <w:rsid w:val="5B276D18"/>
    <w:rsid w:val="5BAD55B3"/>
    <w:rsid w:val="5BC867E3"/>
    <w:rsid w:val="5BDF5D95"/>
    <w:rsid w:val="5C137440"/>
    <w:rsid w:val="5C237111"/>
    <w:rsid w:val="5C310856"/>
    <w:rsid w:val="5C8E64F1"/>
    <w:rsid w:val="5D6C1139"/>
    <w:rsid w:val="5DF87A0F"/>
    <w:rsid w:val="5E290153"/>
    <w:rsid w:val="5E4B7BF5"/>
    <w:rsid w:val="5EDF1FA8"/>
    <w:rsid w:val="5F1A2B43"/>
    <w:rsid w:val="5F376759"/>
    <w:rsid w:val="5FB07420"/>
    <w:rsid w:val="5FB837BB"/>
    <w:rsid w:val="5FC64253"/>
    <w:rsid w:val="603E46F0"/>
    <w:rsid w:val="60E20E04"/>
    <w:rsid w:val="613F7A2F"/>
    <w:rsid w:val="61707BDB"/>
    <w:rsid w:val="61D06A2B"/>
    <w:rsid w:val="62364782"/>
    <w:rsid w:val="62527303"/>
    <w:rsid w:val="62690BF0"/>
    <w:rsid w:val="628A0C7B"/>
    <w:rsid w:val="630B65AB"/>
    <w:rsid w:val="63D40BE9"/>
    <w:rsid w:val="63E0211F"/>
    <w:rsid w:val="64547CF9"/>
    <w:rsid w:val="648D60A1"/>
    <w:rsid w:val="64D4394E"/>
    <w:rsid w:val="64E027AC"/>
    <w:rsid w:val="65373578"/>
    <w:rsid w:val="653A719E"/>
    <w:rsid w:val="65401080"/>
    <w:rsid w:val="656C3B44"/>
    <w:rsid w:val="65B81B5A"/>
    <w:rsid w:val="65D5373C"/>
    <w:rsid w:val="65FA783D"/>
    <w:rsid w:val="65FF3638"/>
    <w:rsid w:val="660215E6"/>
    <w:rsid w:val="66C562B0"/>
    <w:rsid w:val="66D539CF"/>
    <w:rsid w:val="66FE3647"/>
    <w:rsid w:val="673F2C7A"/>
    <w:rsid w:val="681F6961"/>
    <w:rsid w:val="682C13EC"/>
    <w:rsid w:val="68610A2F"/>
    <w:rsid w:val="68805514"/>
    <w:rsid w:val="692B32C0"/>
    <w:rsid w:val="694E2071"/>
    <w:rsid w:val="69697D2D"/>
    <w:rsid w:val="697A3B33"/>
    <w:rsid w:val="69825989"/>
    <w:rsid w:val="699E2456"/>
    <w:rsid w:val="6A4A4CDC"/>
    <w:rsid w:val="6A825C96"/>
    <w:rsid w:val="6B322639"/>
    <w:rsid w:val="6BB14BED"/>
    <w:rsid w:val="6BE830F7"/>
    <w:rsid w:val="6C0E44F8"/>
    <w:rsid w:val="6C1F0AC1"/>
    <w:rsid w:val="6C335D4E"/>
    <w:rsid w:val="6C636C38"/>
    <w:rsid w:val="6C6C57BA"/>
    <w:rsid w:val="6DB34098"/>
    <w:rsid w:val="6DB545B6"/>
    <w:rsid w:val="6DEF613A"/>
    <w:rsid w:val="6E4375A0"/>
    <w:rsid w:val="6E514CED"/>
    <w:rsid w:val="6E79491A"/>
    <w:rsid w:val="6EA25081"/>
    <w:rsid w:val="6EB563D5"/>
    <w:rsid w:val="6ED30234"/>
    <w:rsid w:val="6F225983"/>
    <w:rsid w:val="6FCE7AA5"/>
    <w:rsid w:val="6FDE1FB4"/>
    <w:rsid w:val="6FFC5590"/>
    <w:rsid w:val="70301DA3"/>
    <w:rsid w:val="70383246"/>
    <w:rsid w:val="706D1DD0"/>
    <w:rsid w:val="70856B87"/>
    <w:rsid w:val="70D527EE"/>
    <w:rsid w:val="715B5300"/>
    <w:rsid w:val="715F4BD7"/>
    <w:rsid w:val="718134C7"/>
    <w:rsid w:val="71D27F8A"/>
    <w:rsid w:val="71F744C6"/>
    <w:rsid w:val="71F960CF"/>
    <w:rsid w:val="721B1C85"/>
    <w:rsid w:val="72212455"/>
    <w:rsid w:val="72414018"/>
    <w:rsid w:val="729B21E9"/>
    <w:rsid w:val="72C83D89"/>
    <w:rsid w:val="72CE3363"/>
    <w:rsid w:val="72D34229"/>
    <w:rsid w:val="72ED5057"/>
    <w:rsid w:val="731F5D5E"/>
    <w:rsid w:val="73453294"/>
    <w:rsid w:val="735935CB"/>
    <w:rsid w:val="7389689F"/>
    <w:rsid w:val="73E04213"/>
    <w:rsid w:val="74174BDE"/>
    <w:rsid w:val="741E793C"/>
    <w:rsid w:val="758D75E2"/>
    <w:rsid w:val="76AB61F7"/>
    <w:rsid w:val="76B17235"/>
    <w:rsid w:val="76D0146B"/>
    <w:rsid w:val="76D15B2D"/>
    <w:rsid w:val="77527E8E"/>
    <w:rsid w:val="77722DC4"/>
    <w:rsid w:val="77762421"/>
    <w:rsid w:val="77EE33E2"/>
    <w:rsid w:val="780F09F4"/>
    <w:rsid w:val="785433F1"/>
    <w:rsid w:val="789C4F47"/>
    <w:rsid w:val="78A430C3"/>
    <w:rsid w:val="78A90480"/>
    <w:rsid w:val="78C338C8"/>
    <w:rsid w:val="790E0A3D"/>
    <w:rsid w:val="79811327"/>
    <w:rsid w:val="7A0F75BF"/>
    <w:rsid w:val="7A364017"/>
    <w:rsid w:val="7A8265E1"/>
    <w:rsid w:val="7AA5369F"/>
    <w:rsid w:val="7B43374D"/>
    <w:rsid w:val="7B46747A"/>
    <w:rsid w:val="7B686D42"/>
    <w:rsid w:val="7B841746"/>
    <w:rsid w:val="7BE6689E"/>
    <w:rsid w:val="7C130816"/>
    <w:rsid w:val="7CAE3468"/>
    <w:rsid w:val="7CDB4AD9"/>
    <w:rsid w:val="7D0239FF"/>
    <w:rsid w:val="7D5E40CD"/>
    <w:rsid w:val="7D693BED"/>
    <w:rsid w:val="7DE75912"/>
    <w:rsid w:val="7F8D264F"/>
    <w:rsid w:val="7FAB717F"/>
    <w:rsid w:val="7FBB3D61"/>
    <w:rsid w:val="7FE47E50"/>
    <w:rsid w:val="E5DC4B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iPriority="99"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ocked="1"/>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05"/>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6"/>
    <w:qFormat/>
    <w:locked/>
    <w:uiPriority w:val="0"/>
    <w:pPr>
      <w:keepNext/>
      <w:keepLines/>
      <w:spacing w:beforeLines="0" w:beforeAutospacing="0" w:afterLines="0" w:afterAutospacing="0" w:line="480" w:lineRule="exact"/>
      <w:ind w:firstLine="0" w:firstLineChars="0"/>
      <w:jc w:val="both"/>
      <w:outlineLvl w:val="1"/>
    </w:pPr>
    <w:rPr>
      <w:b/>
      <w:kern w:val="0"/>
      <w:sz w:val="28"/>
      <w:szCs w:val="20"/>
    </w:rPr>
  </w:style>
  <w:style w:type="paragraph" w:styleId="5">
    <w:name w:val="heading 3"/>
    <w:basedOn w:val="6"/>
    <w:next w:val="7"/>
    <w:link w:val="107"/>
    <w:qFormat/>
    <w:locked/>
    <w:uiPriority w:val="0"/>
    <w:pPr>
      <w:keepNext/>
      <w:keepLines/>
      <w:adjustRightInd w:val="0"/>
      <w:snapToGrid w:val="0"/>
      <w:spacing w:line="360" w:lineRule="auto"/>
      <w:outlineLvl w:val="2"/>
    </w:pPr>
    <w:rPr>
      <w:b w:val="0"/>
      <w:sz w:val="30"/>
      <w:szCs w:val="30"/>
    </w:rPr>
  </w:style>
  <w:style w:type="paragraph" w:styleId="6">
    <w:name w:val="heading 4"/>
    <w:basedOn w:val="1"/>
    <w:next w:val="1"/>
    <w:link w:val="108"/>
    <w:qFormat/>
    <w:locked/>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109"/>
    <w:qFormat/>
    <w:locked/>
    <w:uiPriority w:val="0"/>
    <w:pPr>
      <w:keepNext/>
      <w:keepLines/>
      <w:tabs>
        <w:tab w:val="left" w:pos="1008"/>
      </w:tabs>
      <w:spacing w:line="360" w:lineRule="auto"/>
      <w:ind w:firstLine="200" w:firstLineChars="200"/>
      <w:outlineLvl w:val="4"/>
    </w:pPr>
    <w:rPr>
      <w:b/>
      <w:sz w:val="28"/>
      <w:szCs w:val="20"/>
    </w:rPr>
  </w:style>
  <w:style w:type="paragraph" w:styleId="9">
    <w:name w:val="heading 6"/>
    <w:basedOn w:val="1"/>
    <w:next w:val="1"/>
    <w:link w:val="110"/>
    <w:qFormat/>
    <w:locked/>
    <w:uiPriority w:val="0"/>
    <w:pPr>
      <w:keepNext/>
      <w:keepLines/>
      <w:tabs>
        <w:tab w:val="left" w:pos="1152"/>
      </w:tabs>
      <w:spacing w:line="360" w:lineRule="auto"/>
      <w:ind w:firstLine="200" w:firstLineChars="200"/>
      <w:outlineLvl w:val="5"/>
    </w:pPr>
    <w:rPr>
      <w:b/>
      <w:sz w:val="28"/>
      <w:szCs w:val="16"/>
    </w:rPr>
  </w:style>
  <w:style w:type="paragraph" w:styleId="10">
    <w:name w:val="heading 7"/>
    <w:basedOn w:val="1"/>
    <w:next w:val="1"/>
    <w:link w:val="111"/>
    <w:qFormat/>
    <w:locked/>
    <w:uiPriority w:val="0"/>
    <w:pPr>
      <w:keepNext/>
      <w:keepLines/>
      <w:tabs>
        <w:tab w:val="left" w:pos="1296"/>
      </w:tabs>
      <w:spacing w:before="240" w:after="64" w:line="320" w:lineRule="auto"/>
      <w:ind w:left="1296" w:hanging="1296" w:firstLineChars="200"/>
      <w:outlineLvl w:val="6"/>
    </w:pPr>
    <w:rPr>
      <w:b/>
      <w:bCs/>
      <w:sz w:val="24"/>
    </w:rPr>
  </w:style>
  <w:style w:type="paragraph" w:styleId="11">
    <w:name w:val="heading 8"/>
    <w:basedOn w:val="1"/>
    <w:next w:val="1"/>
    <w:link w:val="112"/>
    <w:qFormat/>
    <w:locked/>
    <w:uiPriority w:val="0"/>
    <w:pPr>
      <w:keepNext/>
      <w:keepLines/>
      <w:tabs>
        <w:tab w:val="left" w:pos="1440"/>
      </w:tabs>
      <w:spacing w:before="240" w:after="64" w:line="320" w:lineRule="auto"/>
      <w:ind w:left="1440" w:hanging="1440" w:firstLineChars="200"/>
      <w:outlineLvl w:val="7"/>
    </w:pPr>
    <w:rPr>
      <w:rFonts w:ascii="Arial" w:hAnsi="Arial" w:eastAsia="黑体"/>
      <w:sz w:val="24"/>
    </w:rPr>
  </w:style>
  <w:style w:type="paragraph" w:styleId="12">
    <w:name w:val="heading 9"/>
    <w:basedOn w:val="1"/>
    <w:next w:val="1"/>
    <w:link w:val="113"/>
    <w:qFormat/>
    <w:locked/>
    <w:uiPriority w:val="0"/>
    <w:pPr>
      <w:keepNext/>
      <w:keepLines/>
      <w:tabs>
        <w:tab w:val="left" w:pos="1584"/>
      </w:tabs>
      <w:spacing w:before="240" w:after="64" w:line="320" w:lineRule="auto"/>
      <w:ind w:left="1584" w:hanging="1584" w:firstLineChars="200"/>
      <w:outlineLvl w:val="8"/>
    </w:pPr>
    <w:rPr>
      <w:rFonts w:ascii="Arial" w:hAnsi="Arial" w:eastAsia="黑体"/>
      <w:sz w:val="24"/>
      <w:szCs w:val="21"/>
    </w:rPr>
  </w:style>
  <w:style w:type="character" w:default="1" w:styleId="91">
    <w:name w:val="Default Paragraph Font"/>
    <w:semiHidden/>
    <w:qFormat/>
    <w:uiPriority w:val="0"/>
  </w:style>
  <w:style w:type="table" w:default="1" w:styleId="89">
    <w:name w:val="Normal Table"/>
    <w:semiHidden/>
    <w:qFormat/>
    <w:uiPriority w:val="0"/>
    <w:tblPr>
      <w:tblCellMar>
        <w:top w:w="0" w:type="dxa"/>
        <w:left w:w="108" w:type="dxa"/>
        <w:bottom w:w="0" w:type="dxa"/>
        <w:right w:w="108" w:type="dxa"/>
      </w:tblCellMar>
    </w:tblPr>
  </w:style>
  <w:style w:type="paragraph" w:styleId="2">
    <w:name w:val="macro"/>
    <w:link w:val="10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480" w:firstLineChars="200"/>
    </w:pPr>
    <w:rPr>
      <w:rFonts w:ascii="Courier New" w:hAnsi="Courier New" w:eastAsia="宋体" w:cs="Times New Roman"/>
      <w:kern w:val="2"/>
      <w:sz w:val="24"/>
      <w:szCs w:val="24"/>
      <w:lang w:val="en-US" w:eastAsia="zh-CN" w:bidi="ar-SA"/>
    </w:rPr>
  </w:style>
  <w:style w:type="paragraph" w:customStyle="1" w:styleId="7">
    <w:name w:val="正文小四"/>
    <w:basedOn w:val="1"/>
    <w:qFormat/>
    <w:uiPriority w:val="0"/>
    <w:pPr>
      <w:autoSpaceDE w:val="0"/>
      <w:autoSpaceDN w:val="0"/>
    </w:pPr>
    <w:rPr>
      <w:rFonts w:cs="Calibri"/>
      <w:szCs w:val="21"/>
    </w:rPr>
  </w:style>
  <w:style w:type="paragraph" w:styleId="13">
    <w:name w:val="List 3"/>
    <w:basedOn w:val="1"/>
    <w:qFormat/>
    <w:uiPriority w:val="0"/>
    <w:pPr>
      <w:ind w:left="100" w:leftChars="400" w:hanging="200" w:hangingChars="200"/>
    </w:pPr>
  </w:style>
  <w:style w:type="paragraph" w:styleId="14">
    <w:name w:val="toc 7"/>
    <w:basedOn w:val="1"/>
    <w:next w:val="1"/>
    <w:unhideWhenUsed/>
    <w:qFormat/>
    <w:locked/>
    <w:uiPriority w:val="39"/>
    <w:pPr>
      <w:ind w:left="2520" w:leftChars="1200"/>
    </w:pPr>
    <w:rPr>
      <w:rFonts w:ascii="等线" w:hAnsi="等线" w:eastAsia="等线" w:cs="Times New Roman"/>
      <w:szCs w:val="22"/>
    </w:rPr>
  </w:style>
  <w:style w:type="paragraph" w:styleId="15">
    <w:name w:val="List Number 2"/>
    <w:basedOn w:val="1"/>
    <w:qFormat/>
    <w:uiPriority w:val="0"/>
    <w:pPr>
      <w:tabs>
        <w:tab w:val="left" w:pos="780"/>
      </w:tabs>
      <w:ind w:left="780" w:hanging="360"/>
    </w:pPr>
  </w:style>
  <w:style w:type="paragraph" w:styleId="16">
    <w:name w:val="table of authorities"/>
    <w:basedOn w:val="1"/>
    <w:next w:val="1"/>
    <w:qFormat/>
    <w:uiPriority w:val="0"/>
    <w:pPr>
      <w:spacing w:line="360" w:lineRule="auto"/>
      <w:ind w:left="420" w:leftChars="200" w:firstLine="200" w:firstLineChars="200"/>
    </w:pPr>
    <w:rPr>
      <w:sz w:val="24"/>
      <w:szCs w:val="21"/>
    </w:rPr>
  </w:style>
  <w:style w:type="paragraph" w:styleId="17">
    <w:name w:val="Note Heading"/>
    <w:basedOn w:val="1"/>
    <w:next w:val="1"/>
    <w:link w:val="114"/>
    <w:qFormat/>
    <w:uiPriority w:val="0"/>
    <w:pPr>
      <w:jc w:val="center"/>
    </w:pPr>
    <w:rPr>
      <w:sz w:val="24"/>
      <w:szCs w:val="20"/>
    </w:rPr>
  </w:style>
  <w:style w:type="paragraph" w:styleId="18">
    <w:name w:val="List Bullet 4"/>
    <w:basedOn w:val="1"/>
    <w:qFormat/>
    <w:uiPriority w:val="0"/>
    <w:pPr>
      <w:tabs>
        <w:tab w:val="left" w:pos="1620"/>
      </w:tabs>
      <w:ind w:left="1620" w:hanging="360"/>
    </w:pPr>
  </w:style>
  <w:style w:type="paragraph" w:styleId="19">
    <w:name w:val="index 8"/>
    <w:basedOn w:val="1"/>
    <w:next w:val="1"/>
    <w:qFormat/>
    <w:uiPriority w:val="0"/>
    <w:pPr>
      <w:spacing w:line="360" w:lineRule="auto"/>
      <w:ind w:left="1400" w:leftChars="1400" w:firstLine="200" w:firstLineChars="200"/>
    </w:pPr>
    <w:rPr>
      <w:sz w:val="24"/>
      <w:szCs w:val="21"/>
    </w:rPr>
  </w:style>
  <w:style w:type="paragraph" w:styleId="20">
    <w:name w:val="E-mail Signature"/>
    <w:basedOn w:val="1"/>
    <w:link w:val="115"/>
    <w:qFormat/>
    <w:uiPriority w:val="0"/>
    <w:rPr>
      <w:sz w:val="24"/>
      <w:szCs w:val="20"/>
    </w:rPr>
  </w:style>
  <w:style w:type="paragraph" w:styleId="21">
    <w:name w:val="List Number"/>
    <w:basedOn w:val="1"/>
    <w:qFormat/>
    <w:uiPriority w:val="0"/>
    <w:pPr>
      <w:tabs>
        <w:tab w:val="left" w:pos="360"/>
      </w:tabs>
      <w:ind w:left="360" w:hanging="360"/>
    </w:pPr>
  </w:style>
  <w:style w:type="paragraph" w:styleId="22">
    <w:name w:val="Normal Indent"/>
    <w:basedOn w:val="1"/>
    <w:next w:val="1"/>
    <w:qFormat/>
    <w:uiPriority w:val="0"/>
    <w:pPr>
      <w:ind w:firstLine="420" w:firstLineChars="200"/>
    </w:pPr>
  </w:style>
  <w:style w:type="paragraph" w:styleId="23">
    <w:name w:val="caption"/>
    <w:basedOn w:val="1"/>
    <w:next w:val="1"/>
    <w:link w:val="116"/>
    <w:qFormat/>
    <w:locked/>
    <w:uiPriority w:val="0"/>
    <w:pPr>
      <w:widowControl w:val="0"/>
      <w:spacing w:before="120" w:after="60"/>
      <w:jc w:val="center"/>
    </w:pPr>
    <w:rPr>
      <w:rFonts w:eastAsia="黑体"/>
      <w:sz w:val="24"/>
      <w:szCs w:val="28"/>
    </w:rPr>
  </w:style>
  <w:style w:type="paragraph" w:styleId="24">
    <w:name w:val="index 5"/>
    <w:basedOn w:val="1"/>
    <w:next w:val="1"/>
    <w:qFormat/>
    <w:uiPriority w:val="0"/>
    <w:pPr>
      <w:spacing w:line="360" w:lineRule="auto"/>
      <w:ind w:left="800" w:leftChars="800" w:firstLine="200" w:firstLineChars="200"/>
    </w:pPr>
    <w:rPr>
      <w:sz w:val="24"/>
      <w:szCs w:val="21"/>
    </w:rPr>
  </w:style>
  <w:style w:type="paragraph" w:styleId="25">
    <w:name w:val="List Bullet"/>
    <w:basedOn w:val="1"/>
    <w:qFormat/>
    <w:uiPriority w:val="0"/>
    <w:pPr>
      <w:tabs>
        <w:tab w:val="left" w:pos="360"/>
      </w:tabs>
      <w:ind w:left="360" w:hanging="360"/>
    </w:pPr>
  </w:style>
  <w:style w:type="paragraph" w:styleId="26">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7">
    <w:name w:val="Document Map"/>
    <w:basedOn w:val="1"/>
    <w:link w:val="117"/>
    <w:qFormat/>
    <w:uiPriority w:val="99"/>
    <w:rPr>
      <w:rFonts w:ascii="宋体"/>
      <w:sz w:val="18"/>
      <w:szCs w:val="18"/>
    </w:rPr>
  </w:style>
  <w:style w:type="paragraph" w:styleId="28">
    <w:name w:val="toa heading"/>
    <w:basedOn w:val="1"/>
    <w:next w:val="1"/>
    <w:qFormat/>
    <w:uiPriority w:val="0"/>
    <w:pPr>
      <w:widowControl/>
      <w:spacing w:before="120" w:line="360" w:lineRule="auto"/>
      <w:ind w:firstLine="480" w:firstLineChars="200"/>
    </w:pPr>
    <w:rPr>
      <w:rFonts w:hint="eastAsia" w:ascii="Arial" w:hAnsi="Arial"/>
      <w:color w:val="000000"/>
      <w:sz w:val="24"/>
      <w:szCs w:val="21"/>
    </w:rPr>
  </w:style>
  <w:style w:type="paragraph" w:styleId="29">
    <w:name w:val="annotation text"/>
    <w:basedOn w:val="1"/>
    <w:link w:val="118"/>
    <w:qFormat/>
    <w:uiPriority w:val="99"/>
    <w:pPr>
      <w:jc w:val="left"/>
    </w:pPr>
    <w:rPr>
      <w:kern w:val="0"/>
      <w:sz w:val="24"/>
      <w:szCs w:val="20"/>
    </w:rPr>
  </w:style>
  <w:style w:type="paragraph" w:styleId="30">
    <w:name w:val="index 6"/>
    <w:basedOn w:val="1"/>
    <w:next w:val="1"/>
    <w:qFormat/>
    <w:uiPriority w:val="0"/>
    <w:pPr>
      <w:spacing w:line="360" w:lineRule="auto"/>
      <w:ind w:left="1000" w:leftChars="1000" w:firstLine="200" w:firstLineChars="200"/>
    </w:pPr>
    <w:rPr>
      <w:sz w:val="24"/>
      <w:szCs w:val="21"/>
    </w:rPr>
  </w:style>
  <w:style w:type="paragraph" w:styleId="31">
    <w:name w:val="Salutation"/>
    <w:basedOn w:val="1"/>
    <w:next w:val="1"/>
    <w:link w:val="119"/>
    <w:qFormat/>
    <w:uiPriority w:val="0"/>
    <w:rPr>
      <w:sz w:val="24"/>
      <w:szCs w:val="20"/>
    </w:rPr>
  </w:style>
  <w:style w:type="paragraph" w:styleId="32">
    <w:name w:val="Body Text 3"/>
    <w:basedOn w:val="1"/>
    <w:link w:val="120"/>
    <w:qFormat/>
    <w:uiPriority w:val="0"/>
    <w:pPr>
      <w:spacing w:after="120"/>
    </w:pPr>
    <w:rPr>
      <w:sz w:val="16"/>
      <w:szCs w:val="20"/>
    </w:rPr>
  </w:style>
  <w:style w:type="paragraph" w:styleId="33">
    <w:name w:val="Closing"/>
    <w:basedOn w:val="1"/>
    <w:link w:val="121"/>
    <w:qFormat/>
    <w:uiPriority w:val="0"/>
    <w:pPr>
      <w:ind w:left="100" w:leftChars="2100"/>
    </w:pPr>
    <w:rPr>
      <w:sz w:val="24"/>
      <w:szCs w:val="20"/>
    </w:rPr>
  </w:style>
  <w:style w:type="paragraph" w:styleId="34">
    <w:name w:val="List Bullet 3"/>
    <w:basedOn w:val="1"/>
    <w:qFormat/>
    <w:uiPriority w:val="0"/>
    <w:pPr>
      <w:tabs>
        <w:tab w:val="left" w:pos="1200"/>
      </w:tabs>
      <w:ind w:left="1200" w:hanging="360"/>
    </w:pPr>
  </w:style>
  <w:style w:type="paragraph" w:styleId="35">
    <w:name w:val="Body Text"/>
    <w:basedOn w:val="1"/>
    <w:next w:val="1"/>
    <w:link w:val="122"/>
    <w:qFormat/>
    <w:uiPriority w:val="99"/>
    <w:pPr>
      <w:widowControl/>
      <w:snapToGrid w:val="0"/>
      <w:spacing w:before="60" w:after="160" w:line="259" w:lineRule="auto"/>
      <w:ind w:right="113"/>
    </w:pPr>
    <w:rPr>
      <w:kern w:val="0"/>
      <w:sz w:val="18"/>
      <w:szCs w:val="20"/>
    </w:rPr>
  </w:style>
  <w:style w:type="paragraph" w:styleId="36">
    <w:name w:val="Body Text Indent"/>
    <w:basedOn w:val="1"/>
    <w:next w:val="22"/>
    <w:link w:val="123"/>
    <w:qFormat/>
    <w:uiPriority w:val="99"/>
    <w:pPr>
      <w:spacing w:after="120"/>
      <w:ind w:left="420" w:leftChars="200"/>
    </w:pPr>
    <w:rPr>
      <w:kern w:val="0"/>
      <w:sz w:val="24"/>
    </w:rPr>
  </w:style>
  <w:style w:type="paragraph" w:styleId="37">
    <w:name w:val="List Number 3"/>
    <w:basedOn w:val="1"/>
    <w:qFormat/>
    <w:uiPriority w:val="0"/>
    <w:pPr>
      <w:tabs>
        <w:tab w:val="left" w:pos="1200"/>
      </w:tabs>
      <w:ind w:left="1200" w:hanging="360"/>
    </w:pPr>
  </w:style>
  <w:style w:type="paragraph" w:styleId="38">
    <w:name w:val="List 2"/>
    <w:basedOn w:val="1"/>
    <w:qFormat/>
    <w:uiPriority w:val="0"/>
    <w:pPr>
      <w:adjustRightInd w:val="0"/>
      <w:spacing w:line="240" w:lineRule="exact"/>
      <w:ind w:left="100" w:leftChars="200" w:hanging="200" w:hangingChars="200"/>
      <w:textAlignment w:val="baseline"/>
      <w:outlineLvl w:val="4"/>
    </w:pPr>
    <w:rPr>
      <w:spacing w:val="20"/>
      <w:sz w:val="24"/>
    </w:rPr>
  </w:style>
  <w:style w:type="paragraph" w:styleId="39">
    <w:name w:val="List Continue"/>
    <w:basedOn w:val="1"/>
    <w:qFormat/>
    <w:uiPriority w:val="0"/>
    <w:pPr>
      <w:spacing w:after="120"/>
      <w:ind w:left="420" w:leftChars="200"/>
    </w:pPr>
  </w:style>
  <w:style w:type="paragraph" w:styleId="40">
    <w:name w:val="Block Text"/>
    <w:basedOn w:val="1"/>
    <w:qFormat/>
    <w:uiPriority w:val="0"/>
    <w:pPr>
      <w:spacing w:after="120"/>
      <w:ind w:left="1440" w:leftChars="700" w:right="1440" w:rightChars="700"/>
    </w:pPr>
  </w:style>
  <w:style w:type="paragraph" w:styleId="41">
    <w:name w:val="List Bullet 2"/>
    <w:basedOn w:val="1"/>
    <w:qFormat/>
    <w:uiPriority w:val="0"/>
    <w:pPr>
      <w:tabs>
        <w:tab w:val="left" w:pos="780"/>
      </w:tabs>
      <w:ind w:left="780" w:leftChars="200" w:hanging="360" w:hangingChars="200"/>
    </w:pPr>
    <w:rPr>
      <w:sz w:val="24"/>
    </w:rPr>
  </w:style>
  <w:style w:type="paragraph" w:styleId="42">
    <w:name w:val="HTML Address"/>
    <w:basedOn w:val="1"/>
    <w:link w:val="124"/>
    <w:qFormat/>
    <w:uiPriority w:val="0"/>
    <w:rPr>
      <w:i/>
      <w:sz w:val="24"/>
      <w:szCs w:val="20"/>
    </w:rPr>
  </w:style>
  <w:style w:type="paragraph" w:styleId="43">
    <w:name w:val="index 4"/>
    <w:basedOn w:val="1"/>
    <w:next w:val="1"/>
    <w:qFormat/>
    <w:uiPriority w:val="0"/>
    <w:pPr>
      <w:spacing w:line="360" w:lineRule="auto"/>
      <w:ind w:left="600" w:leftChars="600" w:firstLine="200" w:firstLineChars="200"/>
    </w:pPr>
    <w:rPr>
      <w:sz w:val="24"/>
      <w:szCs w:val="21"/>
    </w:rPr>
  </w:style>
  <w:style w:type="paragraph" w:styleId="44">
    <w:name w:val="toc 5"/>
    <w:basedOn w:val="1"/>
    <w:next w:val="1"/>
    <w:unhideWhenUsed/>
    <w:qFormat/>
    <w:locked/>
    <w:uiPriority w:val="39"/>
    <w:pPr>
      <w:ind w:left="1680" w:leftChars="800"/>
    </w:pPr>
    <w:rPr>
      <w:rFonts w:ascii="等线" w:hAnsi="等线" w:eastAsia="等线" w:cs="Times New Roman"/>
      <w:szCs w:val="22"/>
    </w:rPr>
  </w:style>
  <w:style w:type="paragraph" w:styleId="45">
    <w:name w:val="toc 3"/>
    <w:basedOn w:val="1"/>
    <w:next w:val="1"/>
    <w:qFormat/>
    <w:locked/>
    <w:uiPriority w:val="39"/>
    <w:pPr>
      <w:ind w:left="840" w:leftChars="400"/>
    </w:pPr>
  </w:style>
  <w:style w:type="paragraph" w:styleId="46">
    <w:name w:val="Plain Text"/>
    <w:basedOn w:val="1"/>
    <w:next w:val="31"/>
    <w:link w:val="125"/>
    <w:qFormat/>
    <w:uiPriority w:val="99"/>
    <w:rPr>
      <w:rFonts w:ascii="宋体" w:hAnsi="Courier New"/>
      <w:szCs w:val="20"/>
    </w:rPr>
  </w:style>
  <w:style w:type="paragraph" w:styleId="47">
    <w:name w:val="List Bullet 5"/>
    <w:basedOn w:val="1"/>
    <w:qFormat/>
    <w:uiPriority w:val="0"/>
    <w:pPr>
      <w:tabs>
        <w:tab w:val="left" w:pos="2040"/>
      </w:tabs>
      <w:ind w:left="2040" w:hanging="360"/>
    </w:pPr>
  </w:style>
  <w:style w:type="paragraph" w:styleId="48">
    <w:name w:val="List Number 4"/>
    <w:basedOn w:val="1"/>
    <w:qFormat/>
    <w:uiPriority w:val="0"/>
    <w:pPr>
      <w:tabs>
        <w:tab w:val="left" w:pos="1620"/>
      </w:tabs>
      <w:ind w:left="1620" w:hanging="360"/>
    </w:pPr>
  </w:style>
  <w:style w:type="paragraph" w:styleId="49">
    <w:name w:val="toc 8"/>
    <w:basedOn w:val="1"/>
    <w:next w:val="1"/>
    <w:unhideWhenUsed/>
    <w:qFormat/>
    <w:locked/>
    <w:uiPriority w:val="39"/>
    <w:pPr>
      <w:ind w:left="2940" w:leftChars="1400"/>
    </w:pPr>
    <w:rPr>
      <w:rFonts w:ascii="等线" w:hAnsi="等线" w:eastAsia="等线" w:cs="Times New Roman"/>
      <w:szCs w:val="22"/>
    </w:rPr>
  </w:style>
  <w:style w:type="paragraph" w:styleId="50">
    <w:name w:val="index 3"/>
    <w:basedOn w:val="1"/>
    <w:next w:val="1"/>
    <w:qFormat/>
    <w:uiPriority w:val="0"/>
    <w:pPr>
      <w:spacing w:line="360" w:lineRule="auto"/>
      <w:ind w:left="400" w:leftChars="400" w:firstLine="200" w:firstLineChars="200"/>
    </w:pPr>
    <w:rPr>
      <w:sz w:val="24"/>
      <w:szCs w:val="21"/>
    </w:rPr>
  </w:style>
  <w:style w:type="paragraph" w:styleId="51">
    <w:name w:val="Date"/>
    <w:basedOn w:val="1"/>
    <w:next w:val="1"/>
    <w:link w:val="131"/>
    <w:qFormat/>
    <w:uiPriority w:val="0"/>
    <w:pPr>
      <w:ind w:left="100" w:leftChars="2500"/>
    </w:pPr>
    <w:rPr>
      <w:kern w:val="0"/>
      <w:sz w:val="24"/>
      <w:szCs w:val="20"/>
    </w:rPr>
  </w:style>
  <w:style w:type="paragraph" w:styleId="52">
    <w:name w:val="Body Text Indent 2"/>
    <w:basedOn w:val="1"/>
    <w:link w:val="132"/>
    <w:qFormat/>
    <w:uiPriority w:val="0"/>
    <w:pPr>
      <w:spacing w:after="120" w:line="480" w:lineRule="auto"/>
      <w:ind w:left="420" w:leftChars="200"/>
    </w:pPr>
  </w:style>
  <w:style w:type="paragraph" w:styleId="53">
    <w:name w:val="endnote text"/>
    <w:basedOn w:val="1"/>
    <w:link w:val="133"/>
    <w:qFormat/>
    <w:uiPriority w:val="0"/>
    <w:pPr>
      <w:snapToGrid w:val="0"/>
      <w:spacing w:line="360" w:lineRule="auto"/>
      <w:ind w:firstLine="480" w:firstLineChars="200"/>
      <w:jc w:val="left"/>
    </w:pPr>
    <w:rPr>
      <w:szCs w:val="20"/>
    </w:rPr>
  </w:style>
  <w:style w:type="paragraph" w:styleId="54">
    <w:name w:val="List Continue 5"/>
    <w:basedOn w:val="1"/>
    <w:qFormat/>
    <w:uiPriority w:val="0"/>
    <w:pPr>
      <w:spacing w:after="120"/>
      <w:ind w:left="2100" w:leftChars="1000"/>
    </w:pPr>
  </w:style>
  <w:style w:type="paragraph" w:styleId="55">
    <w:name w:val="Balloon Text"/>
    <w:basedOn w:val="1"/>
    <w:link w:val="134"/>
    <w:qFormat/>
    <w:uiPriority w:val="99"/>
    <w:rPr>
      <w:kern w:val="0"/>
      <w:sz w:val="18"/>
      <w:szCs w:val="18"/>
    </w:rPr>
  </w:style>
  <w:style w:type="paragraph" w:styleId="56">
    <w:name w:val="footer"/>
    <w:basedOn w:val="1"/>
    <w:link w:val="135"/>
    <w:qFormat/>
    <w:uiPriority w:val="99"/>
    <w:pPr>
      <w:tabs>
        <w:tab w:val="center" w:pos="4153"/>
        <w:tab w:val="right" w:pos="8306"/>
      </w:tabs>
      <w:snapToGrid w:val="0"/>
      <w:jc w:val="left"/>
    </w:pPr>
    <w:rPr>
      <w:kern w:val="0"/>
      <w:sz w:val="18"/>
      <w:szCs w:val="18"/>
    </w:rPr>
  </w:style>
  <w:style w:type="paragraph" w:styleId="57">
    <w:name w:val="envelope return"/>
    <w:basedOn w:val="1"/>
    <w:qFormat/>
    <w:uiPriority w:val="0"/>
    <w:pPr>
      <w:snapToGrid w:val="0"/>
    </w:pPr>
    <w:rPr>
      <w:rFonts w:ascii="Arial" w:hAnsi="Arial" w:cs="Arial"/>
    </w:rPr>
  </w:style>
  <w:style w:type="paragraph" w:styleId="58">
    <w:name w:val="header"/>
    <w:basedOn w:val="1"/>
    <w:next w:val="23"/>
    <w:link w:val="136"/>
    <w:qFormat/>
    <w:uiPriority w:val="99"/>
    <w:pPr>
      <w:pBdr>
        <w:bottom w:val="single" w:color="auto" w:sz="6" w:space="1"/>
      </w:pBdr>
      <w:tabs>
        <w:tab w:val="center" w:pos="4153"/>
        <w:tab w:val="right" w:pos="8306"/>
      </w:tabs>
      <w:snapToGrid w:val="0"/>
      <w:jc w:val="center"/>
    </w:pPr>
    <w:rPr>
      <w:kern w:val="0"/>
      <w:sz w:val="18"/>
      <w:szCs w:val="18"/>
    </w:rPr>
  </w:style>
  <w:style w:type="paragraph" w:styleId="59">
    <w:name w:val="Signature"/>
    <w:basedOn w:val="1"/>
    <w:link w:val="137"/>
    <w:qFormat/>
    <w:uiPriority w:val="0"/>
    <w:pPr>
      <w:ind w:left="100" w:leftChars="2100"/>
    </w:pPr>
    <w:rPr>
      <w:sz w:val="24"/>
      <w:szCs w:val="20"/>
    </w:rPr>
  </w:style>
  <w:style w:type="paragraph" w:styleId="60">
    <w:name w:val="toc 1"/>
    <w:basedOn w:val="1"/>
    <w:next w:val="1"/>
    <w:qFormat/>
    <w:locked/>
    <w:uiPriority w:val="39"/>
    <w:rPr>
      <w:rFonts w:ascii="Calibri" w:hAnsi="Calibri"/>
    </w:rPr>
  </w:style>
  <w:style w:type="paragraph" w:styleId="61">
    <w:name w:val="List Continue 4"/>
    <w:basedOn w:val="1"/>
    <w:qFormat/>
    <w:uiPriority w:val="0"/>
    <w:pPr>
      <w:spacing w:after="120"/>
      <w:ind w:left="1680" w:leftChars="800"/>
    </w:pPr>
  </w:style>
  <w:style w:type="paragraph" w:styleId="62">
    <w:name w:val="toc 4"/>
    <w:basedOn w:val="1"/>
    <w:next w:val="1"/>
    <w:unhideWhenUsed/>
    <w:qFormat/>
    <w:locked/>
    <w:uiPriority w:val="39"/>
    <w:pPr>
      <w:ind w:left="1260" w:leftChars="600"/>
    </w:pPr>
    <w:rPr>
      <w:rFonts w:ascii="等线" w:hAnsi="等线" w:eastAsia="等线" w:cs="Times New Roman"/>
      <w:szCs w:val="22"/>
    </w:rPr>
  </w:style>
  <w:style w:type="paragraph" w:styleId="63">
    <w:name w:val="index heading"/>
    <w:basedOn w:val="1"/>
    <w:next w:val="64"/>
    <w:qFormat/>
    <w:uiPriority w:val="0"/>
    <w:pPr>
      <w:spacing w:line="360" w:lineRule="auto"/>
      <w:ind w:firstLine="480" w:firstLineChars="200"/>
    </w:pPr>
    <w:rPr>
      <w:rFonts w:ascii="Arial" w:hAnsi="Arial"/>
      <w:b/>
      <w:bCs/>
      <w:sz w:val="24"/>
      <w:szCs w:val="21"/>
    </w:rPr>
  </w:style>
  <w:style w:type="paragraph" w:styleId="64">
    <w:name w:val="index 1"/>
    <w:basedOn w:val="1"/>
    <w:next w:val="1"/>
    <w:qFormat/>
    <w:uiPriority w:val="0"/>
    <w:pPr>
      <w:spacing w:line="360" w:lineRule="auto"/>
      <w:ind w:firstLine="200" w:firstLineChars="200"/>
    </w:pPr>
    <w:rPr>
      <w:sz w:val="24"/>
      <w:szCs w:val="21"/>
    </w:rPr>
  </w:style>
  <w:style w:type="paragraph" w:styleId="65">
    <w:name w:val="Subtitle"/>
    <w:basedOn w:val="1"/>
    <w:next w:val="1"/>
    <w:link w:val="138"/>
    <w:qFormat/>
    <w:locked/>
    <w:uiPriority w:val="0"/>
    <w:pPr>
      <w:adjustRightInd w:val="0"/>
      <w:snapToGrid w:val="0"/>
      <w:spacing w:line="360" w:lineRule="auto"/>
      <w:jc w:val="center"/>
      <w:outlineLvl w:val="4"/>
    </w:pPr>
    <w:rPr>
      <w:b/>
      <w:bCs/>
      <w:color w:val="000000"/>
      <w:kern w:val="28"/>
      <w:sz w:val="24"/>
      <w:szCs w:val="32"/>
    </w:rPr>
  </w:style>
  <w:style w:type="paragraph" w:styleId="66">
    <w:name w:val="List Number 5"/>
    <w:basedOn w:val="1"/>
    <w:qFormat/>
    <w:uiPriority w:val="0"/>
    <w:pPr>
      <w:tabs>
        <w:tab w:val="left" w:pos="2040"/>
      </w:tabs>
      <w:ind w:left="2040" w:hanging="360"/>
    </w:pPr>
  </w:style>
  <w:style w:type="paragraph" w:styleId="67">
    <w:name w:val="List"/>
    <w:basedOn w:val="1"/>
    <w:qFormat/>
    <w:uiPriority w:val="0"/>
    <w:pPr>
      <w:ind w:left="200" w:hanging="200" w:hangingChars="200"/>
    </w:pPr>
  </w:style>
  <w:style w:type="paragraph" w:styleId="68">
    <w:name w:val="footnote text"/>
    <w:basedOn w:val="1"/>
    <w:link w:val="139"/>
    <w:qFormat/>
    <w:uiPriority w:val="0"/>
    <w:pPr>
      <w:snapToGrid w:val="0"/>
      <w:spacing w:line="360" w:lineRule="auto"/>
      <w:ind w:firstLine="480" w:firstLineChars="200"/>
      <w:jc w:val="left"/>
    </w:pPr>
    <w:rPr>
      <w:sz w:val="18"/>
      <w:szCs w:val="20"/>
    </w:rPr>
  </w:style>
  <w:style w:type="paragraph" w:styleId="69">
    <w:name w:val="toc 6"/>
    <w:basedOn w:val="1"/>
    <w:next w:val="1"/>
    <w:unhideWhenUsed/>
    <w:qFormat/>
    <w:locked/>
    <w:uiPriority w:val="39"/>
    <w:pPr>
      <w:ind w:left="2100" w:leftChars="1000"/>
    </w:pPr>
    <w:rPr>
      <w:rFonts w:ascii="等线" w:hAnsi="等线" w:eastAsia="等线" w:cs="Times New Roman"/>
      <w:szCs w:val="22"/>
    </w:rPr>
  </w:style>
  <w:style w:type="paragraph" w:styleId="70">
    <w:name w:val="List 5"/>
    <w:basedOn w:val="1"/>
    <w:qFormat/>
    <w:uiPriority w:val="0"/>
    <w:pPr>
      <w:ind w:left="100" w:leftChars="800" w:hanging="200" w:hangingChars="200"/>
    </w:pPr>
  </w:style>
  <w:style w:type="paragraph" w:styleId="71">
    <w:name w:val="Body Text Indent 3"/>
    <w:basedOn w:val="1"/>
    <w:link w:val="140"/>
    <w:qFormat/>
    <w:uiPriority w:val="99"/>
    <w:pPr>
      <w:spacing w:after="120"/>
      <w:ind w:left="420" w:leftChars="200"/>
    </w:pPr>
    <w:rPr>
      <w:sz w:val="16"/>
      <w:szCs w:val="16"/>
    </w:rPr>
  </w:style>
  <w:style w:type="paragraph" w:styleId="72">
    <w:name w:val="index 7"/>
    <w:basedOn w:val="1"/>
    <w:next w:val="1"/>
    <w:qFormat/>
    <w:uiPriority w:val="0"/>
    <w:pPr>
      <w:spacing w:line="360" w:lineRule="auto"/>
      <w:ind w:left="1200" w:leftChars="1200" w:firstLine="200" w:firstLineChars="200"/>
    </w:pPr>
    <w:rPr>
      <w:sz w:val="24"/>
      <w:szCs w:val="21"/>
    </w:rPr>
  </w:style>
  <w:style w:type="paragraph" w:styleId="73">
    <w:name w:val="index 9"/>
    <w:basedOn w:val="1"/>
    <w:next w:val="1"/>
    <w:qFormat/>
    <w:uiPriority w:val="0"/>
    <w:pPr>
      <w:spacing w:line="360" w:lineRule="auto"/>
      <w:ind w:left="1600" w:leftChars="1600" w:firstLine="200" w:firstLineChars="200"/>
    </w:pPr>
    <w:rPr>
      <w:sz w:val="24"/>
      <w:szCs w:val="21"/>
    </w:rPr>
  </w:style>
  <w:style w:type="paragraph" w:styleId="74">
    <w:name w:val="table of figures"/>
    <w:basedOn w:val="1"/>
    <w:next w:val="1"/>
    <w:qFormat/>
    <w:uiPriority w:val="0"/>
    <w:pPr>
      <w:spacing w:line="360" w:lineRule="auto"/>
      <w:ind w:left="200" w:leftChars="200" w:hanging="200" w:hangingChars="200"/>
    </w:pPr>
    <w:rPr>
      <w:sz w:val="24"/>
      <w:szCs w:val="21"/>
    </w:rPr>
  </w:style>
  <w:style w:type="paragraph" w:styleId="75">
    <w:name w:val="toc 2"/>
    <w:basedOn w:val="1"/>
    <w:next w:val="1"/>
    <w:qFormat/>
    <w:locked/>
    <w:uiPriority w:val="39"/>
    <w:pPr>
      <w:ind w:left="420" w:leftChars="200"/>
    </w:pPr>
  </w:style>
  <w:style w:type="paragraph" w:styleId="76">
    <w:name w:val="toc 9"/>
    <w:basedOn w:val="1"/>
    <w:next w:val="1"/>
    <w:unhideWhenUsed/>
    <w:qFormat/>
    <w:locked/>
    <w:uiPriority w:val="39"/>
    <w:pPr>
      <w:ind w:left="3360" w:leftChars="1600"/>
    </w:pPr>
    <w:rPr>
      <w:rFonts w:ascii="等线" w:hAnsi="等线" w:eastAsia="等线" w:cs="Times New Roman"/>
      <w:szCs w:val="22"/>
    </w:rPr>
  </w:style>
  <w:style w:type="paragraph" w:styleId="77">
    <w:name w:val="Body Text 2"/>
    <w:basedOn w:val="1"/>
    <w:link w:val="141"/>
    <w:qFormat/>
    <w:uiPriority w:val="0"/>
    <w:pPr>
      <w:spacing w:after="120" w:line="480" w:lineRule="auto"/>
    </w:pPr>
    <w:rPr>
      <w:sz w:val="24"/>
      <w:szCs w:val="20"/>
    </w:rPr>
  </w:style>
  <w:style w:type="paragraph" w:styleId="78">
    <w:name w:val="List 4"/>
    <w:basedOn w:val="1"/>
    <w:qFormat/>
    <w:uiPriority w:val="0"/>
    <w:pPr>
      <w:ind w:left="100" w:leftChars="600" w:hanging="200" w:hangingChars="200"/>
    </w:pPr>
  </w:style>
  <w:style w:type="paragraph" w:styleId="79">
    <w:name w:val="List Continue 2"/>
    <w:basedOn w:val="1"/>
    <w:qFormat/>
    <w:uiPriority w:val="0"/>
    <w:pPr>
      <w:spacing w:after="120"/>
      <w:ind w:left="840" w:leftChars="400"/>
    </w:pPr>
  </w:style>
  <w:style w:type="paragraph" w:styleId="80">
    <w:name w:val="Message Header"/>
    <w:basedOn w:val="1"/>
    <w:link w:val="14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styleId="81">
    <w:name w:val="HTML Preformatted"/>
    <w:basedOn w:val="1"/>
    <w:link w:val="143"/>
    <w:qFormat/>
    <w:uiPriority w:val="0"/>
    <w:rPr>
      <w:rFonts w:ascii="Courier New" w:hAnsi="Courier New"/>
      <w:sz w:val="20"/>
      <w:szCs w:val="20"/>
    </w:rPr>
  </w:style>
  <w:style w:type="paragraph" w:styleId="82">
    <w:name w:val="Normal (Web)"/>
    <w:basedOn w:val="1"/>
    <w:link w:val="144"/>
    <w:qFormat/>
    <w:uiPriority w:val="0"/>
    <w:pPr>
      <w:widowControl/>
      <w:spacing w:before="100" w:beforeAutospacing="1" w:after="100" w:afterAutospacing="1"/>
      <w:jc w:val="left"/>
    </w:pPr>
    <w:rPr>
      <w:rFonts w:ascii="宋体" w:hAnsi="宋体"/>
      <w:kern w:val="0"/>
      <w:sz w:val="24"/>
      <w:szCs w:val="20"/>
    </w:rPr>
  </w:style>
  <w:style w:type="paragraph" w:styleId="83">
    <w:name w:val="List Continue 3"/>
    <w:basedOn w:val="1"/>
    <w:qFormat/>
    <w:uiPriority w:val="0"/>
    <w:pPr>
      <w:spacing w:after="120"/>
      <w:ind w:left="1260" w:leftChars="600"/>
    </w:pPr>
  </w:style>
  <w:style w:type="paragraph" w:styleId="84">
    <w:name w:val="index 2"/>
    <w:basedOn w:val="1"/>
    <w:next w:val="1"/>
    <w:qFormat/>
    <w:uiPriority w:val="0"/>
    <w:pPr>
      <w:spacing w:line="360" w:lineRule="auto"/>
      <w:ind w:left="200" w:leftChars="200" w:firstLine="200" w:firstLineChars="200"/>
    </w:pPr>
    <w:rPr>
      <w:sz w:val="24"/>
      <w:szCs w:val="21"/>
    </w:rPr>
  </w:style>
  <w:style w:type="paragraph" w:styleId="85">
    <w:name w:val="Title"/>
    <w:basedOn w:val="1"/>
    <w:link w:val="145"/>
    <w:qFormat/>
    <w:locked/>
    <w:uiPriority w:val="0"/>
    <w:pPr>
      <w:spacing w:before="240" w:after="60"/>
      <w:jc w:val="center"/>
      <w:outlineLvl w:val="0"/>
    </w:pPr>
    <w:rPr>
      <w:rFonts w:ascii="Arial" w:hAnsi="Arial"/>
      <w:b/>
      <w:sz w:val="32"/>
      <w:szCs w:val="20"/>
    </w:rPr>
  </w:style>
  <w:style w:type="paragraph" w:styleId="86">
    <w:name w:val="annotation subject"/>
    <w:basedOn w:val="29"/>
    <w:next w:val="29"/>
    <w:link w:val="146"/>
    <w:qFormat/>
    <w:uiPriority w:val="99"/>
    <w:rPr>
      <w:b/>
      <w:bCs/>
      <w:kern w:val="2"/>
    </w:rPr>
  </w:style>
  <w:style w:type="paragraph" w:styleId="87">
    <w:name w:val="Body Text First Indent"/>
    <w:basedOn w:val="35"/>
    <w:next w:val="1"/>
    <w:link w:val="130"/>
    <w:qFormat/>
    <w:uiPriority w:val="99"/>
    <w:pPr>
      <w:widowControl w:val="0"/>
      <w:snapToGrid/>
      <w:spacing w:before="0" w:after="120" w:line="240" w:lineRule="auto"/>
      <w:ind w:right="0" w:firstLine="420" w:firstLineChars="100"/>
    </w:pPr>
    <w:rPr>
      <w:kern w:val="2"/>
      <w:sz w:val="21"/>
      <w:szCs w:val="24"/>
    </w:rPr>
  </w:style>
  <w:style w:type="paragraph" w:styleId="88">
    <w:name w:val="Body Text First Indent 2"/>
    <w:basedOn w:val="36"/>
    <w:next w:val="87"/>
    <w:link w:val="129"/>
    <w:qFormat/>
    <w:uiPriority w:val="0"/>
    <w:pPr>
      <w:spacing w:after="120" w:line="360" w:lineRule="auto"/>
      <w:ind w:left="420" w:leftChars="200" w:firstLine="420" w:firstLineChars="200"/>
    </w:pPr>
    <w:rPr>
      <w:rFonts w:eastAsia="仿宋_GB2312"/>
    </w:rPr>
  </w:style>
  <w:style w:type="table" w:styleId="90">
    <w:name w:val="Table Grid"/>
    <w:basedOn w:val="89"/>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qFormat/>
    <w:locked/>
    <w:uiPriority w:val="22"/>
    <w:rPr>
      <w:b/>
    </w:rPr>
  </w:style>
  <w:style w:type="character" w:styleId="93">
    <w:name w:val="endnote reference"/>
    <w:qFormat/>
    <w:uiPriority w:val="0"/>
    <w:rPr>
      <w:vertAlign w:val="superscript"/>
    </w:rPr>
  </w:style>
  <w:style w:type="character" w:styleId="94">
    <w:name w:val="page number"/>
    <w:qFormat/>
    <w:uiPriority w:val="0"/>
  </w:style>
  <w:style w:type="character" w:styleId="95">
    <w:name w:val="FollowedHyperlink"/>
    <w:unhideWhenUsed/>
    <w:qFormat/>
    <w:uiPriority w:val="99"/>
    <w:rPr>
      <w:color w:val="954F72"/>
      <w:u w:val="single"/>
    </w:rPr>
  </w:style>
  <w:style w:type="character" w:styleId="96">
    <w:name w:val="Emphasis"/>
    <w:qFormat/>
    <w:locked/>
    <w:uiPriority w:val="20"/>
    <w:rPr>
      <w:i/>
    </w:rPr>
  </w:style>
  <w:style w:type="character" w:styleId="97">
    <w:name w:val="line number"/>
    <w:unhideWhenUsed/>
    <w:qFormat/>
    <w:uiPriority w:val="99"/>
  </w:style>
  <w:style w:type="character" w:styleId="98">
    <w:name w:val="HTML Typewriter"/>
    <w:qFormat/>
    <w:uiPriority w:val="0"/>
    <w:rPr>
      <w:rFonts w:ascii="宋体" w:hAnsi="宋体" w:eastAsia="宋体"/>
      <w:sz w:val="24"/>
    </w:rPr>
  </w:style>
  <w:style w:type="character" w:styleId="99">
    <w:name w:val="HTML Variable"/>
    <w:qFormat/>
    <w:uiPriority w:val="0"/>
    <w:rPr>
      <w:i/>
    </w:rPr>
  </w:style>
  <w:style w:type="character" w:styleId="100">
    <w:name w:val="Hyperlink"/>
    <w:unhideWhenUsed/>
    <w:qFormat/>
    <w:uiPriority w:val="99"/>
    <w:rPr>
      <w:color w:val="0000FF"/>
      <w:u w:val="single"/>
    </w:rPr>
  </w:style>
  <w:style w:type="character" w:styleId="101">
    <w:name w:val="HTML Code"/>
    <w:qFormat/>
    <w:uiPriority w:val="0"/>
    <w:rPr>
      <w:rFonts w:ascii="Courier New" w:hAnsi="Courier New"/>
      <w:sz w:val="20"/>
    </w:rPr>
  </w:style>
  <w:style w:type="character" w:styleId="102">
    <w:name w:val="annotation reference"/>
    <w:qFormat/>
    <w:uiPriority w:val="0"/>
    <w:rPr>
      <w:sz w:val="21"/>
    </w:rPr>
  </w:style>
  <w:style w:type="character" w:styleId="103">
    <w:name w:val="footnote reference"/>
    <w:qFormat/>
    <w:uiPriority w:val="0"/>
    <w:rPr>
      <w:vertAlign w:val="superscript"/>
    </w:rPr>
  </w:style>
  <w:style w:type="character" w:customStyle="1" w:styleId="104">
    <w:name w:val="宏文本 字符1"/>
    <w:link w:val="2"/>
    <w:qFormat/>
    <w:locked/>
    <w:uiPriority w:val="0"/>
    <w:rPr>
      <w:rFonts w:ascii="Courier New" w:hAnsi="Courier New"/>
      <w:kern w:val="2"/>
      <w:sz w:val="24"/>
      <w:szCs w:val="24"/>
      <w:lang w:bidi="ar-SA"/>
    </w:rPr>
  </w:style>
  <w:style w:type="character" w:customStyle="1" w:styleId="105">
    <w:name w:val="标题 1 字符"/>
    <w:link w:val="3"/>
    <w:qFormat/>
    <w:uiPriority w:val="9"/>
    <w:rPr>
      <w:rFonts w:eastAsia="黑体"/>
      <w:b/>
      <w:bCs/>
      <w:color w:val="000000"/>
      <w:kern w:val="44"/>
      <w:sz w:val="30"/>
      <w:szCs w:val="30"/>
    </w:rPr>
  </w:style>
  <w:style w:type="character" w:customStyle="1" w:styleId="106">
    <w:name w:val="标题 2 字符1"/>
    <w:link w:val="4"/>
    <w:qFormat/>
    <w:uiPriority w:val="0"/>
    <w:rPr>
      <w:b/>
      <w:sz w:val="28"/>
    </w:rPr>
  </w:style>
  <w:style w:type="character" w:customStyle="1" w:styleId="107">
    <w:name w:val="标题 3 字符1"/>
    <w:link w:val="5"/>
    <w:qFormat/>
    <w:uiPriority w:val="0"/>
    <w:rPr>
      <w:b/>
      <w:kern w:val="2"/>
      <w:sz w:val="30"/>
      <w:szCs w:val="30"/>
    </w:rPr>
  </w:style>
  <w:style w:type="character" w:customStyle="1" w:styleId="108">
    <w:name w:val="标题 4 字符1"/>
    <w:link w:val="6"/>
    <w:qFormat/>
    <w:uiPriority w:val="0"/>
    <w:rPr>
      <w:rFonts w:ascii="Cambria" w:hAnsi="Cambria"/>
      <w:b/>
      <w:bCs/>
      <w:kern w:val="2"/>
      <w:sz w:val="28"/>
      <w:szCs w:val="28"/>
    </w:rPr>
  </w:style>
  <w:style w:type="character" w:customStyle="1" w:styleId="109">
    <w:name w:val="标题 5 字符1"/>
    <w:link w:val="8"/>
    <w:qFormat/>
    <w:uiPriority w:val="0"/>
    <w:rPr>
      <w:b/>
      <w:kern w:val="2"/>
      <w:sz w:val="28"/>
    </w:rPr>
  </w:style>
  <w:style w:type="character" w:customStyle="1" w:styleId="110">
    <w:name w:val="标题 6 字符1"/>
    <w:link w:val="9"/>
    <w:qFormat/>
    <w:uiPriority w:val="0"/>
    <w:rPr>
      <w:b/>
      <w:kern w:val="2"/>
      <w:sz w:val="28"/>
      <w:szCs w:val="16"/>
    </w:rPr>
  </w:style>
  <w:style w:type="character" w:customStyle="1" w:styleId="111">
    <w:name w:val="标题 7 字符1"/>
    <w:link w:val="10"/>
    <w:qFormat/>
    <w:uiPriority w:val="0"/>
    <w:rPr>
      <w:b/>
      <w:bCs/>
      <w:kern w:val="2"/>
      <w:sz w:val="24"/>
      <w:szCs w:val="24"/>
    </w:rPr>
  </w:style>
  <w:style w:type="character" w:customStyle="1" w:styleId="112">
    <w:name w:val="标题 8 字符1"/>
    <w:link w:val="11"/>
    <w:qFormat/>
    <w:uiPriority w:val="0"/>
    <w:rPr>
      <w:rFonts w:ascii="Arial" w:hAnsi="Arial" w:eastAsia="黑体"/>
      <w:kern w:val="2"/>
      <w:sz w:val="24"/>
      <w:szCs w:val="24"/>
    </w:rPr>
  </w:style>
  <w:style w:type="character" w:customStyle="1" w:styleId="113">
    <w:name w:val="标题 9 字符1"/>
    <w:link w:val="12"/>
    <w:qFormat/>
    <w:uiPriority w:val="0"/>
    <w:rPr>
      <w:rFonts w:ascii="Arial" w:hAnsi="Arial" w:eastAsia="黑体"/>
      <w:kern w:val="2"/>
      <w:sz w:val="24"/>
      <w:szCs w:val="21"/>
    </w:rPr>
  </w:style>
  <w:style w:type="character" w:customStyle="1" w:styleId="114">
    <w:name w:val="注释标题 字符1"/>
    <w:link w:val="17"/>
    <w:qFormat/>
    <w:locked/>
    <w:uiPriority w:val="0"/>
    <w:rPr>
      <w:kern w:val="2"/>
      <w:sz w:val="24"/>
    </w:rPr>
  </w:style>
  <w:style w:type="character" w:customStyle="1" w:styleId="115">
    <w:name w:val="电子邮件签名 字符1"/>
    <w:link w:val="20"/>
    <w:qFormat/>
    <w:locked/>
    <w:uiPriority w:val="0"/>
    <w:rPr>
      <w:kern w:val="2"/>
      <w:sz w:val="24"/>
    </w:rPr>
  </w:style>
  <w:style w:type="character" w:customStyle="1" w:styleId="116">
    <w:name w:val="题注 字符"/>
    <w:link w:val="23"/>
    <w:qFormat/>
    <w:uiPriority w:val="0"/>
    <w:rPr>
      <w:rFonts w:eastAsia="黑体" w:cs="Arial"/>
      <w:kern w:val="2"/>
      <w:sz w:val="24"/>
      <w:szCs w:val="28"/>
    </w:rPr>
  </w:style>
  <w:style w:type="character" w:customStyle="1" w:styleId="117">
    <w:name w:val="文档结构图 字符1"/>
    <w:link w:val="27"/>
    <w:qFormat/>
    <w:uiPriority w:val="99"/>
    <w:rPr>
      <w:rFonts w:ascii="宋体"/>
      <w:kern w:val="2"/>
      <w:sz w:val="18"/>
      <w:szCs w:val="18"/>
    </w:rPr>
  </w:style>
  <w:style w:type="character" w:customStyle="1" w:styleId="118">
    <w:name w:val="批注文字 字符"/>
    <w:link w:val="29"/>
    <w:qFormat/>
    <w:locked/>
    <w:uiPriority w:val="99"/>
    <w:rPr>
      <w:rFonts w:ascii="Times New Roman" w:hAnsi="Times New Roman" w:eastAsia="宋体"/>
      <w:sz w:val="24"/>
    </w:rPr>
  </w:style>
  <w:style w:type="character" w:customStyle="1" w:styleId="119">
    <w:name w:val="称呼 字符1"/>
    <w:link w:val="31"/>
    <w:qFormat/>
    <w:locked/>
    <w:uiPriority w:val="0"/>
    <w:rPr>
      <w:kern w:val="2"/>
      <w:sz w:val="24"/>
    </w:rPr>
  </w:style>
  <w:style w:type="character" w:customStyle="1" w:styleId="120">
    <w:name w:val="正文文本 3 字符1"/>
    <w:link w:val="32"/>
    <w:qFormat/>
    <w:locked/>
    <w:uiPriority w:val="0"/>
    <w:rPr>
      <w:kern w:val="2"/>
      <w:sz w:val="16"/>
    </w:rPr>
  </w:style>
  <w:style w:type="character" w:customStyle="1" w:styleId="121">
    <w:name w:val="结束语 字符1"/>
    <w:link w:val="33"/>
    <w:qFormat/>
    <w:locked/>
    <w:uiPriority w:val="0"/>
    <w:rPr>
      <w:kern w:val="2"/>
      <w:sz w:val="24"/>
    </w:rPr>
  </w:style>
  <w:style w:type="character" w:customStyle="1" w:styleId="122">
    <w:name w:val="正文文本 字符"/>
    <w:link w:val="35"/>
    <w:qFormat/>
    <w:locked/>
    <w:uiPriority w:val="99"/>
    <w:rPr>
      <w:sz w:val="18"/>
    </w:rPr>
  </w:style>
  <w:style w:type="character" w:customStyle="1" w:styleId="123">
    <w:name w:val="正文文本缩进 字符"/>
    <w:link w:val="36"/>
    <w:qFormat/>
    <w:locked/>
    <w:uiPriority w:val="99"/>
    <w:rPr>
      <w:rFonts w:ascii="Times New Roman" w:hAnsi="Times New Roman" w:eastAsia="宋体" w:cs="Times New Roman"/>
      <w:sz w:val="24"/>
      <w:szCs w:val="24"/>
    </w:rPr>
  </w:style>
  <w:style w:type="character" w:customStyle="1" w:styleId="124">
    <w:name w:val="HTML 地址 字符1"/>
    <w:link w:val="42"/>
    <w:qFormat/>
    <w:locked/>
    <w:uiPriority w:val="0"/>
    <w:rPr>
      <w:i/>
      <w:kern w:val="2"/>
      <w:sz w:val="24"/>
    </w:rPr>
  </w:style>
  <w:style w:type="character" w:customStyle="1" w:styleId="125">
    <w:name w:val="纯文本 字符"/>
    <w:link w:val="46"/>
    <w:qFormat/>
    <w:uiPriority w:val="99"/>
    <w:rPr>
      <w:rFonts w:ascii="宋体" w:hAnsi="Courier New"/>
      <w:kern w:val="2"/>
      <w:sz w:val="21"/>
    </w:rPr>
  </w:style>
  <w:style w:type="paragraph" w:customStyle="1" w:styleId="126">
    <w:name w:val="Default"/>
    <w:basedOn w:val="127"/>
    <w:next w:val="88"/>
    <w:link w:val="128"/>
    <w:qFormat/>
    <w:uiPriority w:val="0"/>
    <w:pPr>
      <w:widowControl w:val="0"/>
      <w:autoSpaceDE w:val="0"/>
      <w:autoSpaceDN w:val="0"/>
      <w:adjustRightInd w:val="0"/>
    </w:pPr>
    <w:rPr>
      <w:color w:val="000000"/>
      <w:sz w:val="24"/>
      <w:lang w:val="en-US" w:eastAsia="zh-CN" w:bidi="ar-SA"/>
    </w:rPr>
  </w:style>
  <w:style w:type="paragraph" w:customStyle="1" w:styleId="127">
    <w:name w:val="纯文本1"/>
    <w:basedOn w:val="1"/>
    <w:qFormat/>
    <w:uiPriority w:val="0"/>
    <w:pPr>
      <w:adjustRightInd w:val="0"/>
      <w:textAlignment w:val="baseline"/>
    </w:pPr>
    <w:rPr>
      <w:rFonts w:ascii="宋体" w:hAnsi="Courier New"/>
      <w:sz w:val="28"/>
      <w:szCs w:val="20"/>
    </w:rPr>
  </w:style>
  <w:style w:type="character" w:customStyle="1" w:styleId="128">
    <w:name w:val="Default Char Char"/>
    <w:link w:val="126"/>
    <w:qFormat/>
    <w:uiPriority w:val="0"/>
    <w:rPr>
      <w:color w:val="000000"/>
      <w:sz w:val="24"/>
      <w:lang w:bidi="ar-SA"/>
    </w:rPr>
  </w:style>
  <w:style w:type="character" w:customStyle="1" w:styleId="129">
    <w:name w:val="正文文本首行缩进 2 字符1"/>
    <w:link w:val="88"/>
    <w:qFormat/>
    <w:locked/>
    <w:uiPriority w:val="0"/>
    <w:rPr>
      <w:rFonts w:eastAsia="仿宋_GB2312"/>
      <w:kern w:val="2"/>
      <w:sz w:val="21"/>
      <w:szCs w:val="24"/>
    </w:rPr>
  </w:style>
  <w:style w:type="character" w:customStyle="1" w:styleId="130">
    <w:name w:val="正文文本首行缩进 字符"/>
    <w:link w:val="87"/>
    <w:qFormat/>
    <w:uiPriority w:val="99"/>
    <w:rPr>
      <w:kern w:val="2"/>
      <w:sz w:val="21"/>
      <w:szCs w:val="24"/>
    </w:rPr>
  </w:style>
  <w:style w:type="character" w:customStyle="1" w:styleId="131">
    <w:name w:val="日期 字符1"/>
    <w:link w:val="51"/>
    <w:qFormat/>
    <w:locked/>
    <w:uiPriority w:val="0"/>
    <w:rPr>
      <w:rFonts w:ascii="Times New Roman" w:hAnsi="Times New Roman" w:eastAsia="宋体"/>
      <w:sz w:val="24"/>
    </w:rPr>
  </w:style>
  <w:style w:type="character" w:customStyle="1" w:styleId="132">
    <w:name w:val="正文文本缩进 2 字符1"/>
    <w:link w:val="52"/>
    <w:qFormat/>
    <w:uiPriority w:val="0"/>
    <w:rPr>
      <w:kern w:val="2"/>
      <w:sz w:val="21"/>
      <w:szCs w:val="24"/>
    </w:rPr>
  </w:style>
  <w:style w:type="character" w:customStyle="1" w:styleId="133">
    <w:name w:val="尾注文本 字符1"/>
    <w:link w:val="53"/>
    <w:qFormat/>
    <w:locked/>
    <w:uiPriority w:val="0"/>
    <w:rPr>
      <w:kern w:val="2"/>
      <w:sz w:val="21"/>
    </w:rPr>
  </w:style>
  <w:style w:type="character" w:customStyle="1" w:styleId="134">
    <w:name w:val="批注框文本 字符"/>
    <w:link w:val="55"/>
    <w:semiHidden/>
    <w:qFormat/>
    <w:locked/>
    <w:uiPriority w:val="99"/>
    <w:rPr>
      <w:rFonts w:ascii="Times New Roman" w:hAnsi="Times New Roman" w:eastAsia="宋体" w:cs="Times New Roman"/>
      <w:sz w:val="18"/>
      <w:szCs w:val="18"/>
    </w:rPr>
  </w:style>
  <w:style w:type="character" w:customStyle="1" w:styleId="135">
    <w:name w:val="页脚 字符"/>
    <w:link w:val="56"/>
    <w:qFormat/>
    <w:locked/>
    <w:uiPriority w:val="99"/>
    <w:rPr>
      <w:rFonts w:cs="Times New Roman"/>
      <w:sz w:val="18"/>
      <w:szCs w:val="18"/>
    </w:rPr>
  </w:style>
  <w:style w:type="character" w:customStyle="1" w:styleId="136">
    <w:name w:val="页眉 字符"/>
    <w:link w:val="58"/>
    <w:qFormat/>
    <w:locked/>
    <w:uiPriority w:val="99"/>
    <w:rPr>
      <w:rFonts w:cs="Times New Roman"/>
      <w:sz w:val="18"/>
      <w:szCs w:val="18"/>
    </w:rPr>
  </w:style>
  <w:style w:type="character" w:customStyle="1" w:styleId="137">
    <w:name w:val="签名 字符1"/>
    <w:link w:val="59"/>
    <w:qFormat/>
    <w:locked/>
    <w:uiPriority w:val="0"/>
    <w:rPr>
      <w:kern w:val="2"/>
      <w:sz w:val="24"/>
    </w:rPr>
  </w:style>
  <w:style w:type="character" w:customStyle="1" w:styleId="138">
    <w:name w:val="副标题 字符1"/>
    <w:link w:val="65"/>
    <w:qFormat/>
    <w:uiPriority w:val="0"/>
    <w:rPr>
      <w:b/>
      <w:bCs/>
      <w:color w:val="000000"/>
      <w:kern w:val="28"/>
      <w:sz w:val="24"/>
      <w:szCs w:val="32"/>
    </w:rPr>
  </w:style>
  <w:style w:type="character" w:customStyle="1" w:styleId="139">
    <w:name w:val="脚注文本 字符1"/>
    <w:link w:val="68"/>
    <w:qFormat/>
    <w:locked/>
    <w:uiPriority w:val="0"/>
    <w:rPr>
      <w:kern w:val="2"/>
      <w:sz w:val="18"/>
    </w:rPr>
  </w:style>
  <w:style w:type="character" w:customStyle="1" w:styleId="140">
    <w:name w:val="正文文本缩进 3 字符"/>
    <w:link w:val="71"/>
    <w:qFormat/>
    <w:uiPriority w:val="99"/>
    <w:rPr>
      <w:kern w:val="2"/>
      <w:sz w:val="16"/>
      <w:szCs w:val="16"/>
    </w:rPr>
  </w:style>
  <w:style w:type="character" w:customStyle="1" w:styleId="141">
    <w:name w:val="正文文本 2 字符1"/>
    <w:link w:val="77"/>
    <w:qFormat/>
    <w:locked/>
    <w:uiPriority w:val="0"/>
    <w:rPr>
      <w:kern w:val="2"/>
      <w:sz w:val="24"/>
    </w:rPr>
  </w:style>
  <w:style w:type="character" w:customStyle="1" w:styleId="142">
    <w:name w:val="信息标题 字符1"/>
    <w:link w:val="80"/>
    <w:qFormat/>
    <w:locked/>
    <w:uiPriority w:val="0"/>
    <w:rPr>
      <w:rFonts w:ascii="Arial" w:hAnsi="Arial"/>
      <w:kern w:val="2"/>
      <w:sz w:val="24"/>
      <w:shd w:val="pct20" w:color="auto" w:fill="auto"/>
    </w:rPr>
  </w:style>
  <w:style w:type="character" w:customStyle="1" w:styleId="143">
    <w:name w:val="HTML 预设格式 字符1"/>
    <w:link w:val="81"/>
    <w:qFormat/>
    <w:locked/>
    <w:uiPriority w:val="0"/>
    <w:rPr>
      <w:rFonts w:ascii="Courier New" w:hAnsi="Courier New"/>
      <w:kern w:val="2"/>
    </w:rPr>
  </w:style>
  <w:style w:type="character" w:customStyle="1" w:styleId="144">
    <w:name w:val="普通(网站) 字符"/>
    <w:link w:val="82"/>
    <w:qFormat/>
    <w:locked/>
    <w:uiPriority w:val="0"/>
    <w:rPr>
      <w:rFonts w:ascii="宋体" w:hAnsi="宋体" w:eastAsia="宋体"/>
      <w:sz w:val="24"/>
    </w:rPr>
  </w:style>
  <w:style w:type="character" w:customStyle="1" w:styleId="145">
    <w:name w:val="标题 字符1"/>
    <w:link w:val="85"/>
    <w:qFormat/>
    <w:locked/>
    <w:uiPriority w:val="0"/>
    <w:rPr>
      <w:rFonts w:ascii="Arial" w:hAnsi="Arial"/>
      <w:b/>
      <w:kern w:val="2"/>
      <w:sz w:val="32"/>
    </w:rPr>
  </w:style>
  <w:style w:type="character" w:customStyle="1" w:styleId="146">
    <w:name w:val="批注主题 字符"/>
    <w:link w:val="86"/>
    <w:semiHidden/>
    <w:qFormat/>
    <w:locked/>
    <w:uiPriority w:val="99"/>
    <w:rPr>
      <w:rFonts w:cs="Times New Roman"/>
      <w:b/>
      <w:bCs/>
      <w:kern w:val="2"/>
      <w:szCs w:val="24"/>
    </w:rPr>
  </w:style>
  <w:style w:type="paragraph" w:customStyle="1" w:styleId="147">
    <w:name w:val="样式35"/>
    <w:next w:val="148"/>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48">
    <w:name w:val="font6"/>
    <w:basedOn w:val="1"/>
    <w:next w:val="75"/>
    <w:qFormat/>
    <w:uiPriority w:val="0"/>
    <w:pPr>
      <w:widowControl/>
      <w:spacing w:before="100" w:beforeAutospacing="1" w:after="100" w:afterAutospacing="1"/>
      <w:jc w:val="left"/>
    </w:pPr>
    <w:rPr>
      <w:rFonts w:ascii="宋体" w:hAnsi="宋体" w:cs="宋体"/>
      <w:kern w:val="0"/>
      <w:sz w:val="20"/>
      <w:szCs w:val="20"/>
    </w:rPr>
  </w:style>
  <w:style w:type="paragraph" w:customStyle="1" w:styleId="149">
    <w:name w:val="_Style 1"/>
    <w:basedOn w:val="1"/>
    <w:qFormat/>
    <w:uiPriority w:val="0"/>
    <w:rPr>
      <w:bCs/>
      <w:sz w:val="30"/>
    </w:rPr>
  </w:style>
  <w:style w:type="character" w:customStyle="1" w:styleId="150">
    <w:name w:val="正文文本 字符1"/>
    <w:semiHidden/>
    <w:qFormat/>
    <w:uiPriority w:val="0"/>
    <w:rPr>
      <w:rFonts w:ascii="Times New Roman" w:hAnsi="Times New Roman" w:eastAsia="宋体" w:cs="Times New Roman"/>
      <w:sz w:val="24"/>
      <w:szCs w:val="24"/>
    </w:rPr>
  </w:style>
  <w:style w:type="character" w:customStyle="1" w:styleId="151">
    <w:name w:val="表格 Char"/>
    <w:link w:val="152"/>
    <w:qFormat/>
    <w:locked/>
    <w:uiPriority w:val="0"/>
    <w:rPr>
      <w:rFonts w:ascii="宋体"/>
      <w:sz w:val="21"/>
    </w:rPr>
  </w:style>
  <w:style w:type="paragraph" w:customStyle="1" w:styleId="152">
    <w:name w:val="表格"/>
    <w:basedOn w:val="1"/>
    <w:next w:val="1"/>
    <w:link w:val="151"/>
    <w:qFormat/>
    <w:uiPriority w:val="0"/>
    <w:pPr>
      <w:adjustRightInd w:val="0"/>
      <w:snapToGrid w:val="0"/>
      <w:spacing w:beforeLines="10" w:afterLines="10" w:line="259" w:lineRule="auto"/>
      <w:jc w:val="center"/>
    </w:pPr>
    <w:rPr>
      <w:rFonts w:ascii="宋体"/>
      <w:kern w:val="0"/>
      <w:szCs w:val="20"/>
    </w:rPr>
  </w:style>
  <w:style w:type="character" w:customStyle="1" w:styleId="153">
    <w:name w:val="普通(网站) Char"/>
    <w:qFormat/>
    <w:locked/>
    <w:uiPriority w:val="0"/>
    <w:rPr>
      <w:rFonts w:ascii="宋体" w:hAnsi="宋体" w:eastAsia="宋体"/>
      <w:sz w:val="24"/>
    </w:rPr>
  </w:style>
  <w:style w:type="character" w:customStyle="1" w:styleId="154">
    <w:name w:val="日期 字符"/>
    <w:semiHidden/>
    <w:qFormat/>
    <w:uiPriority w:val="0"/>
    <w:rPr>
      <w:rFonts w:ascii="Times New Roman" w:hAnsi="Times New Roman" w:eastAsia="宋体" w:cs="Times New Roman"/>
      <w:sz w:val="24"/>
      <w:szCs w:val="24"/>
    </w:rPr>
  </w:style>
  <w:style w:type="character" w:customStyle="1" w:styleId="155">
    <w:name w:val="批注文字 字符1"/>
    <w:semiHidden/>
    <w:qFormat/>
    <w:uiPriority w:val="0"/>
    <w:rPr>
      <w:rFonts w:ascii="Times New Roman" w:hAnsi="Times New Roman" w:eastAsia="宋体" w:cs="Times New Roman"/>
      <w:sz w:val="24"/>
      <w:szCs w:val="24"/>
    </w:rPr>
  </w:style>
  <w:style w:type="paragraph" w:customStyle="1" w:styleId="15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57">
    <w:name w:val="正文 + 宋体"/>
    <w:basedOn w:val="1"/>
    <w:qFormat/>
    <w:uiPriority w:val="0"/>
    <w:pPr>
      <w:snapToGrid w:val="0"/>
      <w:ind w:firstLine="648" w:firstLineChars="245"/>
    </w:pPr>
    <w:rPr>
      <w:rFonts w:ascii="宋体" w:hAnsi="宋体" w:cs="Times New Roman"/>
    </w:rPr>
  </w:style>
  <w:style w:type="paragraph" w:customStyle="1" w:styleId="158">
    <w:name w:val="样式4"/>
    <w:basedOn w:val="1"/>
    <w:qFormat/>
    <w:uiPriority w:val="0"/>
    <w:pPr>
      <w:ind w:firstLine="462" w:firstLineChars="200"/>
    </w:pPr>
    <w:rPr>
      <w:rFonts w:hAnsi="宋体" w:cs="Times New Roman"/>
      <w:color w:val="0000FF"/>
    </w:rPr>
  </w:style>
  <w:style w:type="paragraph" w:customStyle="1" w:styleId="159">
    <w:name w:val="样式6"/>
    <w:basedOn w:val="1"/>
    <w:qFormat/>
    <w:uiPriority w:val="0"/>
    <w:pPr>
      <w:ind w:firstLine="462" w:firstLineChars="200"/>
    </w:pPr>
    <w:rPr>
      <w:rFonts w:ascii="Times New Roman" w:hAnsi="宋体" w:cs="Times New Roman"/>
      <w:color w:val="0000FF"/>
    </w:rPr>
  </w:style>
  <w:style w:type="paragraph" w:customStyle="1" w:styleId="160">
    <w:name w:val="样式1"/>
    <w:basedOn w:val="1"/>
    <w:qFormat/>
    <w:uiPriority w:val="0"/>
    <w:pPr>
      <w:spacing w:after="40" w:afterLines="0" w:line="300" w:lineRule="atLeast"/>
      <w:jc w:val="center"/>
      <w:outlineLvl w:val="2"/>
    </w:pPr>
    <w:rPr>
      <w:rFonts w:ascii="Times New Roman" w:hAnsi="Times New Roman" w:eastAsia="楷体_GB2312" w:cs="Times New Roman"/>
      <w:szCs w:val="20"/>
    </w:rPr>
  </w:style>
  <w:style w:type="paragraph" w:customStyle="1" w:styleId="161">
    <w:name w:val="表格文字"/>
    <w:basedOn w:val="35"/>
    <w:next w:val="1"/>
    <w:link w:val="162"/>
    <w:qFormat/>
    <w:uiPriority w:val="0"/>
    <w:pPr>
      <w:adjustRightInd w:val="0"/>
      <w:spacing w:after="0"/>
      <w:jc w:val="center"/>
    </w:pPr>
    <w:rPr>
      <w:szCs w:val="21"/>
    </w:rPr>
  </w:style>
  <w:style w:type="character" w:customStyle="1" w:styleId="162">
    <w:name w:val="表格文字 Char"/>
    <w:link w:val="161"/>
    <w:qFormat/>
    <w:locked/>
    <w:uiPriority w:val="0"/>
    <w:rPr>
      <w:snapToGrid/>
      <w:sz w:val="18"/>
      <w:szCs w:val="21"/>
    </w:rPr>
  </w:style>
  <w:style w:type="character" w:customStyle="1" w:styleId="163">
    <w:name w:val="表格标题（使用1） Char"/>
    <w:link w:val="164"/>
    <w:qFormat/>
    <w:uiPriority w:val="0"/>
    <w:rPr>
      <w:rFonts w:eastAsia="黑体"/>
      <w:bCs/>
      <w:snapToGrid/>
      <w:sz w:val="24"/>
    </w:rPr>
  </w:style>
  <w:style w:type="paragraph" w:customStyle="1" w:styleId="164">
    <w:name w:val="表格标题（使用1）"/>
    <w:basedOn w:val="1"/>
    <w:link w:val="163"/>
    <w:qFormat/>
    <w:uiPriority w:val="0"/>
    <w:pPr>
      <w:widowControl/>
      <w:adjustRightInd w:val="0"/>
      <w:snapToGrid w:val="0"/>
      <w:jc w:val="center"/>
      <w:textAlignment w:val="baseline"/>
    </w:pPr>
    <w:rPr>
      <w:rFonts w:eastAsia="黑体"/>
      <w:bCs/>
      <w:kern w:val="0"/>
      <w:sz w:val="24"/>
      <w:szCs w:val="20"/>
    </w:rPr>
  </w:style>
  <w:style w:type="paragraph" w:customStyle="1" w:styleId="165">
    <w:name w:val=" Char Char32"/>
    <w:basedOn w:val="1"/>
    <w:qFormat/>
    <w:uiPriority w:val="0"/>
  </w:style>
  <w:style w:type="character" w:customStyle="1" w:styleId="166">
    <w:name w:val="大风丫口正文 Char"/>
    <w:link w:val="167"/>
    <w:qFormat/>
    <w:uiPriority w:val="0"/>
    <w:rPr>
      <w:spacing w:val="10"/>
      <w:kern w:val="2"/>
      <w:sz w:val="24"/>
      <w:szCs w:val="24"/>
    </w:rPr>
  </w:style>
  <w:style w:type="paragraph" w:customStyle="1" w:styleId="167">
    <w:name w:val="大风丫口正文"/>
    <w:basedOn w:val="1"/>
    <w:link w:val="166"/>
    <w:qFormat/>
    <w:uiPriority w:val="0"/>
    <w:pPr>
      <w:spacing w:line="360" w:lineRule="auto"/>
      <w:ind w:firstLine="200" w:firstLineChars="200"/>
    </w:pPr>
    <w:rPr>
      <w:spacing w:val="10"/>
      <w:sz w:val="24"/>
    </w:rPr>
  </w:style>
  <w:style w:type="paragraph" w:customStyle="1" w:styleId="168">
    <w:name w:val="正文缩进1"/>
    <w:basedOn w:val="1"/>
    <w:qFormat/>
    <w:uiPriority w:val="0"/>
    <w:pPr>
      <w:ind w:firstLine="420" w:firstLineChars="200"/>
    </w:pPr>
    <w:rPr>
      <w:kern w:val="0"/>
      <w:sz w:val="20"/>
      <w:szCs w:val="22"/>
    </w:rPr>
  </w:style>
  <w:style w:type="character" w:customStyle="1" w:styleId="169">
    <w:name w:val="未处理的提及"/>
    <w:unhideWhenUsed/>
    <w:qFormat/>
    <w:uiPriority w:val="99"/>
    <w:rPr>
      <w:color w:val="605E5C"/>
      <w:shd w:val="clear" w:color="auto" w:fill="E1DFDD"/>
    </w:rPr>
  </w:style>
  <w:style w:type="paragraph" w:customStyle="1" w:styleId="170">
    <w:name w:val="_Style 169"/>
    <w:basedOn w:val="3"/>
    <w:next w:val="1"/>
    <w:qFormat/>
    <w:uiPriority w:val="39"/>
    <w:pPr>
      <w:keepLines/>
      <w:widowControl/>
      <w:overflowPunct/>
      <w:snapToGrid/>
      <w:spacing w:before="240" w:after="0"/>
      <w:ind w:left="0" w:firstLine="0"/>
      <w:jc w:val="left"/>
      <w:outlineLvl w:val="9"/>
    </w:pPr>
    <w:rPr>
      <w:rFonts w:ascii="等线 Light" w:hAnsi="等线 Light" w:eastAsia="等线 Light" w:cs="Times New Roman"/>
      <w:b w:val="0"/>
      <w:bCs w:val="0"/>
      <w:color w:val="2F5496"/>
      <w:kern w:val="0"/>
      <w:sz w:val="32"/>
      <w:szCs w:val="32"/>
    </w:rPr>
  </w:style>
  <w:style w:type="paragraph" w:customStyle="1" w:styleId="171">
    <w:name w:val="表内文字"/>
    <w:next w:val="1"/>
    <w:qFormat/>
    <w:uiPriority w:val="0"/>
    <w:pPr>
      <w:jc w:val="center"/>
    </w:pPr>
    <w:rPr>
      <w:rFonts w:ascii="Times New Roman" w:hAnsi="Times New Roman" w:eastAsia="仿宋_GB2312" w:cs="Times New Roman"/>
      <w:szCs w:val="18"/>
      <w:lang w:val="en-US" w:eastAsia="zh-CN" w:bidi="ar-SA"/>
    </w:rPr>
  </w:style>
  <w:style w:type="paragraph" w:customStyle="1" w:styleId="172">
    <w:name w:val="表格标题"/>
    <w:next w:val="1"/>
    <w:link w:val="173"/>
    <w:qFormat/>
    <w:uiPriority w:val="0"/>
    <w:pPr>
      <w:spacing w:line="360" w:lineRule="auto"/>
      <w:jc w:val="center"/>
    </w:pPr>
    <w:rPr>
      <w:rFonts w:ascii="Times New Roman" w:hAnsi="Times New Roman" w:eastAsia="仿宋_GB2312" w:cs="Times New Roman"/>
      <w:b/>
      <w:bCs/>
      <w:kern w:val="2"/>
      <w:sz w:val="21"/>
      <w:szCs w:val="21"/>
      <w:lang w:val="en-US" w:eastAsia="zh-CN" w:bidi="en-US"/>
    </w:rPr>
  </w:style>
  <w:style w:type="character" w:customStyle="1" w:styleId="173">
    <w:name w:val="表格标题 Char"/>
    <w:link w:val="172"/>
    <w:qFormat/>
    <w:locked/>
    <w:uiPriority w:val="0"/>
    <w:rPr>
      <w:rFonts w:eastAsia="仿宋_GB2312"/>
      <w:b/>
      <w:bCs/>
      <w:kern w:val="2"/>
      <w:sz w:val="21"/>
      <w:szCs w:val="21"/>
      <w:lang w:bidi="en-US"/>
    </w:rPr>
  </w:style>
  <w:style w:type="paragraph" w:customStyle="1" w:styleId="174">
    <w:name w:val="_Style 3"/>
    <w:basedOn w:val="1"/>
    <w:qFormat/>
    <w:uiPriority w:val="0"/>
    <w:pPr>
      <w:ind w:firstLine="420"/>
    </w:pPr>
    <w:rPr>
      <w:szCs w:val="20"/>
    </w:rPr>
  </w:style>
  <w:style w:type="character" w:customStyle="1" w:styleId="175">
    <w:name w:val="font21"/>
    <w:qFormat/>
    <w:uiPriority w:val="0"/>
    <w:rPr>
      <w:rFonts w:hint="eastAsia" w:ascii="宋体" w:hAnsi="宋体" w:eastAsia="宋体" w:cs="宋体"/>
      <w:color w:val="000000"/>
      <w:sz w:val="24"/>
      <w:szCs w:val="24"/>
      <w:u w:val="none"/>
    </w:rPr>
  </w:style>
  <w:style w:type="character" w:customStyle="1" w:styleId="176">
    <w:name w:val="正文文本缩进 2 字符"/>
    <w:qFormat/>
    <w:uiPriority w:val="99"/>
    <w:rPr>
      <w:kern w:val="2"/>
      <w:sz w:val="21"/>
      <w:szCs w:val="24"/>
    </w:rPr>
  </w:style>
  <w:style w:type="paragraph" w:customStyle="1" w:styleId="177">
    <w:name w:val=" Char1"/>
    <w:basedOn w:val="1"/>
    <w:qFormat/>
    <w:uiPriority w:val="0"/>
  </w:style>
  <w:style w:type="paragraph" w:customStyle="1" w:styleId="178">
    <w:name w:val="样式 首行缩进"/>
    <w:basedOn w:val="1"/>
    <w:qFormat/>
    <w:uiPriority w:val="0"/>
    <w:pPr>
      <w:spacing w:before="60" w:after="60"/>
    </w:pPr>
    <w:rPr>
      <w:rFonts w:cs="宋体"/>
      <w:szCs w:val="20"/>
    </w:rPr>
  </w:style>
  <w:style w:type="paragraph" w:customStyle="1" w:styleId="179">
    <w:name w:val="Table Paragraph"/>
    <w:basedOn w:val="1"/>
    <w:qFormat/>
    <w:uiPriority w:val="1"/>
    <w:pPr>
      <w:jc w:val="left"/>
    </w:pPr>
    <w:rPr>
      <w:rFonts w:ascii="Calibri" w:hAnsi="Calibri" w:eastAsia="宋体" w:cs="Times New Roman"/>
      <w:kern w:val="0"/>
      <w:sz w:val="22"/>
      <w:szCs w:val="22"/>
      <w:lang w:eastAsia="en-US"/>
    </w:rPr>
  </w:style>
  <w:style w:type="character" w:customStyle="1" w:styleId="180">
    <w:name w:val="标题 7 Char Char Char Char Char Char Char Char"/>
    <w:qFormat/>
    <w:uiPriority w:val="0"/>
    <w:rPr>
      <w:rFonts w:ascii="华文细黑" w:eastAsia="华文细黑"/>
      <w:i/>
      <w:spacing w:val="10"/>
      <w:kern w:val="28"/>
      <w:sz w:val="28"/>
      <w:lang w:val="en-US" w:eastAsia="zh-CN"/>
    </w:rPr>
  </w:style>
  <w:style w:type="paragraph" w:customStyle="1" w:styleId="181">
    <w:name w:val="图标标题getiao"/>
    <w:basedOn w:val="1"/>
    <w:next w:val="35"/>
    <w:qFormat/>
    <w:uiPriority w:val="0"/>
    <w:pPr>
      <w:widowControl/>
      <w:adjustRightInd w:val="0"/>
      <w:snapToGrid w:val="0"/>
      <w:spacing w:line="360" w:lineRule="auto"/>
      <w:jc w:val="center"/>
      <w:outlineLvl w:val="3"/>
    </w:pPr>
    <w:rPr>
      <w:b/>
      <w:kern w:val="0"/>
      <w:sz w:val="24"/>
    </w:rPr>
  </w:style>
  <w:style w:type="paragraph" w:customStyle="1" w:styleId="182">
    <w:name w:val="表中文字-getiao"/>
    <w:basedOn w:val="1"/>
    <w:link w:val="183"/>
    <w:qFormat/>
    <w:uiPriority w:val="0"/>
    <w:pPr>
      <w:widowControl/>
      <w:jc w:val="center"/>
    </w:pPr>
    <w:rPr>
      <w:kern w:val="0"/>
      <w:szCs w:val="21"/>
    </w:rPr>
  </w:style>
  <w:style w:type="character" w:customStyle="1" w:styleId="183">
    <w:name w:val="表中文字-getiao Char"/>
    <w:link w:val="182"/>
    <w:qFormat/>
    <w:uiPriority w:val="0"/>
    <w:rPr>
      <w:sz w:val="21"/>
      <w:szCs w:val="21"/>
    </w:rPr>
  </w:style>
  <w:style w:type="paragraph" w:customStyle="1" w:styleId="184">
    <w:name w:val="文字 getiao"/>
    <w:basedOn w:val="1"/>
    <w:link w:val="185"/>
    <w:qFormat/>
    <w:uiPriority w:val="99"/>
    <w:pPr>
      <w:spacing w:line="360" w:lineRule="auto"/>
      <w:ind w:firstLine="482" w:firstLineChars="200"/>
      <w:jc w:val="center"/>
    </w:pPr>
    <w:rPr>
      <w:rFonts w:hAnsi="宋体"/>
      <w:b/>
      <w:kern w:val="0"/>
      <w:sz w:val="24"/>
    </w:rPr>
  </w:style>
  <w:style w:type="character" w:customStyle="1" w:styleId="185">
    <w:name w:val="文字 getiao Char"/>
    <w:link w:val="184"/>
    <w:qFormat/>
    <w:locked/>
    <w:uiPriority w:val="99"/>
    <w:rPr>
      <w:rFonts w:hAnsi="宋体"/>
      <w:b/>
      <w:sz w:val="24"/>
      <w:szCs w:val="24"/>
    </w:rPr>
  </w:style>
  <w:style w:type="character" w:customStyle="1" w:styleId="186">
    <w:name w:val="splatinname1"/>
    <w:qFormat/>
    <w:uiPriority w:val="0"/>
    <w:rPr>
      <w:rFonts w:cs="Calibri"/>
      <w:b/>
      <w:bCs/>
      <w:color w:val="006600"/>
    </w:rPr>
  </w:style>
  <w:style w:type="character" w:customStyle="1" w:styleId="187">
    <w:name w:val="spcname"/>
    <w:qFormat/>
    <w:uiPriority w:val="0"/>
  </w:style>
  <w:style w:type="character" w:customStyle="1" w:styleId="188">
    <w:name w:val="正文缩进 Char1"/>
    <w:link w:val="189"/>
    <w:qFormat/>
    <w:uiPriority w:val="0"/>
    <w:rPr>
      <w:kern w:val="2"/>
      <w:sz w:val="21"/>
    </w:rPr>
  </w:style>
  <w:style w:type="paragraph" w:customStyle="1" w:styleId="189">
    <w:name w:val="Normal Indent"/>
    <w:basedOn w:val="1"/>
    <w:link w:val="188"/>
    <w:qFormat/>
    <w:uiPriority w:val="0"/>
    <w:pPr>
      <w:ind w:firstLine="420"/>
    </w:pPr>
    <w:rPr>
      <w:szCs w:val="20"/>
    </w:rPr>
  </w:style>
  <w:style w:type="character" w:customStyle="1" w:styleId="190">
    <w:name w:val="apple-converted-space"/>
    <w:qFormat/>
    <w:uiPriority w:val="0"/>
  </w:style>
  <w:style w:type="character" w:customStyle="1" w:styleId="191">
    <w:name w:val="latinname1"/>
    <w:qFormat/>
    <w:uiPriority w:val="0"/>
    <w:rPr>
      <w:rFonts w:cs="Calibri"/>
      <w:i/>
      <w:iCs/>
    </w:rPr>
  </w:style>
  <w:style w:type="paragraph" w:customStyle="1" w:styleId="192">
    <w:name w:val="表格正文"/>
    <w:basedOn w:val="1"/>
    <w:link w:val="193"/>
    <w:qFormat/>
    <w:uiPriority w:val="0"/>
    <w:pPr>
      <w:widowControl/>
      <w:adjustRightInd w:val="0"/>
      <w:snapToGrid w:val="0"/>
      <w:jc w:val="center"/>
    </w:pPr>
    <w:rPr>
      <w:bCs/>
      <w:szCs w:val="21"/>
      <w:lang w:val="nl-NL"/>
    </w:rPr>
  </w:style>
  <w:style w:type="character" w:customStyle="1" w:styleId="193">
    <w:name w:val="表格正文 Char1"/>
    <w:link w:val="192"/>
    <w:qFormat/>
    <w:locked/>
    <w:uiPriority w:val="0"/>
    <w:rPr>
      <w:bCs/>
      <w:kern w:val="2"/>
      <w:sz w:val="21"/>
      <w:szCs w:val="21"/>
      <w:lang w:val="nl-NL"/>
    </w:rPr>
  </w:style>
  <w:style w:type="paragraph" w:customStyle="1" w:styleId="194">
    <w:name w:val="报告正文"/>
    <w:basedOn w:val="1"/>
    <w:link w:val="195"/>
    <w:qFormat/>
    <w:uiPriority w:val="0"/>
    <w:pPr>
      <w:spacing w:line="360" w:lineRule="auto"/>
      <w:ind w:firstLine="496" w:firstLineChars="200"/>
    </w:pPr>
    <w:rPr>
      <w:spacing w:val="4"/>
      <w:sz w:val="24"/>
      <w:szCs w:val="20"/>
    </w:rPr>
  </w:style>
  <w:style w:type="character" w:customStyle="1" w:styleId="195">
    <w:name w:val="报告正文 Char1"/>
    <w:link w:val="194"/>
    <w:qFormat/>
    <w:uiPriority w:val="0"/>
    <w:rPr>
      <w:rFonts w:cs="黑体"/>
      <w:spacing w:val="4"/>
      <w:kern w:val="2"/>
      <w:sz w:val="24"/>
    </w:rPr>
  </w:style>
  <w:style w:type="paragraph" w:customStyle="1" w:styleId="196">
    <w:name w:val="List Paragraph1"/>
    <w:basedOn w:val="1"/>
    <w:qFormat/>
    <w:uiPriority w:val="34"/>
    <w:pPr>
      <w:ind w:firstLine="420" w:firstLineChars="200"/>
    </w:pPr>
    <w:rPr>
      <w:szCs w:val="20"/>
    </w:rPr>
  </w:style>
  <w:style w:type="paragraph" w:customStyle="1" w:styleId="197">
    <w:name w:val="样式 仿宋_GB2312 四号 首行缩进:  1.06 厘米 行距: 1.5 倍行距"/>
    <w:basedOn w:val="1"/>
    <w:qFormat/>
    <w:uiPriority w:val="0"/>
    <w:pPr>
      <w:adjustRightInd w:val="0"/>
      <w:spacing w:line="360" w:lineRule="auto"/>
      <w:ind w:firstLine="600"/>
      <w:textAlignment w:val="baseline"/>
    </w:pPr>
    <w:rPr>
      <w:rFonts w:ascii="仿宋_GB2312" w:eastAsia="仿宋_GB2312" w:cs="宋体"/>
      <w:sz w:val="30"/>
    </w:rPr>
  </w:style>
  <w:style w:type="paragraph" w:customStyle="1" w:styleId="198">
    <w:name w:val="!正文(alt+c)"/>
    <w:qFormat/>
    <w:uiPriority w:val="0"/>
    <w:pPr>
      <w:spacing w:line="312"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character" w:customStyle="1" w:styleId="199">
    <w:name w:val="日期 Char"/>
    <w:qFormat/>
    <w:locked/>
    <w:uiPriority w:val="0"/>
    <w:rPr>
      <w:rFonts w:ascii="Times New Roman" w:hAnsi="Times New Roman" w:eastAsia="宋体"/>
      <w:sz w:val="24"/>
    </w:rPr>
  </w:style>
  <w:style w:type="character" w:customStyle="1" w:styleId="200">
    <w:name w:val="副标题 字符"/>
    <w:qFormat/>
    <w:uiPriority w:val="11"/>
    <w:rPr>
      <w:rFonts w:ascii="等线 Light" w:hAnsi="等线 Light" w:cs="Times New Roman"/>
      <w:b/>
      <w:bCs/>
      <w:kern w:val="28"/>
      <w:sz w:val="32"/>
      <w:szCs w:val="32"/>
    </w:rPr>
  </w:style>
  <w:style w:type="character" w:customStyle="1" w:styleId="201">
    <w:name w:val="标题 1 Char1"/>
    <w:qFormat/>
    <w:locked/>
    <w:uiPriority w:val="0"/>
    <w:rPr>
      <w:rFonts w:eastAsia="黑体"/>
      <w:b/>
      <w:bCs/>
      <w:color w:val="000000"/>
      <w:kern w:val="44"/>
      <w:sz w:val="30"/>
      <w:szCs w:val="30"/>
    </w:rPr>
  </w:style>
  <w:style w:type="character" w:customStyle="1" w:styleId="202">
    <w:name w:val="word1"/>
    <w:qFormat/>
    <w:uiPriority w:val="0"/>
    <w:rPr>
      <w:rFonts w:ascii="??" w:hAnsi="??"/>
      <w:color w:val="000000"/>
      <w:sz w:val="23"/>
      <w:u w:val="none"/>
    </w:rPr>
  </w:style>
  <w:style w:type="character" w:customStyle="1" w:styleId="203">
    <w:name w:val="fontstyle01"/>
    <w:qFormat/>
    <w:uiPriority w:val="0"/>
    <w:rPr>
      <w:rFonts w:hint="eastAsia" w:ascii="宋体" w:hAnsi="宋体" w:eastAsia="宋体"/>
      <w:color w:val="000000"/>
      <w:sz w:val="24"/>
      <w:szCs w:val="24"/>
    </w:rPr>
  </w:style>
  <w:style w:type="character" w:customStyle="1" w:styleId="204">
    <w:name w:val="fontstyle21"/>
    <w:qFormat/>
    <w:uiPriority w:val="0"/>
    <w:rPr>
      <w:rFonts w:hint="default" w:ascii="Bold" w:hAnsi="Bold"/>
      <w:b/>
      <w:bCs/>
      <w:color w:val="000000"/>
      <w:sz w:val="22"/>
      <w:szCs w:val="22"/>
    </w:rPr>
  </w:style>
  <w:style w:type="character" w:customStyle="1" w:styleId="205">
    <w:name w:val="不明显参考1"/>
    <w:qFormat/>
    <w:uiPriority w:val="31"/>
    <w:rPr>
      <w:smallCaps/>
      <w:color w:val="C0504D"/>
      <w:u w:val="single"/>
    </w:rPr>
  </w:style>
  <w:style w:type="character" w:customStyle="1" w:styleId="206">
    <w:name w:val="说明 Char"/>
    <w:link w:val="207"/>
    <w:qFormat/>
    <w:locked/>
    <w:uiPriority w:val="0"/>
    <w:rPr>
      <w:rFonts w:eastAsia="楷体_GB2312"/>
      <w:b/>
      <w:kern w:val="4"/>
      <w:sz w:val="24"/>
      <w:szCs w:val="24"/>
      <w:lang w:val="en-US" w:eastAsia="zh-CN" w:bidi="ar-SA"/>
    </w:rPr>
  </w:style>
  <w:style w:type="paragraph" w:customStyle="1" w:styleId="207">
    <w:name w:val="说明"/>
    <w:next w:val="1"/>
    <w:link w:val="206"/>
    <w:qFormat/>
    <w:uiPriority w:val="0"/>
    <w:pPr>
      <w:widowControl w:val="0"/>
      <w:adjustRightInd w:val="0"/>
      <w:snapToGrid w:val="0"/>
      <w:spacing w:beforeLines="10"/>
      <w:jc w:val="center"/>
      <w:textAlignment w:val="center"/>
    </w:pPr>
    <w:rPr>
      <w:rFonts w:ascii="Times New Roman" w:hAnsi="Times New Roman" w:eastAsia="楷体_GB2312" w:cs="Times New Roman"/>
      <w:b/>
      <w:kern w:val="4"/>
      <w:sz w:val="24"/>
      <w:szCs w:val="24"/>
      <w:lang w:val="en-US" w:eastAsia="zh-CN" w:bidi="ar-SA"/>
    </w:rPr>
  </w:style>
  <w:style w:type="character" w:customStyle="1" w:styleId="208">
    <w:name w:val="表中文字 Char"/>
    <w:link w:val="209"/>
    <w:qFormat/>
    <w:locked/>
    <w:uiPriority w:val="0"/>
    <w:rPr>
      <w:rFonts w:cs="Arial"/>
      <w:kern w:val="2"/>
      <w:sz w:val="21"/>
      <w:szCs w:val="24"/>
      <w:lang w:val="en-US" w:eastAsia="zh-CN" w:bidi="ar-SA"/>
    </w:rPr>
  </w:style>
  <w:style w:type="paragraph" w:customStyle="1" w:styleId="209">
    <w:name w:val="表中文字"/>
    <w:next w:val="1"/>
    <w:link w:val="208"/>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character" w:customStyle="1" w:styleId="210">
    <w:name w:val="标题 4 字符"/>
    <w:semiHidden/>
    <w:qFormat/>
    <w:uiPriority w:val="9"/>
    <w:rPr>
      <w:rFonts w:ascii="等线 Light" w:hAnsi="等线 Light" w:eastAsia="等线 Light" w:cs="Times New Roman"/>
      <w:b/>
      <w:bCs/>
      <w:kern w:val="2"/>
      <w:sz w:val="28"/>
      <w:szCs w:val="28"/>
    </w:rPr>
  </w:style>
  <w:style w:type="character" w:customStyle="1" w:styleId="211">
    <w:name w:val="标题 5 字符"/>
    <w:semiHidden/>
    <w:qFormat/>
    <w:uiPriority w:val="9"/>
    <w:rPr>
      <w:b/>
      <w:bCs/>
      <w:kern w:val="2"/>
      <w:sz w:val="28"/>
      <w:szCs w:val="28"/>
    </w:rPr>
  </w:style>
  <w:style w:type="character" w:customStyle="1" w:styleId="212">
    <w:name w:val="标题 6 字符"/>
    <w:semiHidden/>
    <w:qFormat/>
    <w:uiPriority w:val="9"/>
    <w:rPr>
      <w:rFonts w:ascii="等线 Light" w:hAnsi="等线 Light" w:eastAsia="等线 Light" w:cs="Times New Roman"/>
      <w:b/>
      <w:bCs/>
      <w:kern w:val="2"/>
      <w:sz w:val="24"/>
      <w:szCs w:val="24"/>
    </w:rPr>
  </w:style>
  <w:style w:type="character" w:customStyle="1" w:styleId="213">
    <w:name w:val="标题 7 字符"/>
    <w:semiHidden/>
    <w:qFormat/>
    <w:uiPriority w:val="9"/>
    <w:rPr>
      <w:b/>
      <w:bCs/>
      <w:kern w:val="2"/>
      <w:sz w:val="24"/>
      <w:szCs w:val="24"/>
    </w:rPr>
  </w:style>
  <w:style w:type="character" w:customStyle="1" w:styleId="214">
    <w:name w:val="标题 8 字符"/>
    <w:semiHidden/>
    <w:qFormat/>
    <w:uiPriority w:val="9"/>
    <w:rPr>
      <w:rFonts w:ascii="等线 Light" w:hAnsi="等线 Light" w:eastAsia="等线 Light" w:cs="Times New Roman"/>
      <w:kern w:val="2"/>
      <w:sz w:val="24"/>
      <w:szCs w:val="24"/>
    </w:rPr>
  </w:style>
  <w:style w:type="character" w:customStyle="1" w:styleId="215">
    <w:name w:val="标题 9 字符"/>
    <w:semiHidden/>
    <w:qFormat/>
    <w:uiPriority w:val="9"/>
    <w:rPr>
      <w:rFonts w:ascii="等线 Light" w:hAnsi="等线 Light" w:eastAsia="等线 Light" w:cs="Times New Roman"/>
      <w:kern w:val="2"/>
      <w:sz w:val="21"/>
      <w:szCs w:val="21"/>
    </w:rPr>
  </w:style>
  <w:style w:type="character" w:customStyle="1" w:styleId="216">
    <w:name w:val="标题 2 字符"/>
    <w:semiHidden/>
    <w:qFormat/>
    <w:uiPriority w:val="9"/>
    <w:rPr>
      <w:rFonts w:ascii="等线 Light" w:hAnsi="等线 Light" w:eastAsia="等线 Light" w:cs="Times New Roman"/>
      <w:b/>
      <w:bCs/>
      <w:kern w:val="2"/>
      <w:sz w:val="32"/>
      <w:szCs w:val="32"/>
    </w:rPr>
  </w:style>
  <w:style w:type="character" w:customStyle="1" w:styleId="217">
    <w:name w:val="标题 3 字符"/>
    <w:semiHidden/>
    <w:qFormat/>
    <w:uiPriority w:val="9"/>
    <w:rPr>
      <w:b/>
      <w:bCs/>
      <w:kern w:val="2"/>
      <w:sz w:val="32"/>
      <w:szCs w:val="32"/>
    </w:rPr>
  </w:style>
  <w:style w:type="character" w:customStyle="1" w:styleId="218">
    <w:name w:val="批注文字 Char"/>
    <w:qFormat/>
    <w:locked/>
    <w:uiPriority w:val="0"/>
    <w:rPr>
      <w:sz w:val="24"/>
    </w:rPr>
  </w:style>
  <w:style w:type="character" w:customStyle="1" w:styleId="219">
    <w:name w:val="正文文本 Char"/>
    <w:qFormat/>
    <w:locked/>
    <w:uiPriority w:val="0"/>
    <w:rPr>
      <w:sz w:val="18"/>
    </w:rPr>
  </w:style>
  <w:style w:type="character" w:customStyle="1" w:styleId="220">
    <w:name w:val="正文文本缩进 Char"/>
    <w:qFormat/>
    <w:locked/>
    <w:uiPriority w:val="0"/>
    <w:rPr>
      <w:kern w:val="2"/>
      <w:sz w:val="21"/>
      <w:szCs w:val="24"/>
    </w:rPr>
  </w:style>
  <w:style w:type="character" w:customStyle="1" w:styleId="221">
    <w:name w:val="批注框文本 Char"/>
    <w:qFormat/>
    <w:locked/>
    <w:uiPriority w:val="99"/>
    <w:rPr>
      <w:kern w:val="2"/>
      <w:sz w:val="18"/>
      <w:szCs w:val="18"/>
    </w:rPr>
  </w:style>
  <w:style w:type="character" w:customStyle="1" w:styleId="222">
    <w:name w:val="页脚 Char"/>
    <w:qFormat/>
    <w:locked/>
    <w:uiPriority w:val="99"/>
    <w:rPr>
      <w:kern w:val="2"/>
      <w:sz w:val="18"/>
      <w:szCs w:val="18"/>
    </w:rPr>
  </w:style>
  <w:style w:type="character" w:customStyle="1" w:styleId="223">
    <w:name w:val="页眉 Char"/>
    <w:qFormat/>
    <w:locked/>
    <w:uiPriority w:val="99"/>
    <w:rPr>
      <w:kern w:val="2"/>
      <w:sz w:val="18"/>
      <w:szCs w:val="18"/>
    </w:rPr>
  </w:style>
  <w:style w:type="character" w:customStyle="1" w:styleId="224">
    <w:name w:val="普通(网站) Char1"/>
    <w:qFormat/>
    <w:locked/>
    <w:uiPriority w:val="0"/>
    <w:rPr>
      <w:rFonts w:ascii="宋体" w:hAnsi="宋体"/>
      <w:sz w:val="24"/>
    </w:rPr>
  </w:style>
  <w:style w:type="character" w:customStyle="1" w:styleId="225">
    <w:name w:val="批注主题 Char"/>
    <w:qFormat/>
    <w:locked/>
    <w:uiPriority w:val="0"/>
    <w:rPr>
      <w:b/>
      <w:bCs/>
      <w:sz w:val="24"/>
    </w:rPr>
  </w:style>
  <w:style w:type="character" w:customStyle="1" w:styleId="226">
    <w:name w:val="正文文本缩进 2 Char"/>
    <w:qFormat/>
    <w:uiPriority w:val="0"/>
    <w:rPr>
      <w:kern w:val="2"/>
      <w:sz w:val="21"/>
      <w:szCs w:val="24"/>
    </w:rPr>
  </w:style>
  <w:style w:type="paragraph" w:customStyle="1" w:styleId="227">
    <w:name w:val="表格左齐"/>
    <w:basedOn w:val="1"/>
    <w:qFormat/>
    <w:uiPriority w:val="0"/>
    <w:pPr>
      <w:overflowPunct w:val="0"/>
      <w:spacing w:line="400" w:lineRule="exact"/>
      <w:ind w:firstLine="420" w:firstLineChars="200"/>
    </w:pPr>
    <w:rPr>
      <w:rFonts w:hAnsi="宋体"/>
      <w:color w:val="000000"/>
      <w:szCs w:val="21"/>
    </w:rPr>
  </w:style>
  <w:style w:type="character" w:customStyle="1" w:styleId="228">
    <w:name w:val="文档结构图 字符"/>
    <w:qFormat/>
    <w:uiPriority w:val="99"/>
    <w:rPr>
      <w:rFonts w:ascii="Microsoft YaHei UI" w:eastAsia="Microsoft YaHei UI"/>
      <w:kern w:val="2"/>
      <w:sz w:val="18"/>
      <w:szCs w:val="18"/>
    </w:rPr>
  </w:style>
  <w:style w:type="paragraph" w:customStyle="1" w:styleId="229">
    <w:name w:val="表头"/>
    <w:basedOn w:val="22"/>
    <w:link w:val="230"/>
    <w:qFormat/>
    <w:uiPriority w:val="0"/>
    <w:pPr>
      <w:snapToGrid w:val="0"/>
      <w:spacing w:line="520" w:lineRule="atLeast"/>
      <w:ind w:firstLine="0" w:firstLineChars="0"/>
      <w:jc w:val="center"/>
    </w:pPr>
    <w:rPr>
      <w:b/>
      <w:sz w:val="24"/>
      <w:szCs w:val="20"/>
    </w:rPr>
  </w:style>
  <w:style w:type="character" w:customStyle="1" w:styleId="230">
    <w:name w:val="表头 Char"/>
    <w:link w:val="229"/>
    <w:qFormat/>
    <w:uiPriority w:val="0"/>
    <w:rPr>
      <w:b/>
      <w:kern w:val="2"/>
      <w:sz w:val="24"/>
    </w:rPr>
  </w:style>
  <w:style w:type="character" w:customStyle="1" w:styleId="231">
    <w:name w:val="副标题 Char"/>
    <w:qFormat/>
    <w:uiPriority w:val="0"/>
    <w:rPr>
      <w:b/>
      <w:bCs/>
      <w:color w:val="000000"/>
      <w:kern w:val="28"/>
      <w:sz w:val="24"/>
      <w:szCs w:val="32"/>
    </w:rPr>
  </w:style>
  <w:style w:type="character" w:customStyle="1" w:styleId="232">
    <w:name w:val="网格型c Char"/>
    <w:qFormat/>
    <w:uiPriority w:val="0"/>
    <w:rPr>
      <w:rFonts w:eastAsia="宋体"/>
      <w:kern w:val="2"/>
      <w:sz w:val="21"/>
      <w:szCs w:val="21"/>
      <w:lang w:val="en-US" w:eastAsia="zh-CN" w:bidi="ar-SA"/>
    </w:rPr>
  </w:style>
  <w:style w:type="character" w:customStyle="1" w:styleId="233">
    <w:name w:val="标题 4 Char1"/>
    <w:qFormat/>
    <w:locked/>
    <w:uiPriority w:val="0"/>
    <w:rPr>
      <w:rFonts w:eastAsia="宋体"/>
      <w:b/>
      <w:kern w:val="2"/>
      <w:sz w:val="28"/>
    </w:rPr>
  </w:style>
  <w:style w:type="character" w:customStyle="1" w:styleId="234">
    <w:name w:val="自定义正文 Char Char Char Char Char Char"/>
    <w:qFormat/>
    <w:uiPriority w:val="0"/>
    <w:rPr>
      <w:rFonts w:eastAsia="宋体"/>
      <w:kern w:val="2"/>
      <w:position w:val="-28"/>
      <w:sz w:val="28"/>
      <w:lang w:val="en-US" w:eastAsia="zh-CN"/>
    </w:rPr>
  </w:style>
  <w:style w:type="character" w:customStyle="1" w:styleId="235">
    <w:name w:val="st1"/>
    <w:qFormat/>
    <w:uiPriority w:val="0"/>
  </w:style>
  <w:style w:type="character" w:customStyle="1" w:styleId="236">
    <w:name w:val="size13"/>
    <w:qFormat/>
    <w:uiPriority w:val="0"/>
  </w:style>
  <w:style w:type="character" w:customStyle="1" w:styleId="237">
    <w:name w:val="样式 首行缩进:  2 字符 Char"/>
    <w:qFormat/>
    <w:uiPriority w:val="0"/>
    <w:rPr>
      <w:rFonts w:eastAsia="宋体"/>
      <w:kern w:val="2"/>
      <w:sz w:val="24"/>
      <w:lang w:val="en-US" w:eastAsia="zh-CN"/>
    </w:rPr>
  </w:style>
  <w:style w:type="character" w:customStyle="1" w:styleId="238">
    <w:name w:val="h3 Char Char"/>
    <w:qFormat/>
    <w:uiPriority w:val="0"/>
    <w:rPr>
      <w:rFonts w:eastAsia="黑体"/>
      <w:b/>
      <w:kern w:val="2"/>
      <w:sz w:val="32"/>
    </w:rPr>
  </w:style>
  <w:style w:type="character" w:customStyle="1" w:styleId="239">
    <w:name w:val="标题 31 Char"/>
    <w:qFormat/>
    <w:uiPriority w:val="0"/>
    <w:rPr>
      <w:rFonts w:eastAsia="宋体"/>
      <w:b/>
      <w:kern w:val="2"/>
      <w:sz w:val="32"/>
      <w:lang w:val="en-US" w:eastAsia="zh-CN"/>
    </w:rPr>
  </w:style>
  <w:style w:type="character" w:customStyle="1" w:styleId="240">
    <w:name w:val="t_tag"/>
    <w:qFormat/>
    <w:uiPriority w:val="0"/>
  </w:style>
  <w:style w:type="character" w:customStyle="1" w:styleId="241">
    <w:name w:val="正文缩进（自定义） Char Char Char Char"/>
    <w:qFormat/>
    <w:uiPriority w:val="0"/>
    <w:rPr>
      <w:rFonts w:ascii="Century Gothic" w:hAnsi="Century Gothic" w:eastAsia="宋体"/>
      <w:sz w:val="24"/>
      <w:lang w:val="en-US" w:eastAsia="zh-CN"/>
    </w:rPr>
  </w:style>
  <w:style w:type="character" w:customStyle="1" w:styleId="242">
    <w:name w:val="样式 正文文本（getiao） + 首行缩进:  2 字符2 Char"/>
    <w:link w:val="243"/>
    <w:qFormat/>
    <w:locked/>
    <w:uiPriority w:val="0"/>
    <w:rPr>
      <w:rFonts w:ascii="宋体"/>
      <w:kern w:val="2"/>
      <w:sz w:val="24"/>
    </w:rPr>
  </w:style>
  <w:style w:type="paragraph" w:customStyle="1" w:styleId="243">
    <w:name w:val="样式 正文文本（getiao） + 首行缩进:  2 字符2"/>
    <w:basedOn w:val="1"/>
    <w:link w:val="242"/>
    <w:qFormat/>
    <w:uiPriority w:val="0"/>
    <w:pPr>
      <w:spacing w:line="360" w:lineRule="auto"/>
      <w:ind w:firstLine="480" w:firstLineChars="200"/>
    </w:pPr>
    <w:rPr>
      <w:rFonts w:ascii="宋体"/>
      <w:sz w:val="24"/>
      <w:szCs w:val="20"/>
    </w:rPr>
  </w:style>
  <w:style w:type="character" w:customStyle="1" w:styleId="244">
    <w:name w:val="表名 Char"/>
    <w:link w:val="245"/>
    <w:qFormat/>
    <w:locked/>
    <w:uiPriority w:val="0"/>
    <w:rPr>
      <w:rFonts w:eastAsia="黑体"/>
      <w:kern w:val="2"/>
      <w:sz w:val="28"/>
    </w:rPr>
  </w:style>
  <w:style w:type="paragraph" w:customStyle="1" w:styleId="245">
    <w:name w:val="表名"/>
    <w:basedOn w:val="1"/>
    <w:link w:val="244"/>
    <w:qFormat/>
    <w:uiPriority w:val="0"/>
    <w:pPr>
      <w:overflowPunct w:val="0"/>
      <w:spacing w:before="120" w:line="300" w:lineRule="exact"/>
      <w:textAlignment w:val="baseline"/>
    </w:pPr>
    <w:rPr>
      <w:rFonts w:eastAsia="黑体"/>
      <w:sz w:val="28"/>
      <w:szCs w:val="20"/>
    </w:rPr>
  </w:style>
  <w:style w:type="character" w:customStyle="1" w:styleId="246">
    <w:name w:val="04 Char"/>
    <w:link w:val="247"/>
    <w:qFormat/>
    <w:locked/>
    <w:uiPriority w:val="0"/>
    <w:rPr>
      <w:sz w:val="28"/>
      <w:lang w:val="en-US" w:eastAsia="zh-CN" w:bidi="ar-SA"/>
    </w:rPr>
  </w:style>
  <w:style w:type="paragraph" w:customStyle="1" w:styleId="247">
    <w:name w:val="04"/>
    <w:link w:val="246"/>
    <w:qFormat/>
    <w:uiPriority w:val="0"/>
    <w:pPr>
      <w:widowControl w:val="0"/>
      <w:spacing w:line="360" w:lineRule="auto"/>
      <w:ind w:firstLine="200" w:firstLineChars="200"/>
      <w:jc w:val="both"/>
    </w:pPr>
    <w:rPr>
      <w:rFonts w:ascii="Times New Roman" w:hAnsi="Times New Roman" w:eastAsia="宋体" w:cs="Times New Roman"/>
      <w:sz w:val="28"/>
      <w:lang w:val="en-US" w:eastAsia="zh-CN" w:bidi="ar-SA"/>
    </w:rPr>
  </w:style>
  <w:style w:type="character" w:customStyle="1" w:styleId="248">
    <w:name w:val="text1"/>
    <w:qFormat/>
    <w:uiPriority w:val="0"/>
    <w:rPr>
      <w:sz w:val="21"/>
    </w:rPr>
  </w:style>
  <w:style w:type="character" w:customStyle="1" w:styleId="249">
    <w:name w:val="图表位置 Char"/>
    <w:link w:val="250"/>
    <w:qFormat/>
    <w:locked/>
    <w:uiPriority w:val="0"/>
    <w:rPr>
      <w:kern w:val="2"/>
      <w:sz w:val="22"/>
    </w:rPr>
  </w:style>
  <w:style w:type="paragraph" w:customStyle="1" w:styleId="250">
    <w:name w:val="图表位置"/>
    <w:basedOn w:val="1"/>
    <w:link w:val="249"/>
    <w:qFormat/>
    <w:uiPriority w:val="0"/>
    <w:pPr>
      <w:spacing w:line="360" w:lineRule="auto"/>
      <w:jc w:val="center"/>
    </w:pPr>
    <w:rPr>
      <w:sz w:val="22"/>
      <w:szCs w:val="20"/>
    </w:rPr>
  </w:style>
  <w:style w:type="character" w:customStyle="1" w:styleId="251">
    <w:name w:val="标题 1 Char"/>
    <w:qFormat/>
    <w:uiPriority w:val="0"/>
    <w:rPr>
      <w:b/>
      <w:kern w:val="44"/>
      <w:sz w:val="44"/>
    </w:rPr>
  </w:style>
  <w:style w:type="character" w:customStyle="1" w:styleId="252">
    <w:name w:val="gf表头 Char"/>
    <w:link w:val="253"/>
    <w:qFormat/>
    <w:locked/>
    <w:uiPriority w:val="0"/>
    <w:rPr>
      <w:b/>
      <w:sz w:val="24"/>
    </w:rPr>
  </w:style>
  <w:style w:type="paragraph" w:customStyle="1" w:styleId="253">
    <w:name w:val="gf表头"/>
    <w:basedOn w:val="1"/>
    <w:link w:val="252"/>
    <w:qFormat/>
    <w:uiPriority w:val="0"/>
    <w:pPr>
      <w:widowControl/>
      <w:adjustRightInd w:val="0"/>
      <w:snapToGrid w:val="0"/>
      <w:spacing w:beforeLines="50"/>
      <w:jc w:val="center"/>
    </w:pPr>
    <w:rPr>
      <w:b/>
      <w:kern w:val="0"/>
      <w:sz w:val="24"/>
      <w:szCs w:val="20"/>
    </w:rPr>
  </w:style>
  <w:style w:type="character" w:customStyle="1" w:styleId="254">
    <w:name w:val="!正文(alt+c) Char4"/>
    <w:qFormat/>
    <w:uiPriority w:val="0"/>
    <w:rPr>
      <w:rFonts w:eastAsia="宋体"/>
      <w:sz w:val="24"/>
      <w:lang w:val="en-US" w:eastAsia="zh-CN"/>
    </w:rPr>
  </w:style>
  <w:style w:type="character" w:customStyle="1" w:styleId="255">
    <w:name w:val="ZW1 Char"/>
    <w:link w:val="256"/>
    <w:qFormat/>
    <w:locked/>
    <w:uiPriority w:val="0"/>
    <w:rPr>
      <w:rFonts w:hAnsi="Arial"/>
      <w:b/>
      <w:spacing w:val="14"/>
      <w:kern w:val="2"/>
      <w:sz w:val="28"/>
    </w:rPr>
  </w:style>
  <w:style w:type="paragraph" w:customStyle="1" w:styleId="256">
    <w:name w:val="ZW1"/>
    <w:basedOn w:val="194"/>
    <w:link w:val="255"/>
    <w:qFormat/>
    <w:uiPriority w:val="0"/>
    <w:pPr>
      <w:overflowPunct w:val="0"/>
      <w:topLinePunct/>
      <w:ind w:firstLine="560" w:firstLineChars="0"/>
      <w:jc w:val="center"/>
    </w:pPr>
    <w:rPr>
      <w:rFonts w:hAnsi="Arial" w:cs="Times New Roman"/>
      <w:b/>
      <w:spacing w:val="14"/>
      <w:sz w:val="28"/>
    </w:rPr>
  </w:style>
  <w:style w:type="character" w:customStyle="1" w:styleId="257">
    <w:name w:val="报告正文 Char Char"/>
    <w:qFormat/>
    <w:locked/>
    <w:uiPriority w:val="0"/>
    <w:rPr>
      <w:rFonts w:hAnsi="宋体"/>
      <w:bCs/>
      <w:color w:val="000000"/>
      <w:spacing w:val="4"/>
      <w:kern w:val="2"/>
      <w:sz w:val="24"/>
      <w:szCs w:val="24"/>
      <w:lang w:val="zh-CN"/>
    </w:rPr>
  </w:style>
  <w:style w:type="character" w:customStyle="1" w:styleId="258">
    <w:name w:val="XW正文 Char1"/>
    <w:link w:val="259"/>
    <w:semiHidden/>
    <w:qFormat/>
    <w:locked/>
    <w:uiPriority w:val="0"/>
    <w:rPr>
      <w:color w:val="000000"/>
      <w:sz w:val="24"/>
    </w:rPr>
  </w:style>
  <w:style w:type="paragraph" w:customStyle="1" w:styleId="259">
    <w:name w:val="XW正文"/>
    <w:basedOn w:val="1"/>
    <w:link w:val="258"/>
    <w:semiHidden/>
    <w:qFormat/>
    <w:uiPriority w:val="0"/>
    <w:pPr>
      <w:adjustRightInd w:val="0"/>
      <w:spacing w:line="360" w:lineRule="auto"/>
      <w:ind w:firstLine="454"/>
      <w:jc w:val="left"/>
      <w:textAlignment w:val="baseline"/>
    </w:pPr>
    <w:rPr>
      <w:color w:val="000000"/>
      <w:kern w:val="0"/>
      <w:sz w:val="24"/>
      <w:szCs w:val="20"/>
    </w:rPr>
  </w:style>
  <w:style w:type="character" w:customStyle="1" w:styleId="260">
    <w:name w:val="正文文本 3 字符"/>
    <w:qFormat/>
    <w:uiPriority w:val="99"/>
    <w:rPr>
      <w:kern w:val="2"/>
      <w:sz w:val="16"/>
      <w:szCs w:val="16"/>
    </w:rPr>
  </w:style>
  <w:style w:type="character" w:customStyle="1" w:styleId="261">
    <w:name w:val="t11"/>
    <w:qFormat/>
    <w:uiPriority w:val="0"/>
    <w:rPr>
      <w:b/>
      <w:sz w:val="18"/>
      <w:shd w:val="clear" w:color="auto" w:fill="FFFFFF"/>
    </w:rPr>
  </w:style>
  <w:style w:type="character" w:customStyle="1" w:styleId="262">
    <w:name w:val="正文文本缩进 3 Char"/>
    <w:qFormat/>
    <w:locked/>
    <w:uiPriority w:val="0"/>
    <w:rPr>
      <w:kern w:val="2"/>
      <w:sz w:val="16"/>
    </w:rPr>
  </w:style>
  <w:style w:type="character" w:customStyle="1" w:styleId="263">
    <w:name w:val="图表头 Char"/>
    <w:qFormat/>
    <w:uiPriority w:val="0"/>
    <w:rPr>
      <w:rFonts w:ascii="宋体" w:hAnsi="宋体" w:eastAsia="宋体"/>
      <w:b/>
      <w:kern w:val="2"/>
      <w:sz w:val="24"/>
      <w:lang w:val="en-US" w:eastAsia="zh-CN"/>
    </w:rPr>
  </w:style>
  <w:style w:type="character" w:customStyle="1" w:styleId="264">
    <w:name w:val="方案标题4 + 段前: 1 行 段后: 0.5 行 Char"/>
    <w:link w:val="265"/>
    <w:qFormat/>
    <w:locked/>
    <w:uiPriority w:val="0"/>
    <w:rPr>
      <w:rFonts w:ascii="宋体"/>
      <w:color w:val="000000"/>
      <w:kern w:val="2"/>
      <w:sz w:val="28"/>
      <w:lang w:val="zh-CN"/>
    </w:rPr>
  </w:style>
  <w:style w:type="paragraph" w:customStyle="1" w:styleId="265">
    <w:name w:val="方案标题4 + 段前: 1 行 段后: 0.5 行"/>
    <w:basedOn w:val="1"/>
    <w:link w:val="264"/>
    <w:qFormat/>
    <w:uiPriority w:val="0"/>
    <w:pPr>
      <w:keepNext/>
      <w:keepLines/>
      <w:tabs>
        <w:tab w:val="left" w:pos="709"/>
      </w:tabs>
      <w:adjustRightInd w:val="0"/>
      <w:snapToGrid w:val="0"/>
      <w:spacing w:before="120" w:line="360" w:lineRule="auto"/>
      <w:ind w:left="759" w:hanging="759"/>
      <w:outlineLvl w:val="3"/>
    </w:pPr>
    <w:rPr>
      <w:rFonts w:ascii="宋体"/>
      <w:color w:val="000000"/>
      <w:sz w:val="28"/>
      <w:szCs w:val="20"/>
      <w:lang w:val="zh-CN"/>
    </w:rPr>
  </w:style>
  <w:style w:type="character" w:customStyle="1" w:styleId="266">
    <w:name w:val="正文首行缩进 2 Char Char"/>
    <w:qFormat/>
    <w:uiPriority w:val="0"/>
    <w:rPr>
      <w:rFonts w:eastAsia="宋体"/>
      <w:color w:val="000000"/>
      <w:spacing w:val="12"/>
      <w:kern w:val="2"/>
      <w:sz w:val="24"/>
      <w:lang w:val="en-US" w:eastAsia="zh-CN"/>
    </w:rPr>
  </w:style>
  <w:style w:type="character" w:customStyle="1" w:styleId="267">
    <w:name w:val="ed11"/>
    <w:qFormat/>
    <w:uiPriority w:val="0"/>
    <w:rPr>
      <w:color w:val="CC0000"/>
      <w:sz w:val="21"/>
    </w:rPr>
  </w:style>
  <w:style w:type="character" w:customStyle="1" w:styleId="268">
    <w:name w:val="p1"/>
    <w:qFormat/>
    <w:uiPriority w:val="0"/>
  </w:style>
  <w:style w:type="character" w:customStyle="1" w:styleId="269">
    <w:name w:val="君邦正文 Char"/>
    <w:link w:val="270"/>
    <w:qFormat/>
    <w:locked/>
    <w:uiPriority w:val="0"/>
    <w:rPr>
      <w:rFonts w:ascii="宋体" w:hAnsi="宋体"/>
      <w:kern w:val="2"/>
      <w:sz w:val="24"/>
      <w:lang w:val="en-US" w:eastAsia="zh-CN" w:bidi="ar-SA"/>
    </w:rPr>
  </w:style>
  <w:style w:type="paragraph" w:customStyle="1" w:styleId="270">
    <w:name w:val="君邦正文"/>
    <w:link w:val="269"/>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character" w:customStyle="1" w:styleId="271">
    <w:name w:val="正文文字缩进 3 Char Char1"/>
    <w:qFormat/>
    <w:uiPriority w:val="0"/>
    <w:rPr>
      <w:rFonts w:eastAsia="宋体"/>
      <w:kern w:val="2"/>
      <w:sz w:val="24"/>
      <w:lang w:val="en-US" w:eastAsia="zh-CN"/>
    </w:rPr>
  </w:style>
  <w:style w:type="character" w:customStyle="1" w:styleId="272">
    <w:name w:val="自定义正文 Char Char Char Char"/>
    <w:qFormat/>
    <w:uiPriority w:val="0"/>
    <w:rPr>
      <w:rFonts w:eastAsia="宋体"/>
      <w:kern w:val="2"/>
      <w:position w:val="-28"/>
      <w:sz w:val="28"/>
      <w:lang w:val="en-US" w:eastAsia="zh-CN"/>
    </w:rPr>
  </w:style>
  <w:style w:type="character" w:customStyle="1" w:styleId="273">
    <w:name w:val="图表 Char"/>
    <w:link w:val="274"/>
    <w:qFormat/>
    <w:locked/>
    <w:uiPriority w:val="0"/>
    <w:rPr>
      <w:kern w:val="2"/>
      <w:sz w:val="21"/>
    </w:rPr>
  </w:style>
  <w:style w:type="paragraph" w:customStyle="1" w:styleId="274">
    <w:name w:val="图表"/>
    <w:basedOn w:val="1"/>
    <w:link w:val="273"/>
    <w:qFormat/>
    <w:uiPriority w:val="0"/>
    <w:pPr>
      <w:widowControl/>
      <w:jc w:val="center"/>
    </w:pPr>
    <w:rPr>
      <w:szCs w:val="20"/>
    </w:rPr>
  </w:style>
  <w:style w:type="character" w:customStyle="1" w:styleId="275">
    <w:name w:val="普通文字 Char Char1 Char Char"/>
    <w:qFormat/>
    <w:uiPriority w:val="0"/>
    <w:rPr>
      <w:rFonts w:ascii="宋体" w:hAnsi="Courier New" w:eastAsia="宋体"/>
      <w:kern w:val="2"/>
      <w:sz w:val="24"/>
      <w:lang w:val="en-US" w:eastAsia="zh-CN"/>
    </w:rPr>
  </w:style>
  <w:style w:type="character" w:customStyle="1" w:styleId="276">
    <w:name w:val="图表标题 Char Char"/>
    <w:qFormat/>
    <w:uiPriority w:val="0"/>
    <w:rPr>
      <w:rFonts w:eastAsia="黑体"/>
      <w:kern w:val="2"/>
      <w:sz w:val="28"/>
      <w:lang w:val="en-US" w:eastAsia="zh-CN"/>
    </w:rPr>
  </w:style>
  <w:style w:type="character" w:customStyle="1" w:styleId="277">
    <w:name w:val="题注 Char"/>
    <w:qFormat/>
    <w:locked/>
    <w:uiPriority w:val="0"/>
    <w:rPr>
      <w:rFonts w:ascii="Arial" w:hAnsi="Arial"/>
      <w:sz w:val="28"/>
    </w:rPr>
  </w:style>
  <w:style w:type="character" w:customStyle="1" w:styleId="278">
    <w:name w:val="toctext"/>
    <w:qFormat/>
    <w:uiPriority w:val="0"/>
  </w:style>
  <w:style w:type="character" w:customStyle="1" w:styleId="279">
    <w:name w:val="pt91"/>
    <w:qFormat/>
    <w:uiPriority w:val="0"/>
    <w:rPr>
      <w:sz w:val="18"/>
    </w:rPr>
  </w:style>
  <w:style w:type="character" w:customStyle="1" w:styleId="280">
    <w:name w:val="f14"/>
    <w:qFormat/>
    <w:uiPriority w:val="0"/>
  </w:style>
  <w:style w:type="character" w:customStyle="1" w:styleId="281">
    <w:name w:val="图注 Char"/>
    <w:link w:val="282"/>
    <w:qFormat/>
    <w:locked/>
    <w:uiPriority w:val="0"/>
    <w:rPr>
      <w:rFonts w:ascii="宋体"/>
      <w:kern w:val="2"/>
      <w:sz w:val="28"/>
    </w:rPr>
  </w:style>
  <w:style w:type="paragraph" w:customStyle="1" w:styleId="282">
    <w:name w:val="图注"/>
    <w:basedOn w:val="1"/>
    <w:link w:val="281"/>
    <w:qFormat/>
    <w:uiPriority w:val="0"/>
    <w:pPr>
      <w:tabs>
        <w:tab w:val="left" w:pos="3237"/>
      </w:tabs>
      <w:snapToGrid w:val="0"/>
      <w:spacing w:afterLines="50" w:line="360" w:lineRule="auto"/>
      <w:ind w:firstLine="560" w:firstLineChars="200"/>
      <w:contextualSpacing/>
      <w:jc w:val="center"/>
    </w:pPr>
    <w:rPr>
      <w:rFonts w:ascii="宋体"/>
      <w:sz w:val="28"/>
      <w:szCs w:val="20"/>
    </w:rPr>
  </w:style>
  <w:style w:type="character" w:customStyle="1" w:styleId="283">
    <w:name w:val="标题4"/>
    <w:qFormat/>
    <w:uiPriority w:val="0"/>
    <w:rPr>
      <w:b/>
      <w:sz w:val="24"/>
    </w:rPr>
  </w:style>
  <w:style w:type="character" w:customStyle="1" w:styleId="284">
    <w:name w:val="tpc_content1"/>
    <w:qFormat/>
    <w:uiPriority w:val="0"/>
    <w:rPr>
      <w:sz w:val="21"/>
    </w:rPr>
  </w:style>
  <w:style w:type="character" w:customStyle="1" w:styleId="285">
    <w:name w:val="表号 Char Char Char"/>
    <w:qFormat/>
    <w:uiPriority w:val="0"/>
    <w:rPr>
      <w:rFonts w:eastAsia="宋体"/>
      <w:kern w:val="2"/>
      <w:sz w:val="24"/>
      <w:lang w:val="en-US" w:eastAsia="zh-CN"/>
    </w:rPr>
  </w:style>
  <w:style w:type="character" w:customStyle="1" w:styleId="286">
    <w:name w:val="xyb自建表格名称 Char Char"/>
    <w:qFormat/>
    <w:uiPriority w:val="0"/>
    <w:rPr>
      <w:rFonts w:ascii="宋体" w:hAnsi="宋体" w:eastAsia="宋体"/>
      <w:kern w:val="2"/>
      <w:sz w:val="24"/>
      <w:lang w:val="en-US" w:eastAsia="zh-CN"/>
    </w:rPr>
  </w:style>
  <w:style w:type="character" w:customStyle="1" w:styleId="287">
    <w:name w:val="正文* Char"/>
    <w:link w:val="288"/>
    <w:qFormat/>
    <w:locked/>
    <w:uiPriority w:val="0"/>
    <w:rPr>
      <w:kern w:val="2"/>
      <w:sz w:val="30"/>
    </w:rPr>
  </w:style>
  <w:style w:type="paragraph" w:customStyle="1" w:styleId="288">
    <w:name w:val="正文*"/>
    <w:basedOn w:val="1"/>
    <w:link w:val="287"/>
    <w:qFormat/>
    <w:uiPriority w:val="0"/>
    <w:pPr>
      <w:spacing w:line="500" w:lineRule="exact"/>
      <w:ind w:firstLine="588" w:firstLineChars="196"/>
    </w:pPr>
    <w:rPr>
      <w:sz w:val="30"/>
      <w:szCs w:val="20"/>
    </w:rPr>
  </w:style>
  <w:style w:type="character" w:customStyle="1" w:styleId="289">
    <w:name w:val="题注－ld Char Char1"/>
    <w:qFormat/>
    <w:uiPriority w:val="0"/>
    <w:rPr>
      <w:rFonts w:eastAsia="黑体"/>
      <w:kern w:val="2"/>
      <w:sz w:val="28"/>
      <w:lang w:val="en-US" w:eastAsia="zh-CN"/>
    </w:rPr>
  </w:style>
  <w:style w:type="character" w:customStyle="1" w:styleId="290">
    <w:name w:val="电子邮件签名 字符"/>
    <w:qFormat/>
    <w:uiPriority w:val="99"/>
    <w:rPr>
      <w:kern w:val="2"/>
      <w:sz w:val="21"/>
      <w:szCs w:val="24"/>
    </w:rPr>
  </w:style>
  <w:style w:type="character" w:customStyle="1" w:styleId="291">
    <w:name w:val="Char Char3"/>
    <w:qFormat/>
    <w:uiPriority w:val="0"/>
    <w:rPr>
      <w:rFonts w:eastAsia="宋体"/>
      <w:sz w:val="18"/>
      <w:lang w:val="en-US" w:eastAsia="zh-CN"/>
    </w:rPr>
  </w:style>
  <w:style w:type="character" w:customStyle="1" w:styleId="292">
    <w:name w:val="报告书正文 Char Char Char Char Char Char"/>
    <w:qFormat/>
    <w:uiPriority w:val="0"/>
    <w:rPr>
      <w:rFonts w:eastAsia="宋体"/>
      <w:color w:val="000000"/>
      <w:kern w:val="2"/>
      <w:sz w:val="24"/>
      <w:lang w:val="en-US" w:eastAsia="zh-CN"/>
    </w:rPr>
  </w:style>
  <w:style w:type="character" w:customStyle="1" w:styleId="293">
    <w:name w:val="cn1"/>
    <w:qFormat/>
    <w:uiPriority w:val="0"/>
    <w:rPr>
      <w:sz w:val="21"/>
    </w:rPr>
  </w:style>
  <w:style w:type="character" w:customStyle="1" w:styleId="294">
    <w:name w:val="文本正文 Char"/>
    <w:link w:val="295"/>
    <w:qFormat/>
    <w:locked/>
    <w:uiPriority w:val="0"/>
    <w:rPr>
      <w:kern w:val="2"/>
      <w:sz w:val="28"/>
    </w:rPr>
  </w:style>
  <w:style w:type="paragraph" w:customStyle="1" w:styleId="295">
    <w:name w:val="文本正文"/>
    <w:basedOn w:val="1"/>
    <w:link w:val="294"/>
    <w:qFormat/>
    <w:uiPriority w:val="0"/>
    <w:pPr>
      <w:spacing w:line="360" w:lineRule="auto"/>
      <w:ind w:firstLine="560" w:firstLineChars="200"/>
    </w:pPr>
    <w:rPr>
      <w:sz w:val="28"/>
      <w:szCs w:val="20"/>
    </w:rPr>
  </w:style>
  <w:style w:type="character" w:customStyle="1" w:styleId="296">
    <w:name w:val="正文文本缩进 Char1"/>
    <w:qFormat/>
    <w:uiPriority w:val="0"/>
    <w:rPr>
      <w:rFonts w:ascii="Arial Unicode MS" w:hAnsi="Arial Unicode MS" w:eastAsia="楷体_GB2312"/>
      <w:kern w:val="2"/>
      <w:sz w:val="24"/>
    </w:rPr>
  </w:style>
  <w:style w:type="character" w:customStyle="1" w:styleId="297">
    <w:name w:val="Char Char91"/>
    <w:qFormat/>
    <w:uiPriority w:val="0"/>
    <w:rPr>
      <w:rFonts w:ascii="宋体" w:hAnsi="Courier New" w:eastAsia="宋体"/>
      <w:kern w:val="2"/>
      <w:sz w:val="21"/>
      <w:lang w:val="en-US" w:eastAsia="zh-CN"/>
    </w:rPr>
  </w:style>
  <w:style w:type="character" w:customStyle="1" w:styleId="298">
    <w:name w:val="标题3 Char Char1 Char"/>
    <w:qFormat/>
    <w:uiPriority w:val="0"/>
    <w:rPr>
      <w:rFonts w:ascii="黑体" w:hAnsi="宋体" w:eastAsia="黑体"/>
      <w:b/>
      <w:sz w:val="32"/>
      <w:lang w:val="en-US" w:eastAsia="zh-CN"/>
    </w:rPr>
  </w:style>
  <w:style w:type="character" w:customStyle="1" w:styleId="299">
    <w:name w:val="style21"/>
    <w:qFormat/>
    <w:uiPriority w:val="0"/>
    <w:rPr>
      <w:color w:val="000000"/>
    </w:rPr>
  </w:style>
  <w:style w:type="character" w:customStyle="1" w:styleId="300">
    <w:name w:val="表格5号字 Char Char"/>
    <w:qFormat/>
    <w:uiPriority w:val="0"/>
    <w:rPr>
      <w:rFonts w:eastAsia="Times New Roman"/>
      <w:kern w:val="2"/>
      <w:sz w:val="18"/>
    </w:rPr>
  </w:style>
  <w:style w:type="character" w:customStyle="1" w:styleId="301">
    <w:name w:val="!标题2(alt+2) Char"/>
    <w:qFormat/>
    <w:uiPriority w:val="0"/>
    <w:rPr>
      <w:rFonts w:eastAsia="宋体"/>
      <w:kern w:val="2"/>
      <w:sz w:val="30"/>
      <w:lang w:val="en-US" w:eastAsia="zh-CN"/>
    </w:rPr>
  </w:style>
  <w:style w:type="character" w:customStyle="1" w:styleId="302">
    <w:name w:val="标4 Char Char Char Char"/>
    <w:qFormat/>
    <w:uiPriority w:val="0"/>
    <w:rPr>
      <w:rFonts w:ascii="宋体" w:hAnsi="宋体" w:eastAsia="宋体"/>
      <w:kern w:val="2"/>
      <w:sz w:val="30"/>
      <w:lang w:val="en-US" w:eastAsia="zh-CN"/>
    </w:rPr>
  </w:style>
  <w:style w:type="paragraph" w:customStyle="1" w:styleId="303">
    <w:name w:val="_Style 235"/>
    <w:basedOn w:val="1"/>
    <w:next w:val="304"/>
    <w:qFormat/>
    <w:uiPriority w:val="0"/>
    <w:pPr>
      <w:ind w:firstLine="420" w:firstLineChars="200"/>
    </w:pPr>
  </w:style>
  <w:style w:type="paragraph" w:styleId="304">
    <w:name w:val="List Paragraph"/>
    <w:basedOn w:val="1"/>
    <w:qFormat/>
    <w:uiPriority w:val="34"/>
    <w:pPr>
      <w:ind w:firstLine="420" w:firstLineChars="200"/>
    </w:pPr>
  </w:style>
  <w:style w:type="character" w:customStyle="1" w:styleId="305">
    <w:name w:val="!表标题(alt+h) Char"/>
    <w:qFormat/>
    <w:uiPriority w:val="0"/>
    <w:rPr>
      <w:rFonts w:eastAsia="黑体"/>
      <w:color w:val="000000"/>
      <w:sz w:val="24"/>
      <w:lang w:val="en-US" w:eastAsia="zh-CN"/>
    </w:rPr>
  </w:style>
  <w:style w:type="character" w:customStyle="1" w:styleId="306">
    <w:name w:val="表文 Char"/>
    <w:link w:val="307"/>
    <w:qFormat/>
    <w:locked/>
    <w:uiPriority w:val="0"/>
    <w:rPr>
      <w:kern w:val="2"/>
      <w:sz w:val="24"/>
    </w:rPr>
  </w:style>
  <w:style w:type="paragraph" w:customStyle="1" w:styleId="307">
    <w:name w:val="表文"/>
    <w:basedOn w:val="1"/>
    <w:link w:val="306"/>
    <w:qFormat/>
    <w:uiPriority w:val="0"/>
    <w:pPr>
      <w:overflowPunct w:val="0"/>
      <w:jc w:val="center"/>
      <w:textAlignment w:val="baseline"/>
    </w:pPr>
    <w:rPr>
      <w:sz w:val="24"/>
      <w:szCs w:val="20"/>
    </w:rPr>
  </w:style>
  <w:style w:type="character" w:customStyle="1" w:styleId="308">
    <w:name w:val="我的正文 Char"/>
    <w:qFormat/>
    <w:uiPriority w:val="0"/>
    <w:rPr>
      <w:rFonts w:eastAsia="宋体"/>
      <w:kern w:val="2"/>
      <w:sz w:val="24"/>
      <w:lang w:val="en-US" w:eastAsia="zh-CN"/>
    </w:rPr>
  </w:style>
  <w:style w:type="character" w:customStyle="1" w:styleId="309">
    <w:name w:val="detail_style1"/>
    <w:qFormat/>
    <w:uiPriority w:val="0"/>
    <w:rPr>
      <w:sz w:val="21"/>
      <w:u w:val="none"/>
    </w:rPr>
  </w:style>
  <w:style w:type="character" w:customStyle="1" w:styleId="310">
    <w:name w:val="样式 标题 4 + 宋体 Char Char Char Char"/>
    <w:qFormat/>
    <w:uiPriority w:val="0"/>
    <w:rPr>
      <w:rFonts w:ascii="宋体" w:hAnsi="宋体" w:eastAsia="宋体"/>
      <w:kern w:val="2"/>
      <w:sz w:val="24"/>
      <w:lang w:val="en-US" w:eastAsia="zh-CN"/>
    </w:rPr>
  </w:style>
  <w:style w:type="character" w:customStyle="1" w:styleId="311">
    <w:name w:val="默认段落 Char"/>
    <w:qFormat/>
    <w:uiPriority w:val="0"/>
    <w:rPr>
      <w:rFonts w:eastAsia="宋体"/>
      <w:sz w:val="24"/>
      <w:lang w:val="en-US" w:eastAsia="zh-CN"/>
    </w:rPr>
  </w:style>
  <w:style w:type="character" w:customStyle="1" w:styleId="312">
    <w:name w:val="报告书正文 Char Char Char Char Char Char Char Char Char Char Char Char Char Char"/>
    <w:qFormat/>
    <w:uiPriority w:val="0"/>
    <w:rPr>
      <w:rFonts w:eastAsia="宋体"/>
      <w:color w:val="000000"/>
      <w:kern w:val="2"/>
      <w:sz w:val="24"/>
      <w:lang w:val="en-US" w:eastAsia="zh-CN"/>
    </w:rPr>
  </w:style>
  <w:style w:type="character" w:customStyle="1" w:styleId="313">
    <w:name w:val="表格内容 Char"/>
    <w:link w:val="314"/>
    <w:qFormat/>
    <w:locked/>
    <w:uiPriority w:val="0"/>
    <w:rPr>
      <w:rFonts w:ascii="宋体"/>
      <w:sz w:val="48"/>
    </w:rPr>
  </w:style>
  <w:style w:type="paragraph" w:customStyle="1" w:styleId="314">
    <w:name w:val="表格内容"/>
    <w:basedOn w:val="1"/>
    <w:link w:val="313"/>
    <w:qFormat/>
    <w:uiPriority w:val="0"/>
    <w:pPr>
      <w:jc w:val="center"/>
    </w:pPr>
    <w:rPr>
      <w:rFonts w:ascii="宋体"/>
      <w:kern w:val="0"/>
      <w:sz w:val="48"/>
      <w:szCs w:val="20"/>
    </w:rPr>
  </w:style>
  <w:style w:type="character" w:customStyle="1" w:styleId="315">
    <w:name w:val="ksfind_class_select"/>
    <w:qFormat/>
    <w:uiPriority w:val="0"/>
  </w:style>
  <w:style w:type="character" w:customStyle="1" w:styleId="316">
    <w:name w:val="报告 Char"/>
    <w:qFormat/>
    <w:uiPriority w:val="0"/>
    <w:rPr>
      <w:rFonts w:eastAsia="宋体"/>
      <w:kern w:val="2"/>
      <w:sz w:val="24"/>
      <w:lang w:val="en-US" w:eastAsia="zh-CN"/>
    </w:rPr>
  </w:style>
  <w:style w:type="character" w:customStyle="1" w:styleId="317">
    <w:name w:val="引用 Char"/>
    <w:link w:val="318"/>
    <w:qFormat/>
    <w:locked/>
    <w:uiPriority w:val="0"/>
    <w:rPr>
      <w:i/>
      <w:color w:val="000000"/>
      <w:kern w:val="2"/>
      <w:sz w:val="24"/>
    </w:rPr>
  </w:style>
  <w:style w:type="paragraph" w:customStyle="1" w:styleId="318">
    <w:name w:val="引用1"/>
    <w:basedOn w:val="1"/>
    <w:next w:val="1"/>
    <w:link w:val="317"/>
    <w:qFormat/>
    <w:uiPriority w:val="0"/>
    <w:rPr>
      <w:i/>
      <w:color w:val="000000"/>
      <w:sz w:val="24"/>
      <w:szCs w:val="20"/>
    </w:rPr>
  </w:style>
  <w:style w:type="character" w:customStyle="1" w:styleId="319">
    <w:name w:val="title1"/>
    <w:qFormat/>
    <w:uiPriority w:val="0"/>
  </w:style>
  <w:style w:type="character" w:customStyle="1" w:styleId="320">
    <w:name w:val="表头样式1 Char"/>
    <w:link w:val="321"/>
    <w:semiHidden/>
    <w:qFormat/>
    <w:locked/>
    <w:uiPriority w:val="0"/>
    <w:rPr>
      <w:rFonts w:eastAsia="黑体"/>
      <w:b/>
      <w:kern w:val="2"/>
      <w:sz w:val="28"/>
    </w:rPr>
  </w:style>
  <w:style w:type="paragraph" w:customStyle="1" w:styleId="321">
    <w:name w:val="表头样式1"/>
    <w:basedOn w:val="1"/>
    <w:link w:val="320"/>
    <w:semiHidden/>
    <w:qFormat/>
    <w:uiPriority w:val="0"/>
    <w:pPr>
      <w:spacing w:before="240" w:after="120" w:line="400" w:lineRule="atLeast"/>
      <w:jc w:val="center"/>
    </w:pPr>
    <w:rPr>
      <w:rFonts w:eastAsia="黑体"/>
      <w:b/>
      <w:sz w:val="28"/>
      <w:szCs w:val="20"/>
    </w:rPr>
  </w:style>
  <w:style w:type="character" w:customStyle="1" w:styleId="322">
    <w:name w:val="z-窗体顶端 Char"/>
    <w:link w:val="323"/>
    <w:qFormat/>
    <w:locked/>
    <w:uiPriority w:val="0"/>
    <w:rPr>
      <w:rFonts w:ascii="Arial" w:hAnsi="Arial"/>
      <w:vanish/>
      <w:color w:val="000000"/>
      <w:sz w:val="16"/>
    </w:rPr>
  </w:style>
  <w:style w:type="paragraph" w:customStyle="1" w:styleId="323">
    <w:name w:val="z-窗体顶端1"/>
    <w:basedOn w:val="1"/>
    <w:next w:val="1"/>
    <w:link w:val="322"/>
    <w:qFormat/>
    <w:uiPriority w:val="0"/>
    <w:pPr>
      <w:widowControl/>
      <w:pBdr>
        <w:bottom w:val="single" w:color="auto" w:sz="6" w:space="1"/>
      </w:pBdr>
      <w:jc w:val="center"/>
    </w:pPr>
    <w:rPr>
      <w:rFonts w:ascii="Arial" w:hAnsi="Arial"/>
      <w:vanish/>
      <w:color w:val="000000"/>
      <w:kern w:val="0"/>
      <w:sz w:val="16"/>
      <w:szCs w:val="20"/>
    </w:rPr>
  </w:style>
  <w:style w:type="character" w:customStyle="1" w:styleId="324">
    <w:name w:val="表格居中 Char"/>
    <w:link w:val="325"/>
    <w:qFormat/>
    <w:locked/>
    <w:uiPriority w:val="0"/>
    <w:rPr>
      <w:sz w:val="18"/>
      <w:lang w:val="zh-CN"/>
    </w:rPr>
  </w:style>
  <w:style w:type="paragraph" w:customStyle="1" w:styleId="325">
    <w:name w:val="表格居中"/>
    <w:basedOn w:val="1"/>
    <w:link w:val="324"/>
    <w:qFormat/>
    <w:uiPriority w:val="0"/>
    <w:pPr>
      <w:tabs>
        <w:tab w:val="left" w:pos="4144"/>
      </w:tabs>
      <w:overflowPunct w:val="0"/>
      <w:ind w:right="-34" w:rightChars="-16" w:firstLine="50" w:firstLineChars="28"/>
      <w:jc w:val="center"/>
    </w:pPr>
    <w:rPr>
      <w:kern w:val="0"/>
      <w:sz w:val="18"/>
      <w:szCs w:val="20"/>
      <w:lang w:val="zh-CN"/>
    </w:rPr>
  </w:style>
  <w:style w:type="character" w:customStyle="1" w:styleId="326">
    <w:name w:val="123YJ Char Char"/>
    <w:qFormat/>
    <w:uiPriority w:val="0"/>
    <w:rPr>
      <w:rFonts w:eastAsia="宋体"/>
      <w:kern w:val="2"/>
      <w:sz w:val="18"/>
      <w:lang w:val="en-US" w:eastAsia="zh-CN"/>
    </w:rPr>
  </w:style>
  <w:style w:type="character" w:customStyle="1" w:styleId="327">
    <w:name w:val="hx"/>
    <w:qFormat/>
    <w:uiPriority w:val="0"/>
  </w:style>
  <w:style w:type="character" w:customStyle="1" w:styleId="328">
    <w:name w:val="wdjh"/>
    <w:qFormat/>
    <w:uiPriority w:val="0"/>
  </w:style>
  <w:style w:type="character" w:customStyle="1" w:styleId="329">
    <w:name w:val="单位 Char Char"/>
    <w:qFormat/>
    <w:uiPriority w:val="0"/>
    <w:rPr>
      <w:rFonts w:eastAsia="宋体"/>
      <w:kern w:val="2"/>
      <w:sz w:val="24"/>
      <w:lang w:val="en-US" w:eastAsia="zh-CN"/>
    </w:rPr>
  </w:style>
  <w:style w:type="character" w:customStyle="1" w:styleId="330">
    <w:name w:val="ZW2 Char"/>
    <w:link w:val="331"/>
    <w:qFormat/>
    <w:locked/>
    <w:uiPriority w:val="0"/>
    <w:rPr>
      <w:kern w:val="2"/>
      <w:sz w:val="28"/>
    </w:rPr>
  </w:style>
  <w:style w:type="paragraph" w:customStyle="1" w:styleId="331">
    <w:name w:val="ZW2"/>
    <w:basedOn w:val="1"/>
    <w:link w:val="330"/>
    <w:qFormat/>
    <w:uiPriority w:val="0"/>
    <w:pPr>
      <w:adjustRightInd w:val="0"/>
      <w:snapToGrid w:val="0"/>
      <w:spacing w:line="360" w:lineRule="auto"/>
      <w:ind w:firstLine="560" w:firstLineChars="200"/>
    </w:pPr>
    <w:rPr>
      <w:sz w:val="28"/>
      <w:szCs w:val="20"/>
    </w:rPr>
  </w:style>
  <w:style w:type="character" w:customStyle="1" w:styleId="332">
    <w:name w:val="infodetail1"/>
    <w:qFormat/>
    <w:uiPriority w:val="0"/>
    <w:rPr>
      <w:rFonts w:ascii="??" w:hAnsi="??"/>
      <w:sz w:val="18"/>
    </w:rPr>
  </w:style>
  <w:style w:type="character" w:customStyle="1" w:styleId="333">
    <w:name w:val="正文 Char"/>
    <w:qFormat/>
    <w:locked/>
    <w:uiPriority w:val="0"/>
    <w:rPr>
      <w:sz w:val="28"/>
      <w:szCs w:val="28"/>
    </w:rPr>
  </w:style>
  <w:style w:type="character" w:customStyle="1" w:styleId="334">
    <w:name w:val="图表标题getiao Char"/>
    <w:link w:val="335"/>
    <w:qFormat/>
    <w:locked/>
    <w:uiPriority w:val="0"/>
    <w:rPr>
      <w:rFonts w:ascii="宋体"/>
      <w:b/>
      <w:color w:val="000000"/>
      <w:sz w:val="24"/>
    </w:rPr>
  </w:style>
  <w:style w:type="paragraph" w:customStyle="1" w:styleId="335">
    <w:name w:val="图表标题getiao"/>
    <w:basedOn w:val="336"/>
    <w:next w:val="35"/>
    <w:link w:val="334"/>
    <w:qFormat/>
    <w:uiPriority w:val="0"/>
    <w:pPr>
      <w:spacing w:beforeLines="0" w:afterLines="0" w:line="360" w:lineRule="auto"/>
      <w:outlineLvl w:val="3"/>
    </w:pPr>
    <w:rPr>
      <w:rFonts w:hAnsi="Times New Roman"/>
      <w:kern w:val="0"/>
      <w:szCs w:val="20"/>
    </w:rPr>
  </w:style>
  <w:style w:type="paragraph" w:customStyle="1" w:styleId="336">
    <w:name w:val="图表名"/>
    <w:basedOn w:val="1"/>
    <w:next w:val="194"/>
    <w:qFormat/>
    <w:uiPriority w:val="0"/>
    <w:pPr>
      <w:spacing w:beforeLines="50" w:afterLines="50"/>
      <w:jc w:val="center"/>
    </w:pPr>
    <w:rPr>
      <w:rFonts w:ascii="宋体" w:hAnsi="宋体"/>
      <w:b/>
      <w:color w:val="000000"/>
      <w:sz w:val="24"/>
    </w:rPr>
  </w:style>
  <w:style w:type="character" w:customStyle="1" w:styleId="337">
    <w:name w:val="结束语 字符"/>
    <w:qFormat/>
    <w:uiPriority w:val="99"/>
    <w:rPr>
      <w:kern w:val="2"/>
      <w:sz w:val="21"/>
      <w:szCs w:val="24"/>
    </w:rPr>
  </w:style>
  <w:style w:type="character" w:customStyle="1" w:styleId="338">
    <w:name w:val="big1"/>
    <w:qFormat/>
    <w:uiPriority w:val="0"/>
    <w:rPr>
      <w:rFonts w:ascii="Times New Roman" w:eastAsia="宋体"/>
      <w:b/>
      <w:color w:val="000000"/>
      <w:spacing w:val="0"/>
      <w:w w:val="100"/>
      <w:sz w:val="22"/>
      <w:u w:val="none" w:color="000000"/>
      <w:vertAlign w:val="baseline"/>
      <w:lang w:val="en-US" w:eastAsia="zh-CN"/>
    </w:rPr>
  </w:style>
  <w:style w:type="character" w:customStyle="1" w:styleId="339">
    <w:name w:val="明显引用 Char"/>
    <w:link w:val="340"/>
    <w:qFormat/>
    <w:locked/>
    <w:uiPriority w:val="0"/>
    <w:rPr>
      <w:b/>
      <w:i/>
      <w:color w:val="4F81BD"/>
      <w:kern w:val="2"/>
      <w:sz w:val="24"/>
    </w:rPr>
  </w:style>
  <w:style w:type="paragraph" w:customStyle="1" w:styleId="340">
    <w:name w:val="明显引用1"/>
    <w:basedOn w:val="1"/>
    <w:next w:val="1"/>
    <w:link w:val="339"/>
    <w:qFormat/>
    <w:uiPriority w:val="0"/>
    <w:pPr>
      <w:pBdr>
        <w:bottom w:val="single" w:color="4F81BD" w:sz="4" w:space="4"/>
      </w:pBdr>
      <w:spacing w:before="200" w:after="280"/>
      <w:ind w:left="936" w:right="936"/>
    </w:pPr>
    <w:rPr>
      <w:b/>
      <w:i/>
      <w:color w:val="4F81BD"/>
      <w:sz w:val="24"/>
      <w:szCs w:val="20"/>
    </w:rPr>
  </w:style>
  <w:style w:type="character" w:customStyle="1" w:styleId="341">
    <w:name w:val="方案正文样式 Char"/>
    <w:link w:val="342"/>
    <w:qFormat/>
    <w:locked/>
    <w:uiPriority w:val="0"/>
    <w:rPr>
      <w:snapToGrid/>
      <w:sz w:val="24"/>
    </w:rPr>
  </w:style>
  <w:style w:type="paragraph" w:customStyle="1" w:styleId="342">
    <w:name w:val="方案正文样式"/>
    <w:basedOn w:val="1"/>
    <w:link w:val="341"/>
    <w:qFormat/>
    <w:uiPriority w:val="0"/>
    <w:pPr>
      <w:adjustRightInd w:val="0"/>
      <w:snapToGrid w:val="0"/>
      <w:spacing w:line="360" w:lineRule="auto"/>
      <w:ind w:firstLine="454"/>
      <w:textAlignment w:val="baseline"/>
    </w:pPr>
    <w:rPr>
      <w:kern w:val="0"/>
      <w:sz w:val="24"/>
      <w:szCs w:val="20"/>
    </w:rPr>
  </w:style>
  <w:style w:type="character" w:customStyle="1" w:styleId="343">
    <w:name w:val="称呼 字符"/>
    <w:qFormat/>
    <w:uiPriority w:val="99"/>
    <w:rPr>
      <w:kern w:val="2"/>
      <w:sz w:val="21"/>
      <w:szCs w:val="24"/>
    </w:rPr>
  </w:style>
  <w:style w:type="character" w:customStyle="1" w:styleId="344">
    <w:name w:val="gf正文 Char"/>
    <w:link w:val="345"/>
    <w:qFormat/>
    <w:locked/>
    <w:uiPriority w:val="0"/>
    <w:rPr>
      <w:kern w:val="2"/>
      <w:sz w:val="24"/>
    </w:rPr>
  </w:style>
  <w:style w:type="paragraph" w:customStyle="1" w:styleId="345">
    <w:name w:val="gf正文"/>
    <w:basedOn w:val="1"/>
    <w:link w:val="344"/>
    <w:qFormat/>
    <w:uiPriority w:val="0"/>
    <w:pPr>
      <w:adjustRightInd w:val="0"/>
      <w:snapToGrid w:val="0"/>
      <w:spacing w:line="520" w:lineRule="exact"/>
      <w:ind w:firstLine="200" w:firstLineChars="200"/>
    </w:pPr>
    <w:rPr>
      <w:sz w:val="24"/>
      <w:szCs w:val="20"/>
    </w:rPr>
  </w:style>
  <w:style w:type="character" w:customStyle="1" w:styleId="346">
    <w:name w:val="Char Char381"/>
    <w:qFormat/>
    <w:uiPriority w:val="0"/>
    <w:rPr>
      <w:b/>
      <w:kern w:val="44"/>
      <w:sz w:val="44"/>
    </w:rPr>
  </w:style>
  <w:style w:type="character" w:customStyle="1" w:styleId="347">
    <w:name w:val="信息标题 字符"/>
    <w:qFormat/>
    <w:uiPriority w:val="99"/>
    <w:rPr>
      <w:rFonts w:ascii="等线 Light" w:hAnsi="等线 Light" w:eastAsia="等线 Light" w:cs="Times New Roman"/>
      <w:kern w:val="2"/>
      <w:sz w:val="24"/>
      <w:szCs w:val="24"/>
      <w:shd w:val="pct20" w:color="auto" w:fill="auto"/>
    </w:rPr>
  </w:style>
  <w:style w:type="character" w:customStyle="1" w:styleId="348">
    <w:name w:val="正 Char"/>
    <w:link w:val="349"/>
    <w:qFormat/>
    <w:locked/>
    <w:uiPriority w:val="0"/>
    <w:rPr>
      <w:sz w:val="21"/>
    </w:rPr>
  </w:style>
  <w:style w:type="paragraph" w:customStyle="1" w:styleId="349">
    <w:name w:val="正"/>
    <w:basedOn w:val="1"/>
    <w:link w:val="348"/>
    <w:qFormat/>
    <w:uiPriority w:val="0"/>
    <w:pPr>
      <w:widowControl/>
      <w:ind w:firstLine="420" w:firstLineChars="200"/>
      <w:jc w:val="center"/>
    </w:pPr>
    <w:rPr>
      <w:kern w:val="0"/>
      <w:szCs w:val="20"/>
    </w:rPr>
  </w:style>
  <w:style w:type="character" w:customStyle="1" w:styleId="350">
    <w:name w:val="方案标题2 Char"/>
    <w:link w:val="351"/>
    <w:qFormat/>
    <w:locked/>
    <w:uiPriority w:val="0"/>
    <w:rPr>
      <w:rFonts w:eastAsia="黑体"/>
      <w:sz w:val="28"/>
      <w:lang w:val="zh-CN"/>
    </w:rPr>
  </w:style>
  <w:style w:type="paragraph" w:customStyle="1" w:styleId="351">
    <w:name w:val="方案标题2"/>
    <w:basedOn w:val="4"/>
    <w:link w:val="350"/>
    <w:qFormat/>
    <w:uiPriority w:val="0"/>
    <w:pPr>
      <w:adjustRightInd w:val="0"/>
      <w:snapToGrid w:val="0"/>
      <w:spacing w:before="200" w:line="360" w:lineRule="auto"/>
    </w:pPr>
    <w:rPr>
      <w:rFonts w:eastAsia="黑体"/>
      <w:b w:val="0"/>
      <w:lang w:val="zh-CN"/>
    </w:rPr>
  </w:style>
  <w:style w:type="character" w:customStyle="1" w:styleId="352">
    <w:name w:val="签名 字符"/>
    <w:qFormat/>
    <w:uiPriority w:val="99"/>
    <w:rPr>
      <w:kern w:val="2"/>
      <w:sz w:val="21"/>
      <w:szCs w:val="24"/>
    </w:rPr>
  </w:style>
  <w:style w:type="character" w:customStyle="1" w:styleId="353">
    <w:name w:val="脚注文本 字符"/>
    <w:qFormat/>
    <w:uiPriority w:val="99"/>
    <w:rPr>
      <w:kern w:val="2"/>
      <w:sz w:val="18"/>
      <w:szCs w:val="18"/>
    </w:rPr>
  </w:style>
  <w:style w:type="character" w:customStyle="1" w:styleId="354">
    <w:name w:val="样式 标题 4 + 宋体 Char Char Char Char Char"/>
    <w:qFormat/>
    <w:uiPriority w:val="0"/>
    <w:rPr>
      <w:rFonts w:ascii="宋体" w:hAnsi="宋体" w:eastAsia="宋体"/>
      <w:kern w:val="2"/>
      <w:sz w:val="24"/>
      <w:lang w:val="en-US" w:eastAsia="zh-CN"/>
    </w:rPr>
  </w:style>
  <w:style w:type="character" w:customStyle="1" w:styleId="355">
    <w:name w:val="Char Char4"/>
    <w:qFormat/>
    <w:uiPriority w:val="0"/>
    <w:rPr>
      <w:rFonts w:eastAsia="宋体"/>
      <w:color w:val="000000"/>
      <w:kern w:val="2"/>
      <w:sz w:val="24"/>
      <w:lang w:val="en-US" w:eastAsia="zh-CN"/>
    </w:rPr>
  </w:style>
  <w:style w:type="character" w:customStyle="1" w:styleId="356">
    <w:name w:val="图片说明 Char Char"/>
    <w:qFormat/>
    <w:uiPriority w:val="0"/>
    <w:rPr>
      <w:rFonts w:eastAsia="楷体_GB2312"/>
      <w:color w:val="FFFFFF"/>
      <w:kern w:val="2"/>
      <w:sz w:val="21"/>
      <w:lang w:val="en-US" w:eastAsia="zh-CN"/>
    </w:rPr>
  </w:style>
  <w:style w:type="character" w:customStyle="1" w:styleId="357">
    <w:name w:val="小标题 Char Char"/>
    <w:qFormat/>
    <w:uiPriority w:val="0"/>
    <w:rPr>
      <w:b/>
    </w:rPr>
  </w:style>
  <w:style w:type="character" w:customStyle="1" w:styleId="358">
    <w:name w:val="表标题 Char"/>
    <w:link w:val="359"/>
    <w:qFormat/>
    <w:locked/>
    <w:uiPriority w:val="0"/>
    <w:rPr>
      <w:b/>
      <w:spacing w:val="14"/>
      <w:kern w:val="28"/>
      <w:sz w:val="24"/>
      <w:lang w:val="zh-CN"/>
    </w:rPr>
  </w:style>
  <w:style w:type="paragraph" w:customStyle="1" w:styleId="359">
    <w:name w:val="表标题"/>
    <w:basedOn w:val="1"/>
    <w:next w:val="1"/>
    <w:link w:val="358"/>
    <w:qFormat/>
    <w:uiPriority w:val="0"/>
    <w:pPr>
      <w:adjustRightInd w:val="0"/>
      <w:snapToGrid w:val="0"/>
      <w:spacing w:before="120" w:after="48" w:line="300" w:lineRule="auto"/>
      <w:ind w:firstLine="480"/>
      <w:jc w:val="center"/>
      <w:textAlignment w:val="baseline"/>
    </w:pPr>
    <w:rPr>
      <w:b/>
      <w:spacing w:val="14"/>
      <w:kern w:val="28"/>
      <w:sz w:val="24"/>
      <w:szCs w:val="20"/>
      <w:lang w:val="zh-CN"/>
    </w:rPr>
  </w:style>
  <w:style w:type="character" w:customStyle="1" w:styleId="360">
    <w:name w:val="表格 Char Char"/>
    <w:qFormat/>
    <w:locked/>
    <w:uiPriority w:val="0"/>
    <w:rPr>
      <w:sz w:val="18"/>
    </w:rPr>
  </w:style>
  <w:style w:type="character" w:customStyle="1" w:styleId="361">
    <w:name w:val="innerlink"/>
    <w:qFormat/>
    <w:uiPriority w:val="0"/>
  </w:style>
  <w:style w:type="character" w:customStyle="1" w:styleId="362">
    <w:name w:val="表头及图例 Char"/>
    <w:link w:val="363"/>
    <w:qFormat/>
    <w:locked/>
    <w:uiPriority w:val="0"/>
    <w:rPr>
      <w:rFonts w:ascii="黑体" w:eastAsia="仿宋_GB2312"/>
      <w:b/>
      <w:kern w:val="2"/>
      <w:sz w:val="24"/>
    </w:rPr>
  </w:style>
  <w:style w:type="paragraph" w:customStyle="1" w:styleId="363">
    <w:name w:val="表头及图例"/>
    <w:basedOn w:val="1"/>
    <w:link w:val="362"/>
    <w:qFormat/>
    <w:uiPriority w:val="0"/>
    <w:pPr>
      <w:spacing w:beforeLines="50"/>
      <w:jc w:val="center"/>
    </w:pPr>
    <w:rPr>
      <w:rFonts w:ascii="黑体" w:eastAsia="仿宋_GB2312"/>
      <w:b/>
      <w:sz w:val="24"/>
      <w:szCs w:val="20"/>
    </w:rPr>
  </w:style>
  <w:style w:type="character" w:customStyle="1" w:styleId="364">
    <w:name w:val="unnamed11"/>
    <w:qFormat/>
    <w:uiPriority w:val="0"/>
  </w:style>
  <w:style w:type="character" w:customStyle="1" w:styleId="365">
    <w:name w:val="样式 正文首行缩进 2 + 首行缩进:  2 字符 Char"/>
    <w:link w:val="366"/>
    <w:qFormat/>
    <w:locked/>
    <w:uiPriority w:val="0"/>
    <w:rPr>
      <w:spacing w:val="4"/>
      <w:kern w:val="2"/>
      <w:sz w:val="28"/>
    </w:rPr>
  </w:style>
  <w:style w:type="paragraph" w:customStyle="1" w:styleId="366">
    <w:name w:val="样式 正文首行缩进 2 + 首行缩进:  2 字符"/>
    <w:basedOn w:val="88"/>
    <w:link w:val="365"/>
    <w:qFormat/>
    <w:uiPriority w:val="0"/>
    <w:pPr>
      <w:adjustRightInd w:val="0"/>
      <w:spacing w:after="0"/>
      <w:ind w:left="0" w:leftChars="0" w:firstLine="576"/>
      <w:jc w:val="left"/>
      <w:textAlignment w:val="baseline"/>
    </w:pPr>
    <w:rPr>
      <w:rFonts w:eastAsia="宋体"/>
      <w:spacing w:val="4"/>
      <w:sz w:val="28"/>
      <w:szCs w:val="20"/>
    </w:rPr>
  </w:style>
  <w:style w:type="character" w:customStyle="1" w:styleId="367">
    <w:name w:val="标题 4 Char Char Char Char Char Char Char Char Char Ch"/>
    <w:qFormat/>
    <w:uiPriority w:val="0"/>
    <w:rPr>
      <w:rFonts w:ascii="黑体" w:hAnsi="宋体" w:eastAsia="黑体"/>
      <w:b/>
      <w:spacing w:val="5"/>
      <w:sz w:val="28"/>
      <w:lang w:val="en-US" w:eastAsia="zh-CN"/>
    </w:rPr>
  </w:style>
  <w:style w:type="character" w:customStyle="1" w:styleId="368">
    <w:name w:val="自定义正文 Char Char Char Char Char"/>
    <w:qFormat/>
    <w:uiPriority w:val="0"/>
    <w:rPr>
      <w:rFonts w:eastAsia="宋体"/>
      <w:kern w:val="2"/>
      <w:position w:val="-28"/>
      <w:sz w:val="28"/>
      <w:lang w:val="en-US" w:eastAsia="zh-CN"/>
    </w:rPr>
  </w:style>
  <w:style w:type="character" w:customStyle="1" w:styleId="369">
    <w:name w:val="表头 Char Char"/>
    <w:qFormat/>
    <w:uiPriority w:val="0"/>
    <w:rPr>
      <w:rFonts w:eastAsia="黑体"/>
      <w:kern w:val="2"/>
      <w:sz w:val="21"/>
      <w:lang w:val="en-US" w:eastAsia="zh-CN"/>
    </w:rPr>
  </w:style>
  <w:style w:type="character" w:customStyle="1" w:styleId="370">
    <w:name w:val="表格2 Char"/>
    <w:link w:val="371"/>
    <w:qFormat/>
    <w:locked/>
    <w:uiPriority w:val="0"/>
    <w:rPr>
      <w:kern w:val="2"/>
      <w:sz w:val="24"/>
    </w:rPr>
  </w:style>
  <w:style w:type="paragraph" w:customStyle="1" w:styleId="371">
    <w:name w:val="表格2"/>
    <w:basedOn w:val="67"/>
    <w:next w:val="1"/>
    <w:link w:val="370"/>
    <w:qFormat/>
    <w:uiPriority w:val="0"/>
    <w:pPr>
      <w:spacing w:line="320" w:lineRule="exact"/>
      <w:ind w:left="0" w:firstLine="0" w:firstLineChars="0"/>
      <w:jc w:val="center"/>
    </w:pPr>
    <w:rPr>
      <w:sz w:val="24"/>
      <w:szCs w:val="20"/>
    </w:rPr>
  </w:style>
  <w:style w:type="character" w:customStyle="1" w:styleId="372">
    <w:name w:val="正文文字缩进 3 Char Char"/>
    <w:qFormat/>
    <w:uiPriority w:val="0"/>
    <w:rPr>
      <w:rFonts w:ascii="宋体" w:hAnsi="宋体" w:eastAsia="宋体"/>
      <w:sz w:val="24"/>
      <w:lang w:val="en-US" w:eastAsia="zh-CN"/>
    </w:rPr>
  </w:style>
  <w:style w:type="character" w:customStyle="1" w:styleId="373">
    <w:name w:val="标4 Char Char Char Char Char"/>
    <w:qFormat/>
    <w:uiPriority w:val="0"/>
    <w:rPr>
      <w:rFonts w:ascii="宋体" w:hAnsi="宋体" w:eastAsia="宋体"/>
      <w:kern w:val="2"/>
      <w:sz w:val="30"/>
      <w:lang w:val="en-US" w:eastAsia="zh-CN"/>
    </w:rPr>
  </w:style>
  <w:style w:type="character" w:customStyle="1" w:styleId="374">
    <w:name w:val="表格正文 Char Char Char Char Char"/>
    <w:qFormat/>
    <w:uiPriority w:val="0"/>
    <w:rPr>
      <w:rFonts w:eastAsia="宋体"/>
      <w:kern w:val="2"/>
      <w:sz w:val="21"/>
      <w:lang w:val="en-US" w:eastAsia="zh-CN"/>
    </w:rPr>
  </w:style>
  <w:style w:type="character" w:customStyle="1" w:styleId="375">
    <w:name w:val="成容 Char"/>
    <w:link w:val="376"/>
    <w:qFormat/>
    <w:locked/>
    <w:uiPriority w:val="0"/>
    <w:rPr>
      <w:rFonts w:ascii="宋体" w:hAnsi="宋体"/>
      <w:kern w:val="2"/>
      <w:sz w:val="28"/>
      <w:szCs w:val="28"/>
      <w:lang w:val="en-US" w:eastAsia="zh-CN" w:bidi="ar-SA"/>
    </w:rPr>
  </w:style>
  <w:style w:type="paragraph" w:customStyle="1" w:styleId="376">
    <w:name w:val="成容"/>
    <w:link w:val="375"/>
    <w:qFormat/>
    <w:uiPriority w:val="0"/>
    <w:pPr>
      <w:adjustRightInd w:val="0"/>
      <w:snapToGrid w:val="0"/>
      <w:spacing w:line="360" w:lineRule="auto"/>
      <w:ind w:firstLine="560" w:firstLineChars="200"/>
      <w:jc w:val="both"/>
    </w:pPr>
    <w:rPr>
      <w:rFonts w:ascii="宋体" w:hAnsi="宋体" w:eastAsia="宋体" w:cs="Times New Roman"/>
      <w:kern w:val="2"/>
      <w:sz w:val="28"/>
      <w:szCs w:val="28"/>
      <w:lang w:val="en-US" w:eastAsia="zh-CN" w:bidi="ar-SA"/>
    </w:rPr>
  </w:style>
  <w:style w:type="character" w:customStyle="1" w:styleId="377">
    <w:name w:val="xyb自建正文 Char"/>
    <w:qFormat/>
    <w:uiPriority w:val="0"/>
    <w:rPr>
      <w:rFonts w:ascii="宋体" w:hAnsi="宋体" w:eastAsia="宋体"/>
      <w:sz w:val="24"/>
      <w:lang w:val="en-US" w:eastAsia="zh-CN"/>
    </w:rPr>
  </w:style>
  <w:style w:type="character" w:customStyle="1" w:styleId="378">
    <w:name w:val="图表标题 Char"/>
    <w:link w:val="379"/>
    <w:qFormat/>
    <w:locked/>
    <w:uiPriority w:val="0"/>
    <w:rPr>
      <w:rFonts w:hAnsi="宋体"/>
      <w:b/>
      <w:color w:val="000000"/>
      <w:spacing w:val="10"/>
      <w:kern w:val="2"/>
      <w:sz w:val="24"/>
      <w:szCs w:val="24"/>
      <w:lang w:val="en-US" w:eastAsia="zh-CN" w:bidi="ar-SA"/>
    </w:rPr>
  </w:style>
  <w:style w:type="paragraph" w:customStyle="1" w:styleId="379">
    <w:name w:val="图表标题"/>
    <w:next w:val="1"/>
    <w:link w:val="378"/>
    <w:qFormat/>
    <w:uiPriority w:val="0"/>
    <w:pPr>
      <w:spacing w:after="48" w:line="360" w:lineRule="auto"/>
      <w:jc w:val="center"/>
      <w:textAlignment w:val="center"/>
    </w:pPr>
    <w:rPr>
      <w:rFonts w:ascii="Times New Roman" w:hAnsi="宋体" w:eastAsia="宋体" w:cs="Times New Roman"/>
      <w:b/>
      <w:color w:val="000000"/>
      <w:spacing w:val="10"/>
      <w:kern w:val="2"/>
      <w:sz w:val="24"/>
      <w:szCs w:val="24"/>
      <w:lang w:val="en-US" w:eastAsia="zh-CN" w:bidi="ar-SA"/>
    </w:rPr>
  </w:style>
  <w:style w:type="character" w:customStyle="1" w:styleId="380">
    <w:name w:val="f13"/>
    <w:qFormat/>
    <w:uiPriority w:val="0"/>
    <w:rPr>
      <w:rFonts w:ascii="Times New Roman" w:eastAsia="宋体"/>
      <w:color w:val="000000"/>
      <w:spacing w:val="0"/>
      <w:w w:val="100"/>
      <w:sz w:val="21"/>
      <w:u w:val="none" w:color="000000"/>
      <w:vertAlign w:val="baseline"/>
      <w:lang w:val="en-US" w:eastAsia="zh-CN"/>
    </w:rPr>
  </w:style>
  <w:style w:type="character" w:customStyle="1" w:styleId="381">
    <w:name w:val="正文1 Char"/>
    <w:qFormat/>
    <w:uiPriority w:val="0"/>
    <w:rPr>
      <w:rFonts w:eastAsia="宋体"/>
      <w:snapToGrid w:val="0"/>
      <w:sz w:val="28"/>
      <w:lang w:val="en-US" w:eastAsia="zh-CN"/>
    </w:rPr>
  </w:style>
  <w:style w:type="character" w:customStyle="1" w:styleId="382">
    <w:name w:val="Char Char1"/>
    <w:qFormat/>
    <w:uiPriority w:val="0"/>
    <w:rPr>
      <w:rFonts w:eastAsia="宋体"/>
      <w:spacing w:val="4"/>
      <w:kern w:val="2"/>
      <w:sz w:val="28"/>
      <w:lang w:val="en-US" w:eastAsia="zh-CN"/>
    </w:rPr>
  </w:style>
  <w:style w:type="character" w:customStyle="1" w:styleId="383">
    <w:name w:val="无间隔 Char"/>
    <w:link w:val="384"/>
    <w:qFormat/>
    <w:locked/>
    <w:uiPriority w:val="1"/>
    <w:rPr>
      <w:kern w:val="2"/>
      <w:sz w:val="21"/>
      <w:szCs w:val="24"/>
      <w:lang w:val="en-US" w:eastAsia="zh-CN" w:bidi="ar-SA"/>
    </w:rPr>
  </w:style>
  <w:style w:type="paragraph" w:customStyle="1" w:styleId="384">
    <w:name w:val="无间隔1"/>
    <w:link w:val="383"/>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385">
    <w:name w:val="表格五号 Char"/>
    <w:qFormat/>
    <w:uiPriority w:val="0"/>
    <w:rPr>
      <w:rFonts w:ascii="宋体" w:hAnsi="宋体" w:eastAsia="宋体"/>
      <w:spacing w:val="0"/>
      <w:kern w:val="2"/>
      <w:sz w:val="21"/>
      <w:lang w:val="en-US" w:eastAsia="zh-CN"/>
    </w:rPr>
  </w:style>
  <w:style w:type="character" w:customStyle="1" w:styleId="386">
    <w:name w:val="样式 小四"/>
    <w:qFormat/>
    <w:uiPriority w:val="0"/>
    <w:rPr>
      <w:color w:val="000080"/>
      <w:sz w:val="24"/>
    </w:rPr>
  </w:style>
  <w:style w:type="character" w:customStyle="1" w:styleId="387">
    <w:name w:val="标题 4XW Char Char2"/>
    <w:qFormat/>
    <w:uiPriority w:val="0"/>
    <w:rPr>
      <w:rFonts w:ascii="Cambria" w:hAnsi="Cambria" w:eastAsia="宋体"/>
      <w:b/>
      <w:kern w:val="2"/>
      <w:sz w:val="28"/>
    </w:rPr>
  </w:style>
  <w:style w:type="character" w:customStyle="1" w:styleId="388">
    <w:name w:val="正文文本缩进 2 Char Char"/>
    <w:qFormat/>
    <w:uiPriority w:val="0"/>
    <w:rPr>
      <w:rFonts w:ascii="宋体" w:hAnsi="宋体" w:eastAsia="宋体"/>
      <w:kern w:val="2"/>
      <w:sz w:val="24"/>
      <w:lang w:val="en-US" w:eastAsia="zh-CN"/>
    </w:rPr>
  </w:style>
  <w:style w:type="character" w:customStyle="1" w:styleId="389">
    <w:name w:val="content1"/>
    <w:qFormat/>
    <w:uiPriority w:val="0"/>
    <w:rPr>
      <w:spacing w:val="0"/>
      <w:sz w:val="14"/>
    </w:rPr>
  </w:style>
  <w:style w:type="character" w:customStyle="1" w:styleId="390">
    <w:name w:val="HTML 地址 字符"/>
    <w:qFormat/>
    <w:uiPriority w:val="99"/>
    <w:rPr>
      <w:i/>
      <w:iCs/>
      <w:kern w:val="2"/>
      <w:sz w:val="21"/>
      <w:szCs w:val="24"/>
    </w:rPr>
  </w:style>
  <w:style w:type="character" w:customStyle="1" w:styleId="391">
    <w:name w:val="样式 宋体 四号 小型大写字母"/>
    <w:qFormat/>
    <w:uiPriority w:val="0"/>
    <w:rPr>
      <w:rFonts w:ascii="宋体" w:eastAsia="宋体"/>
      <w:sz w:val="28"/>
    </w:rPr>
  </w:style>
  <w:style w:type="character" w:customStyle="1" w:styleId="392">
    <w:name w:val="报告书正文 Char Char Char Char Char Char Char Char Char Char Char Char"/>
    <w:qFormat/>
    <w:uiPriority w:val="0"/>
    <w:rPr>
      <w:rFonts w:eastAsia="宋体"/>
      <w:color w:val="000000"/>
      <w:kern w:val="2"/>
      <w:sz w:val="24"/>
      <w:lang w:val="en-US" w:eastAsia="zh-CN"/>
    </w:rPr>
  </w:style>
  <w:style w:type="character" w:customStyle="1" w:styleId="393">
    <w:name w:val="Char Char5"/>
    <w:qFormat/>
    <w:uiPriority w:val="0"/>
    <w:rPr>
      <w:rFonts w:eastAsia="宋体"/>
      <w:sz w:val="18"/>
      <w:lang w:val="en-US" w:eastAsia="zh-CN"/>
    </w:rPr>
  </w:style>
  <w:style w:type="character" w:customStyle="1" w:styleId="394">
    <w:name w:val="style2471"/>
    <w:qFormat/>
    <w:uiPriority w:val="0"/>
    <w:rPr>
      <w:color w:val="666666"/>
      <w:sz w:val="18"/>
    </w:rPr>
  </w:style>
  <w:style w:type="character" w:customStyle="1" w:styleId="395">
    <w:name w:val="word"/>
    <w:qFormat/>
    <w:uiPriority w:val="0"/>
  </w:style>
  <w:style w:type="character" w:customStyle="1" w:styleId="396">
    <w:name w:val="Char Char11"/>
    <w:qFormat/>
    <w:uiPriority w:val="0"/>
    <w:rPr>
      <w:rFonts w:eastAsia="宋体"/>
      <w:spacing w:val="4"/>
      <w:kern w:val="2"/>
      <w:sz w:val="28"/>
      <w:lang w:val="en-US" w:eastAsia="zh-CN"/>
    </w:rPr>
  </w:style>
  <w:style w:type="character" w:customStyle="1" w:styleId="397">
    <w:name w:val="正文缩进（自定义） Char Char Char Char Char"/>
    <w:qFormat/>
    <w:uiPriority w:val="0"/>
    <w:rPr>
      <w:rFonts w:ascii="Century Gothic" w:hAnsi="Century Gothic" w:eastAsia="宋体"/>
      <w:sz w:val="24"/>
      <w:lang w:val="en-US" w:eastAsia="zh-CN"/>
    </w:rPr>
  </w:style>
  <w:style w:type="character" w:customStyle="1" w:styleId="398">
    <w:name w:val="报告书正文 Char Char Char Char1"/>
    <w:qFormat/>
    <w:uiPriority w:val="0"/>
    <w:rPr>
      <w:rFonts w:eastAsia="宋体"/>
      <w:kern w:val="2"/>
      <w:sz w:val="24"/>
      <w:lang w:val="en-US" w:eastAsia="zh-CN"/>
    </w:rPr>
  </w:style>
  <w:style w:type="character" w:customStyle="1" w:styleId="399">
    <w:name w:val="Char Char2"/>
    <w:qFormat/>
    <w:uiPriority w:val="0"/>
    <w:rPr>
      <w:rFonts w:eastAsia="宋体"/>
      <w:sz w:val="24"/>
      <w:lang w:val="en-US" w:eastAsia="zh-CN"/>
    </w:rPr>
  </w:style>
  <w:style w:type="character" w:customStyle="1" w:styleId="400">
    <w:name w:val="样式 标题 6标题 6 Char Char Char Char Char Char Char Char Char + 加粗 Char Char Char Char Char Char Char Char Char Char Char Char Char Char Char Char Char Char Char Char Char Char Char Char Char Char Char Char Char Char Char Char Char Char Char Char Char"/>
    <w:qFormat/>
    <w:uiPriority w:val="0"/>
    <w:rPr>
      <w:rFonts w:ascii="宋体" w:hAnsi="宋体" w:eastAsia="仿宋_GB2312"/>
      <w:b/>
      <w:kern w:val="2"/>
      <w:sz w:val="24"/>
      <w:lang w:val="en-US" w:eastAsia="zh-CN"/>
    </w:rPr>
  </w:style>
  <w:style w:type="character" w:customStyle="1" w:styleId="401">
    <w:name w:val="正文文字缩进 2 Char Char"/>
    <w:qFormat/>
    <w:uiPriority w:val="0"/>
    <w:rPr>
      <w:rFonts w:eastAsia="宋体"/>
      <w:kern w:val="2"/>
      <w:sz w:val="24"/>
      <w:lang w:val="en-US" w:eastAsia="zh-CN"/>
    </w:rPr>
  </w:style>
  <w:style w:type="character" w:customStyle="1" w:styleId="402">
    <w:name w:val="new_text"/>
    <w:qFormat/>
    <w:uiPriority w:val="0"/>
  </w:style>
  <w:style w:type="character" w:customStyle="1" w:styleId="403">
    <w:name w:val="lan161"/>
    <w:qFormat/>
    <w:uiPriority w:val="0"/>
    <w:rPr>
      <w:rFonts w:ascii="宋体" w:hAnsi="宋体" w:eastAsia="宋体"/>
      <w:b/>
      <w:color w:val="000099"/>
      <w:sz w:val="32"/>
      <w:u w:val="none"/>
    </w:rPr>
  </w:style>
  <w:style w:type="character" w:customStyle="1" w:styleId="404">
    <w:name w:val="bg Char"/>
    <w:link w:val="405"/>
    <w:qFormat/>
    <w:locked/>
    <w:uiPriority w:val="0"/>
    <w:rPr>
      <w:sz w:val="21"/>
    </w:rPr>
  </w:style>
  <w:style w:type="paragraph" w:customStyle="1" w:styleId="405">
    <w:name w:val="bg"/>
    <w:basedOn w:val="1"/>
    <w:link w:val="404"/>
    <w:qFormat/>
    <w:uiPriority w:val="0"/>
    <w:pPr>
      <w:adjustRightInd w:val="0"/>
      <w:snapToGrid w:val="0"/>
      <w:jc w:val="center"/>
    </w:pPr>
    <w:rPr>
      <w:kern w:val="0"/>
      <w:szCs w:val="20"/>
    </w:rPr>
  </w:style>
  <w:style w:type="character" w:customStyle="1" w:styleId="406">
    <w:name w:val="样式 首行缩进:  2 字符 Char Char"/>
    <w:link w:val="407"/>
    <w:qFormat/>
    <w:locked/>
    <w:uiPriority w:val="0"/>
    <w:rPr>
      <w:spacing w:val="20"/>
      <w:kern w:val="2"/>
      <w:sz w:val="24"/>
    </w:rPr>
  </w:style>
  <w:style w:type="paragraph" w:customStyle="1" w:styleId="407">
    <w:name w:val="样式 首行缩进:  2 字符"/>
    <w:basedOn w:val="1"/>
    <w:link w:val="406"/>
    <w:qFormat/>
    <w:uiPriority w:val="0"/>
    <w:pPr>
      <w:adjustRightInd w:val="0"/>
      <w:spacing w:line="240" w:lineRule="exact"/>
      <w:ind w:left="-9" w:leftChars="-9" w:firstLine="560" w:firstLineChars="200"/>
      <w:textAlignment w:val="baseline"/>
      <w:outlineLvl w:val="4"/>
    </w:pPr>
    <w:rPr>
      <w:spacing w:val="20"/>
      <w:sz w:val="24"/>
      <w:szCs w:val="20"/>
    </w:rPr>
  </w:style>
  <w:style w:type="character" w:customStyle="1" w:styleId="408">
    <w:name w:val="hei121"/>
    <w:qFormat/>
    <w:uiPriority w:val="0"/>
    <w:rPr>
      <w:rFonts w:ascii="宋体" w:hAnsi="宋体" w:eastAsia="宋体"/>
      <w:color w:val="000000"/>
      <w:sz w:val="24"/>
      <w:u w:val="none"/>
    </w:rPr>
  </w:style>
  <w:style w:type="character" w:customStyle="1" w:styleId="409">
    <w:name w:val="headline-content2"/>
    <w:qFormat/>
    <w:uiPriority w:val="0"/>
    <w:rPr>
      <w:rFonts w:cs="Times New Roman"/>
    </w:rPr>
  </w:style>
  <w:style w:type="character" w:customStyle="1" w:styleId="410">
    <w:name w:val="正文缩进1 Char"/>
    <w:qFormat/>
    <w:uiPriority w:val="0"/>
    <w:rPr>
      <w:rFonts w:eastAsia="宋体"/>
      <w:kern w:val="2"/>
      <w:sz w:val="24"/>
      <w:lang w:val="en-US" w:eastAsia="zh-CN"/>
    </w:rPr>
  </w:style>
  <w:style w:type="character" w:customStyle="1" w:styleId="411">
    <w:name w:val="style151"/>
    <w:qFormat/>
    <w:uiPriority w:val="0"/>
    <w:rPr>
      <w:sz w:val="16"/>
    </w:rPr>
  </w:style>
  <w:style w:type="character" w:customStyle="1" w:styleId="412">
    <w:name w:val="小标注 Char"/>
    <w:link w:val="413"/>
    <w:qFormat/>
    <w:locked/>
    <w:uiPriority w:val="0"/>
    <w:rPr>
      <w:rFonts w:ascii="Arial" w:hAnsi="Arial" w:eastAsia="楷体_GB2312"/>
      <w:sz w:val="21"/>
      <w:lang w:val="en-US" w:eastAsia="zh-CN" w:bidi="ar-SA"/>
    </w:rPr>
  </w:style>
  <w:style w:type="paragraph" w:customStyle="1" w:styleId="413">
    <w:name w:val="小标注"/>
    <w:link w:val="412"/>
    <w:qFormat/>
    <w:uiPriority w:val="0"/>
    <w:pPr>
      <w:snapToGrid w:val="0"/>
      <w:jc w:val="both"/>
    </w:pPr>
    <w:rPr>
      <w:rFonts w:ascii="Arial" w:hAnsi="Arial" w:eastAsia="楷体_GB2312" w:cs="Times New Roman"/>
      <w:sz w:val="21"/>
      <w:lang w:val="en-US" w:eastAsia="zh-CN" w:bidi="ar-SA"/>
    </w:rPr>
  </w:style>
  <w:style w:type="character" w:customStyle="1" w:styleId="414">
    <w:name w:val="样式 标题 3标题 3 CharH3B Head + 宋体 小三 Char Char Char Char"/>
    <w:qFormat/>
    <w:uiPriority w:val="0"/>
    <w:rPr>
      <w:rFonts w:ascii="宋体" w:hAnsi="宋体" w:eastAsia="宋体"/>
      <w:b/>
      <w:color w:val="0000FF"/>
      <w:kern w:val="2"/>
      <w:sz w:val="28"/>
      <w:lang w:val="en-US" w:eastAsia="zh-CN"/>
    </w:rPr>
  </w:style>
  <w:style w:type="character" w:customStyle="1" w:styleId="415">
    <w:name w:val="报告 Char Char"/>
    <w:qFormat/>
    <w:uiPriority w:val="0"/>
    <w:rPr>
      <w:rFonts w:eastAsia="宋体"/>
      <w:kern w:val="2"/>
      <w:sz w:val="24"/>
      <w:lang w:val="en-US" w:eastAsia="zh-CN"/>
    </w:rPr>
  </w:style>
  <w:style w:type="character" w:customStyle="1" w:styleId="416">
    <w:name w:val="样式1 Char Char Char Char Char Char Char"/>
    <w:qFormat/>
    <w:uiPriority w:val="0"/>
    <w:rPr>
      <w:rFonts w:ascii="宋体" w:hAnsi="宋体" w:eastAsia="宋体"/>
      <w:kern w:val="2"/>
      <w:sz w:val="24"/>
      <w:lang w:val="en-US" w:eastAsia="zh-CN"/>
    </w:rPr>
  </w:style>
  <w:style w:type="character" w:customStyle="1" w:styleId="417">
    <w:name w:val="小标题  1 Char"/>
    <w:link w:val="418"/>
    <w:qFormat/>
    <w:locked/>
    <w:uiPriority w:val="0"/>
    <w:rPr>
      <w:rFonts w:eastAsia="仿宋_GB2312"/>
      <w:b/>
      <w:kern w:val="2"/>
      <w:sz w:val="24"/>
    </w:rPr>
  </w:style>
  <w:style w:type="paragraph" w:customStyle="1" w:styleId="418">
    <w:name w:val="小标题  1"/>
    <w:basedOn w:val="1"/>
    <w:link w:val="417"/>
    <w:qFormat/>
    <w:uiPriority w:val="0"/>
    <w:pPr>
      <w:spacing w:beforeLines="50" w:afterLines="50" w:line="360" w:lineRule="auto"/>
      <w:ind w:firstLine="200" w:firstLineChars="200"/>
    </w:pPr>
    <w:rPr>
      <w:rFonts w:eastAsia="仿宋_GB2312"/>
      <w:b/>
      <w:sz w:val="24"/>
      <w:szCs w:val="20"/>
    </w:rPr>
  </w:style>
  <w:style w:type="character" w:customStyle="1" w:styleId="419">
    <w:name w:val="表格5号字 Char"/>
    <w:link w:val="420"/>
    <w:qFormat/>
    <w:locked/>
    <w:uiPriority w:val="0"/>
    <w:rPr>
      <w:kern w:val="2"/>
      <w:sz w:val="18"/>
      <w:szCs w:val="18"/>
      <w:lang w:val="en-US" w:eastAsia="zh-CN" w:bidi="ar-SA"/>
    </w:rPr>
  </w:style>
  <w:style w:type="paragraph" w:customStyle="1" w:styleId="420">
    <w:name w:val="表格5号字"/>
    <w:link w:val="419"/>
    <w:qFormat/>
    <w:uiPriority w:val="0"/>
    <w:pPr>
      <w:spacing w:line="320" w:lineRule="exact"/>
      <w:jc w:val="center"/>
    </w:pPr>
    <w:rPr>
      <w:rFonts w:ascii="Times New Roman" w:hAnsi="Times New Roman" w:eastAsia="宋体" w:cs="Times New Roman"/>
      <w:kern w:val="2"/>
      <w:sz w:val="18"/>
      <w:szCs w:val="18"/>
      <w:lang w:val="en-US" w:eastAsia="zh-CN" w:bidi="ar-SA"/>
    </w:rPr>
  </w:style>
  <w:style w:type="character" w:customStyle="1" w:styleId="421">
    <w:name w:val="表头6 Char"/>
    <w:link w:val="422"/>
    <w:qFormat/>
    <w:locked/>
    <w:uiPriority w:val="0"/>
    <w:rPr>
      <w:kern w:val="28"/>
      <w:sz w:val="24"/>
      <w:lang w:val="en-US" w:eastAsia="zh-CN" w:bidi="ar-SA"/>
    </w:rPr>
  </w:style>
  <w:style w:type="paragraph" w:customStyle="1" w:styleId="422">
    <w:name w:val="表头6"/>
    <w:link w:val="421"/>
    <w:qFormat/>
    <w:uiPriority w:val="0"/>
    <w:pPr>
      <w:adjustRightInd w:val="0"/>
      <w:snapToGrid w:val="0"/>
      <w:ind w:firstLine="200"/>
      <w:jc w:val="center"/>
    </w:pPr>
    <w:rPr>
      <w:rFonts w:ascii="Times New Roman" w:hAnsi="Times New Roman" w:eastAsia="宋体" w:cs="Times New Roman"/>
      <w:kern w:val="28"/>
      <w:sz w:val="24"/>
      <w:lang w:val="en-US" w:eastAsia="zh-CN" w:bidi="ar-SA"/>
    </w:rPr>
  </w:style>
  <w:style w:type="character" w:customStyle="1" w:styleId="423">
    <w:name w:val="标题 字符"/>
    <w:qFormat/>
    <w:uiPriority w:val="10"/>
    <w:rPr>
      <w:rFonts w:ascii="等线 Light" w:hAnsi="等线 Light" w:cs="Times New Roman"/>
      <w:b/>
      <w:bCs/>
      <w:kern w:val="2"/>
      <w:sz w:val="32"/>
      <w:szCs w:val="32"/>
    </w:rPr>
  </w:style>
  <w:style w:type="character" w:customStyle="1" w:styleId="424">
    <w:name w:val="自定义正文 Char Char Char Char Char Char Char Char Char Char Char Char Char Char"/>
    <w:qFormat/>
    <w:uiPriority w:val="0"/>
    <w:rPr>
      <w:rFonts w:eastAsia="宋体"/>
      <w:kern w:val="2"/>
      <w:position w:val="-28"/>
      <w:sz w:val="28"/>
      <w:lang w:val="en-US" w:eastAsia="zh-CN"/>
    </w:rPr>
  </w:style>
  <w:style w:type="character" w:customStyle="1" w:styleId="425">
    <w:name w:val="langwithname"/>
    <w:qFormat/>
    <w:uiPriority w:val="0"/>
  </w:style>
  <w:style w:type="character" w:customStyle="1" w:styleId="426">
    <w:name w:val="修改 Char Char"/>
    <w:qFormat/>
    <w:uiPriority w:val="0"/>
    <w:rPr>
      <w:rFonts w:eastAsia="宋体"/>
      <w:color w:val="FF0000"/>
      <w:spacing w:val="4"/>
      <w:kern w:val="2"/>
      <w:sz w:val="24"/>
      <w:lang w:val="en-US" w:eastAsia="zh-CN"/>
    </w:rPr>
  </w:style>
  <w:style w:type="character" w:customStyle="1" w:styleId="427">
    <w:name w:val="正文缩进（自定义） Char Char"/>
    <w:qFormat/>
    <w:uiPriority w:val="0"/>
    <w:rPr>
      <w:rFonts w:ascii="Century Gothic" w:hAnsi="Century Gothic" w:eastAsia="宋体"/>
      <w:sz w:val="24"/>
      <w:lang w:val="en-US" w:eastAsia="zh-CN"/>
    </w:rPr>
  </w:style>
  <w:style w:type="character" w:customStyle="1" w:styleId="428">
    <w:name w:val="!正文(alt+c) Char"/>
    <w:qFormat/>
    <w:uiPriority w:val="0"/>
    <w:rPr>
      <w:rFonts w:eastAsia="宋体"/>
      <w:color w:val="000000"/>
      <w:sz w:val="24"/>
      <w:lang w:val="en-US" w:eastAsia="zh-CN"/>
    </w:rPr>
  </w:style>
  <w:style w:type="character" w:customStyle="1" w:styleId="429">
    <w:name w:val="样式 样式 正文首行缩进 2 + 首行缩进:  2 字符 + 字距调整2 磅 Char Char Char"/>
    <w:link w:val="430"/>
    <w:qFormat/>
    <w:locked/>
    <w:uiPriority w:val="0"/>
    <w:rPr>
      <w:spacing w:val="4"/>
      <w:kern w:val="4"/>
      <w:sz w:val="28"/>
    </w:rPr>
  </w:style>
  <w:style w:type="paragraph" w:customStyle="1" w:styleId="430">
    <w:name w:val="样式 样式 正文首行缩进 2 + 首行缩进:  2 字符 + 字距调整2 磅 Char Char"/>
    <w:basedOn w:val="366"/>
    <w:link w:val="429"/>
    <w:qFormat/>
    <w:uiPriority w:val="0"/>
    <w:pPr>
      <w:spacing w:line="240" w:lineRule="auto"/>
    </w:pPr>
    <w:rPr>
      <w:kern w:val="4"/>
    </w:rPr>
  </w:style>
  <w:style w:type="character" w:customStyle="1" w:styleId="431">
    <w:name w:val="报告书正文 Char Char Char Char Char Char Char Char Char Char Char"/>
    <w:qFormat/>
    <w:uiPriority w:val="0"/>
    <w:rPr>
      <w:rFonts w:eastAsia="宋体"/>
      <w:color w:val="000000"/>
      <w:kern w:val="2"/>
      <w:sz w:val="24"/>
      <w:lang w:val="en-US" w:eastAsia="zh-CN"/>
    </w:rPr>
  </w:style>
  <w:style w:type="character" w:customStyle="1" w:styleId="432">
    <w:name w:val="表头 Char1"/>
    <w:qFormat/>
    <w:locked/>
    <w:uiPriority w:val="0"/>
    <w:rPr>
      <w:rFonts w:hAnsi="宋体" w:eastAsia="仿宋_GB2312"/>
      <w:b/>
      <w:sz w:val="28"/>
    </w:rPr>
  </w:style>
  <w:style w:type="character" w:customStyle="1" w:styleId="433">
    <w:name w:val="tit2"/>
    <w:qFormat/>
    <w:uiPriority w:val="0"/>
    <w:rPr>
      <w:b/>
      <w:sz w:val="48"/>
    </w:rPr>
  </w:style>
  <w:style w:type="character" w:customStyle="1" w:styleId="434">
    <w:name w:val="书籍标题1"/>
    <w:qFormat/>
    <w:uiPriority w:val="0"/>
    <w:rPr>
      <w:b/>
      <w:smallCaps/>
      <w:spacing w:val="5"/>
    </w:rPr>
  </w:style>
  <w:style w:type="character" w:customStyle="1" w:styleId="435">
    <w:name w:val="样式3 Char"/>
    <w:link w:val="436"/>
    <w:qFormat/>
    <w:locked/>
    <w:uiPriority w:val="0"/>
    <w:rPr>
      <w:sz w:val="30"/>
    </w:rPr>
  </w:style>
  <w:style w:type="paragraph" w:customStyle="1" w:styleId="436">
    <w:name w:val="样式3"/>
    <w:basedOn w:val="1"/>
    <w:link w:val="435"/>
    <w:qFormat/>
    <w:uiPriority w:val="0"/>
    <w:pPr>
      <w:widowControl/>
      <w:spacing w:line="360" w:lineRule="auto"/>
      <w:ind w:firstLine="480" w:firstLineChars="200"/>
      <w:jc w:val="left"/>
    </w:pPr>
    <w:rPr>
      <w:kern w:val="0"/>
      <w:sz w:val="30"/>
      <w:szCs w:val="20"/>
    </w:rPr>
  </w:style>
  <w:style w:type="character" w:customStyle="1" w:styleId="437">
    <w:name w:val="Char Char9"/>
    <w:qFormat/>
    <w:uiPriority w:val="0"/>
    <w:rPr>
      <w:rFonts w:ascii="宋体" w:hAnsi="Courier New" w:eastAsia="宋体"/>
      <w:kern w:val="2"/>
      <w:sz w:val="21"/>
      <w:lang w:val="en-US" w:eastAsia="zh-CN"/>
    </w:rPr>
  </w:style>
  <w:style w:type="character" w:customStyle="1" w:styleId="438">
    <w:name w:val="! 修改 Char"/>
    <w:qFormat/>
    <w:uiPriority w:val="0"/>
    <w:rPr>
      <w:rFonts w:ascii="宋体" w:eastAsia="宋体"/>
      <w:color w:val="FF0000"/>
      <w:sz w:val="24"/>
      <w:lang w:val="en-US" w:eastAsia="zh-CN"/>
    </w:rPr>
  </w:style>
  <w:style w:type="character" w:customStyle="1" w:styleId="439">
    <w:name w:val="表文字 Char"/>
    <w:link w:val="440"/>
    <w:qFormat/>
    <w:locked/>
    <w:uiPriority w:val="0"/>
    <w:rPr>
      <w:color w:val="000000"/>
      <w:kern w:val="2"/>
      <w:sz w:val="21"/>
      <w:szCs w:val="24"/>
      <w:lang w:val="en-US" w:eastAsia="zh-CN" w:bidi="ar-SA"/>
    </w:rPr>
  </w:style>
  <w:style w:type="paragraph" w:customStyle="1" w:styleId="440">
    <w:name w:val="表文字"/>
    <w:link w:val="439"/>
    <w:qFormat/>
    <w:uiPriority w:val="0"/>
    <w:pPr>
      <w:adjustRightInd w:val="0"/>
      <w:snapToGrid w:val="0"/>
      <w:jc w:val="center"/>
    </w:pPr>
    <w:rPr>
      <w:rFonts w:ascii="Times New Roman" w:hAnsi="Times New Roman" w:eastAsia="宋体" w:cs="Times New Roman"/>
      <w:color w:val="000000"/>
      <w:kern w:val="2"/>
      <w:sz w:val="21"/>
      <w:szCs w:val="24"/>
      <w:lang w:val="en-US" w:eastAsia="zh-CN" w:bidi="ar-SA"/>
    </w:rPr>
  </w:style>
  <w:style w:type="character" w:customStyle="1" w:styleId="441">
    <w:name w:val="（文章）正文石 Char Char"/>
    <w:link w:val="442"/>
    <w:qFormat/>
    <w:locked/>
    <w:uiPriority w:val="0"/>
    <w:rPr>
      <w:kern w:val="2"/>
      <w:sz w:val="24"/>
    </w:rPr>
  </w:style>
  <w:style w:type="paragraph" w:customStyle="1" w:styleId="442">
    <w:name w:val="（文章）正文石"/>
    <w:basedOn w:val="1"/>
    <w:link w:val="441"/>
    <w:qFormat/>
    <w:uiPriority w:val="0"/>
    <w:pPr>
      <w:spacing w:line="360" w:lineRule="auto"/>
      <w:ind w:firstLine="200" w:firstLineChars="200"/>
    </w:pPr>
    <w:rPr>
      <w:sz w:val="24"/>
      <w:szCs w:val="20"/>
    </w:rPr>
  </w:style>
  <w:style w:type="character" w:customStyle="1" w:styleId="443">
    <w:name w:val="textpt9"/>
    <w:qFormat/>
    <w:uiPriority w:val="0"/>
  </w:style>
  <w:style w:type="character" w:customStyle="1" w:styleId="444">
    <w:name w:val="z-窗体底端 Char"/>
    <w:link w:val="445"/>
    <w:qFormat/>
    <w:locked/>
    <w:uiPriority w:val="0"/>
    <w:rPr>
      <w:rFonts w:ascii="Arial" w:hAnsi="Arial"/>
      <w:vanish/>
      <w:color w:val="000000"/>
      <w:sz w:val="16"/>
    </w:rPr>
  </w:style>
  <w:style w:type="paragraph" w:customStyle="1" w:styleId="445">
    <w:name w:val="z-窗体底端1"/>
    <w:basedOn w:val="1"/>
    <w:next w:val="1"/>
    <w:link w:val="444"/>
    <w:qFormat/>
    <w:uiPriority w:val="0"/>
    <w:pPr>
      <w:widowControl/>
      <w:pBdr>
        <w:top w:val="single" w:color="auto" w:sz="6" w:space="1"/>
      </w:pBdr>
      <w:jc w:val="center"/>
    </w:pPr>
    <w:rPr>
      <w:rFonts w:ascii="Arial" w:hAnsi="Arial"/>
      <w:vanish/>
      <w:color w:val="000000"/>
      <w:kern w:val="0"/>
      <w:sz w:val="16"/>
      <w:szCs w:val="20"/>
    </w:rPr>
  </w:style>
  <w:style w:type="character" w:customStyle="1" w:styleId="446">
    <w:name w:val="line-height"/>
    <w:qFormat/>
    <w:uiPriority w:val="0"/>
  </w:style>
  <w:style w:type="character" w:customStyle="1" w:styleId="447">
    <w:name w:val="MyT Char"/>
    <w:link w:val="448"/>
    <w:qFormat/>
    <w:locked/>
    <w:uiPriority w:val="0"/>
    <w:rPr>
      <w:rFonts w:hAnsi="宋体"/>
      <w:kern w:val="2"/>
      <w:sz w:val="28"/>
    </w:rPr>
  </w:style>
  <w:style w:type="paragraph" w:customStyle="1" w:styleId="448">
    <w:name w:val="MyT"/>
    <w:basedOn w:val="1"/>
    <w:link w:val="447"/>
    <w:qFormat/>
    <w:uiPriority w:val="0"/>
    <w:pPr>
      <w:spacing w:line="500" w:lineRule="exact"/>
      <w:ind w:firstLine="560" w:firstLineChars="200"/>
    </w:pPr>
    <w:rPr>
      <w:rFonts w:hAnsi="宋体"/>
      <w:sz w:val="28"/>
      <w:szCs w:val="20"/>
    </w:rPr>
  </w:style>
  <w:style w:type="character" w:customStyle="1" w:styleId="449">
    <w:name w:val="注释标题 字符"/>
    <w:qFormat/>
    <w:uiPriority w:val="99"/>
    <w:rPr>
      <w:kern w:val="2"/>
      <w:sz w:val="21"/>
      <w:szCs w:val="24"/>
    </w:rPr>
  </w:style>
  <w:style w:type="character" w:customStyle="1" w:styleId="450">
    <w:name w:val="标题4 Char Char Char"/>
    <w:qFormat/>
    <w:uiPriority w:val="0"/>
    <w:rPr>
      <w:rFonts w:eastAsia="黑体"/>
      <w:kern w:val="2"/>
      <w:sz w:val="24"/>
      <w:lang w:val="en-US" w:eastAsia="zh-CN"/>
    </w:rPr>
  </w:style>
  <w:style w:type="character" w:customStyle="1" w:styleId="451">
    <w:name w:val="洋正 Char"/>
    <w:link w:val="452"/>
    <w:qFormat/>
    <w:locked/>
    <w:uiPriority w:val="0"/>
    <w:rPr>
      <w:kern w:val="2"/>
      <w:sz w:val="24"/>
    </w:rPr>
  </w:style>
  <w:style w:type="paragraph" w:customStyle="1" w:styleId="452">
    <w:name w:val="洋正"/>
    <w:basedOn w:val="1"/>
    <w:next w:val="4"/>
    <w:link w:val="451"/>
    <w:qFormat/>
    <w:uiPriority w:val="0"/>
    <w:pPr>
      <w:snapToGrid w:val="0"/>
      <w:spacing w:line="360" w:lineRule="auto"/>
      <w:ind w:firstLine="200" w:firstLineChars="200"/>
    </w:pPr>
    <w:rPr>
      <w:sz w:val="24"/>
      <w:szCs w:val="20"/>
    </w:rPr>
  </w:style>
  <w:style w:type="character" w:customStyle="1" w:styleId="453">
    <w:name w:val="font_1"/>
    <w:qFormat/>
    <w:uiPriority w:val="0"/>
  </w:style>
  <w:style w:type="character" w:customStyle="1" w:styleId="454">
    <w:name w:val="报告书正文 Char Char Char Char"/>
    <w:qFormat/>
    <w:uiPriority w:val="0"/>
    <w:rPr>
      <w:rFonts w:eastAsia="宋体"/>
      <w:kern w:val="2"/>
      <w:sz w:val="24"/>
      <w:lang w:val="en-US" w:eastAsia="zh-CN"/>
    </w:rPr>
  </w:style>
  <w:style w:type="character" w:customStyle="1" w:styleId="455">
    <w:name w:val="Char Char18"/>
    <w:qFormat/>
    <w:uiPriority w:val="0"/>
    <w:rPr>
      <w:rFonts w:eastAsia="黑体"/>
      <w:b/>
      <w:kern w:val="44"/>
      <w:sz w:val="36"/>
      <w:lang w:val="en-US" w:eastAsia="zh-CN"/>
    </w:rPr>
  </w:style>
  <w:style w:type="character" w:customStyle="1" w:styleId="456">
    <w:name w:val="纯文本3"/>
    <w:qFormat/>
    <w:uiPriority w:val="0"/>
    <w:rPr>
      <w:rFonts w:ascii="宋体" w:hAnsi="Courier New" w:eastAsia="宋体"/>
      <w:sz w:val="21"/>
      <w:lang w:val="en-US" w:eastAsia="zh-CN"/>
    </w:rPr>
  </w:style>
  <w:style w:type="character" w:customStyle="1" w:styleId="457">
    <w:name w:val="ourfont2"/>
    <w:qFormat/>
    <w:uiPriority w:val="0"/>
  </w:style>
  <w:style w:type="character" w:customStyle="1" w:styleId="458">
    <w:name w:val="样式 标题 3 + 红色 Char"/>
    <w:link w:val="459"/>
    <w:semiHidden/>
    <w:qFormat/>
    <w:locked/>
    <w:uiPriority w:val="0"/>
    <w:rPr>
      <w:rFonts w:eastAsia="华文中宋"/>
      <w:b/>
      <w:color w:val="FF0000"/>
      <w:kern w:val="2"/>
      <w:sz w:val="24"/>
    </w:rPr>
  </w:style>
  <w:style w:type="paragraph" w:customStyle="1" w:styleId="459">
    <w:name w:val="样式 标题 3 + 红色"/>
    <w:basedOn w:val="5"/>
    <w:link w:val="458"/>
    <w:semiHidden/>
    <w:qFormat/>
    <w:uiPriority w:val="0"/>
    <w:pPr>
      <w:keepNext w:val="0"/>
      <w:keepLines w:val="0"/>
      <w:tabs>
        <w:tab w:val="left" w:pos="720"/>
      </w:tabs>
      <w:adjustRightInd/>
      <w:snapToGrid/>
      <w:spacing w:before="120" w:after="120"/>
      <w:ind w:left="720" w:hanging="720"/>
    </w:pPr>
    <w:rPr>
      <w:rFonts w:eastAsia="华文中宋"/>
      <w:color w:val="FF0000"/>
      <w:sz w:val="24"/>
      <w:szCs w:val="20"/>
    </w:rPr>
  </w:style>
  <w:style w:type="character" w:customStyle="1" w:styleId="460">
    <w:name w:val="单位 Char"/>
    <w:link w:val="461"/>
    <w:qFormat/>
    <w:locked/>
    <w:uiPriority w:val="0"/>
    <w:rPr>
      <w:color w:val="000000"/>
      <w:kern w:val="2"/>
      <w:sz w:val="24"/>
      <w:szCs w:val="24"/>
      <w:lang w:val="en-US" w:eastAsia="zh-CN" w:bidi="ar-SA"/>
    </w:rPr>
  </w:style>
  <w:style w:type="paragraph" w:customStyle="1" w:styleId="461">
    <w:name w:val="单位"/>
    <w:link w:val="460"/>
    <w:qFormat/>
    <w:uiPriority w:val="0"/>
    <w:pPr>
      <w:ind w:right="132"/>
      <w:jc w:val="right"/>
    </w:pPr>
    <w:rPr>
      <w:rFonts w:ascii="Times New Roman" w:hAnsi="Times New Roman" w:eastAsia="宋体" w:cs="Times New Roman"/>
      <w:color w:val="000000"/>
      <w:kern w:val="2"/>
      <w:sz w:val="24"/>
      <w:szCs w:val="24"/>
      <w:lang w:val="en-US" w:eastAsia="zh-CN" w:bidi="ar-SA"/>
    </w:rPr>
  </w:style>
  <w:style w:type="character" w:customStyle="1" w:styleId="462">
    <w:name w:val="order"/>
    <w:qFormat/>
    <w:uiPriority w:val="0"/>
  </w:style>
  <w:style w:type="character" w:customStyle="1" w:styleId="463">
    <w:name w:val="样式 标题 3标题 3 CharH3B Head + 宋体 小三 Char Char Char Char Char"/>
    <w:qFormat/>
    <w:uiPriority w:val="0"/>
    <w:rPr>
      <w:rFonts w:ascii="宋体" w:hAnsi="宋体" w:eastAsia="黑体"/>
      <w:kern w:val="2"/>
      <w:sz w:val="28"/>
      <w:lang w:val="en-US" w:eastAsia="zh-CN"/>
    </w:rPr>
  </w:style>
  <w:style w:type="character" w:customStyle="1" w:styleId="464">
    <w:name w:val="表内格式 Char"/>
    <w:link w:val="465"/>
    <w:semiHidden/>
    <w:qFormat/>
    <w:locked/>
    <w:uiPriority w:val="0"/>
    <w:rPr>
      <w:rFonts w:ascii="宋体"/>
      <w:kern w:val="2"/>
      <w:sz w:val="18"/>
    </w:rPr>
  </w:style>
  <w:style w:type="paragraph" w:customStyle="1" w:styleId="465">
    <w:name w:val="表内格式"/>
    <w:basedOn w:val="1"/>
    <w:link w:val="464"/>
    <w:semiHidden/>
    <w:qFormat/>
    <w:uiPriority w:val="0"/>
    <w:pPr>
      <w:spacing w:line="280" w:lineRule="exact"/>
      <w:jc w:val="center"/>
    </w:pPr>
    <w:rPr>
      <w:rFonts w:ascii="宋体"/>
      <w:sz w:val="18"/>
      <w:szCs w:val="20"/>
    </w:rPr>
  </w:style>
  <w:style w:type="character" w:customStyle="1" w:styleId="466">
    <w:name w:val="小标题 Char"/>
    <w:link w:val="467"/>
    <w:qFormat/>
    <w:locked/>
    <w:uiPriority w:val="0"/>
    <w:rPr>
      <w:b/>
      <w:spacing w:val="4"/>
      <w:kern w:val="2"/>
      <w:sz w:val="28"/>
    </w:rPr>
  </w:style>
  <w:style w:type="paragraph" w:customStyle="1" w:styleId="467">
    <w:name w:val="小标题"/>
    <w:basedOn w:val="88"/>
    <w:link w:val="466"/>
    <w:qFormat/>
    <w:uiPriority w:val="0"/>
    <w:pPr>
      <w:spacing w:after="0"/>
      <w:ind w:left="0" w:leftChars="0" w:firstLine="480"/>
    </w:pPr>
    <w:rPr>
      <w:rFonts w:eastAsia="宋体"/>
      <w:b/>
      <w:spacing w:val="4"/>
      <w:sz w:val="28"/>
      <w:szCs w:val="20"/>
    </w:rPr>
  </w:style>
  <w:style w:type="character" w:customStyle="1" w:styleId="468">
    <w:name w:val="large"/>
    <w:qFormat/>
    <w:uiPriority w:val="0"/>
  </w:style>
  <w:style w:type="character" w:customStyle="1" w:styleId="469">
    <w:name w:val="unnamed6"/>
    <w:qFormat/>
    <w:uiPriority w:val="0"/>
  </w:style>
  <w:style w:type="character" w:customStyle="1" w:styleId="470">
    <w:name w:val="样式1 Char Char Char Char Char Char Char Char"/>
    <w:qFormat/>
    <w:uiPriority w:val="0"/>
    <w:rPr>
      <w:rFonts w:ascii="宋体" w:hAnsi="宋体" w:eastAsia="宋体"/>
      <w:kern w:val="2"/>
      <w:sz w:val="24"/>
      <w:lang w:val="en-US" w:eastAsia="zh-CN"/>
    </w:rPr>
  </w:style>
  <w:style w:type="character" w:customStyle="1" w:styleId="471">
    <w:name w:val="正文首行缩进 Char"/>
    <w:qFormat/>
    <w:locked/>
    <w:uiPriority w:val="0"/>
    <w:rPr>
      <w:kern w:val="2"/>
      <w:sz w:val="21"/>
    </w:rPr>
  </w:style>
  <w:style w:type="character" w:customStyle="1" w:styleId="472">
    <w:name w:val="oblog_text"/>
    <w:qFormat/>
    <w:uiPriority w:val="0"/>
  </w:style>
  <w:style w:type="character" w:customStyle="1" w:styleId="473">
    <w:name w:val="aspmaker1"/>
    <w:qFormat/>
    <w:uiPriority w:val="0"/>
    <w:rPr>
      <w:rFonts w:ascii="Verdana" w:hAnsi="Verdana"/>
      <w:sz w:val="20"/>
    </w:rPr>
  </w:style>
  <w:style w:type="character" w:customStyle="1" w:styleId="474">
    <w:name w:val="gg_body Char"/>
    <w:qFormat/>
    <w:uiPriority w:val="0"/>
    <w:rPr>
      <w:rFonts w:ascii="宋体" w:hAnsi="宋体" w:eastAsia="宋体"/>
      <w:kern w:val="2"/>
      <w:sz w:val="24"/>
      <w:lang w:val="en-US" w:eastAsia="zh-CN"/>
    </w:rPr>
  </w:style>
  <w:style w:type="character" w:customStyle="1" w:styleId="475">
    <w:name w:val="题注 Char Char"/>
    <w:qFormat/>
    <w:uiPriority w:val="0"/>
    <w:rPr>
      <w:rFonts w:eastAsia="黑体"/>
      <w:kern w:val="2"/>
      <w:sz w:val="28"/>
      <w:lang w:val="en-US" w:eastAsia="zh-CN"/>
    </w:rPr>
  </w:style>
  <w:style w:type="character" w:customStyle="1" w:styleId="476">
    <w:name w:val="修改 Char"/>
    <w:link w:val="477"/>
    <w:qFormat/>
    <w:locked/>
    <w:uiPriority w:val="0"/>
    <w:rPr>
      <w:color w:val="FF0000"/>
      <w:spacing w:val="4"/>
      <w:kern w:val="2"/>
      <w:sz w:val="28"/>
    </w:rPr>
  </w:style>
  <w:style w:type="paragraph" w:customStyle="1" w:styleId="477">
    <w:name w:val="修改"/>
    <w:basedOn w:val="88"/>
    <w:next w:val="88"/>
    <w:link w:val="476"/>
    <w:qFormat/>
    <w:uiPriority w:val="0"/>
    <w:pPr>
      <w:spacing w:after="0"/>
      <w:ind w:left="0" w:leftChars="0" w:firstLine="200"/>
    </w:pPr>
    <w:rPr>
      <w:rFonts w:eastAsia="宋体"/>
      <w:color w:val="FF0000"/>
      <w:spacing w:val="4"/>
      <w:sz w:val="28"/>
      <w:szCs w:val="20"/>
    </w:rPr>
  </w:style>
  <w:style w:type="character" w:customStyle="1" w:styleId="478">
    <w:name w:val="family"/>
    <w:qFormat/>
    <w:uiPriority w:val="0"/>
  </w:style>
  <w:style w:type="character" w:customStyle="1" w:styleId="479">
    <w:name w:val="Char Char38"/>
    <w:qFormat/>
    <w:uiPriority w:val="0"/>
    <w:rPr>
      <w:b/>
      <w:kern w:val="44"/>
      <w:sz w:val="44"/>
    </w:rPr>
  </w:style>
  <w:style w:type="character" w:customStyle="1" w:styleId="480">
    <w:name w:val="HTML 预设格式 字符"/>
    <w:qFormat/>
    <w:uiPriority w:val="99"/>
    <w:rPr>
      <w:rFonts w:ascii="Courier New" w:hAnsi="Courier New" w:cs="Courier New"/>
      <w:kern w:val="2"/>
    </w:rPr>
  </w:style>
  <w:style w:type="character" w:customStyle="1" w:styleId="481">
    <w:name w:val="尾注文本 字符"/>
    <w:qFormat/>
    <w:uiPriority w:val="99"/>
    <w:rPr>
      <w:kern w:val="2"/>
      <w:sz w:val="21"/>
      <w:szCs w:val="24"/>
    </w:rPr>
  </w:style>
  <w:style w:type="character" w:customStyle="1" w:styleId="482">
    <w:name w:val="org1"/>
    <w:qFormat/>
    <w:uiPriority w:val="0"/>
    <w:rPr>
      <w:color w:val="9D0031"/>
    </w:rPr>
  </w:style>
  <w:style w:type="character" w:customStyle="1" w:styleId="483">
    <w:name w:val="3dfont"/>
    <w:qFormat/>
    <w:uiPriority w:val="0"/>
  </w:style>
  <w:style w:type="character" w:customStyle="1" w:styleId="484">
    <w:name w:val="表 Char"/>
    <w:link w:val="485"/>
    <w:qFormat/>
    <w:locked/>
    <w:uiPriority w:val="0"/>
    <w:rPr>
      <w:sz w:val="24"/>
    </w:rPr>
  </w:style>
  <w:style w:type="paragraph" w:customStyle="1" w:styleId="485">
    <w:name w:val="表"/>
    <w:basedOn w:val="1"/>
    <w:link w:val="484"/>
    <w:qFormat/>
    <w:uiPriority w:val="0"/>
    <w:pPr>
      <w:adjustRightInd w:val="0"/>
      <w:snapToGrid w:val="0"/>
      <w:spacing w:line="320" w:lineRule="exact"/>
      <w:jc w:val="center"/>
    </w:pPr>
    <w:rPr>
      <w:kern w:val="0"/>
      <w:sz w:val="24"/>
      <w:szCs w:val="20"/>
    </w:rPr>
  </w:style>
  <w:style w:type="character" w:customStyle="1" w:styleId="486">
    <w:name w:val="style41"/>
    <w:qFormat/>
    <w:uiPriority w:val="0"/>
    <w:rPr>
      <w:sz w:val="18"/>
    </w:rPr>
  </w:style>
  <w:style w:type="character" w:customStyle="1" w:styleId="487">
    <w:name w:val="orange1"/>
    <w:qFormat/>
    <w:uiPriority w:val="0"/>
    <w:rPr>
      <w:b/>
      <w:color w:val="FF3300"/>
      <w:sz w:val="21"/>
      <w:u w:val="none"/>
    </w:rPr>
  </w:style>
  <w:style w:type="character" w:customStyle="1" w:styleId="488">
    <w:name w:val="个人撰写风格"/>
    <w:qFormat/>
    <w:uiPriority w:val="0"/>
    <w:rPr>
      <w:rFonts w:ascii="Arial" w:hAnsi="Arial" w:eastAsia="宋体"/>
      <w:color w:val="auto"/>
      <w:sz w:val="20"/>
    </w:rPr>
  </w:style>
  <w:style w:type="character" w:customStyle="1" w:styleId="489">
    <w:name w:val="标题 5 Char1"/>
    <w:qFormat/>
    <w:uiPriority w:val="0"/>
    <w:rPr>
      <w:b/>
      <w:snapToGrid w:val="0"/>
      <w:sz w:val="28"/>
    </w:rPr>
  </w:style>
  <w:style w:type="character" w:customStyle="1" w:styleId="490">
    <w:name w:val="正文文本 2 字符"/>
    <w:qFormat/>
    <w:uiPriority w:val="99"/>
    <w:rPr>
      <w:kern w:val="2"/>
      <w:sz w:val="21"/>
      <w:szCs w:val="24"/>
    </w:rPr>
  </w:style>
  <w:style w:type="character" w:customStyle="1" w:styleId="491">
    <w:name w:val="标题41 Char Char"/>
    <w:qFormat/>
    <w:uiPriority w:val="0"/>
    <w:rPr>
      <w:rFonts w:ascii="黑体" w:hAnsi="宋体" w:eastAsia="黑体"/>
      <w:b/>
      <w:sz w:val="32"/>
      <w:lang w:val="en-US" w:eastAsia="zh-CN"/>
    </w:rPr>
  </w:style>
  <w:style w:type="character" w:customStyle="1" w:styleId="492">
    <w:name w:val="表格标题 Char1"/>
    <w:qFormat/>
    <w:uiPriority w:val="0"/>
    <w:rPr>
      <w:rFonts w:ascii="宋体" w:eastAsia="宋体"/>
      <w:b/>
      <w:sz w:val="24"/>
      <w:lang w:val="en-US" w:eastAsia="zh-CN"/>
    </w:rPr>
  </w:style>
  <w:style w:type="character" w:customStyle="1" w:styleId="493">
    <w:name w:val="图目录 Char"/>
    <w:qFormat/>
    <w:uiPriority w:val="0"/>
    <w:rPr>
      <w:rFonts w:ascii="宋体" w:eastAsia="宋体"/>
      <w:spacing w:val="14"/>
      <w:sz w:val="28"/>
      <w:lang w:val="en-US" w:eastAsia="zh-CN"/>
    </w:rPr>
  </w:style>
  <w:style w:type="character" w:customStyle="1" w:styleId="494">
    <w:name w:val="title_span3"/>
    <w:qFormat/>
    <w:uiPriority w:val="0"/>
    <w:rPr>
      <w:sz w:val="24"/>
    </w:rPr>
  </w:style>
  <w:style w:type="character" w:customStyle="1" w:styleId="495">
    <w:name w:val="表格正文 Char"/>
    <w:qFormat/>
    <w:uiPriority w:val="0"/>
    <w:rPr>
      <w:sz w:val="21"/>
      <w:lang w:val="nl-NL"/>
    </w:rPr>
  </w:style>
  <w:style w:type="character" w:customStyle="1" w:styleId="496">
    <w:name w:val="自定义正文 Char Char Char Char Char Char Char Char Char Char Char Char Char Char Char"/>
    <w:qFormat/>
    <w:uiPriority w:val="0"/>
    <w:rPr>
      <w:rFonts w:eastAsia="宋体"/>
      <w:kern w:val="2"/>
      <w:position w:val="-28"/>
      <w:sz w:val="28"/>
      <w:lang w:val="en-US" w:eastAsia="zh-CN"/>
    </w:rPr>
  </w:style>
  <w:style w:type="character" w:customStyle="1" w:styleId="497">
    <w:name w:val="zi41"/>
    <w:qFormat/>
    <w:uiPriority w:val="0"/>
    <w:rPr>
      <w:rFonts w:ascii="???" w:eastAsia="宋体"/>
      <w:color w:val="FFFFFF"/>
      <w:spacing w:val="0"/>
      <w:w w:val="100"/>
      <w:sz w:val="24"/>
      <w:u w:val="none" w:color="000000"/>
      <w:vertAlign w:val="baseline"/>
      <w:lang w:val="en-US" w:eastAsia="zh-CN"/>
    </w:rPr>
  </w:style>
  <w:style w:type="character" w:customStyle="1" w:styleId="498">
    <w:name w:val="number"/>
    <w:qFormat/>
    <w:uiPriority w:val="0"/>
  </w:style>
  <w:style w:type="character" w:customStyle="1" w:styleId="499">
    <w:name w:val="h2 Char1"/>
    <w:qFormat/>
    <w:uiPriority w:val="0"/>
    <w:rPr>
      <w:rFonts w:ascii="Cambria" w:hAnsi="Cambria" w:eastAsia="宋体"/>
      <w:b/>
      <w:kern w:val="2"/>
      <w:sz w:val="32"/>
    </w:rPr>
  </w:style>
  <w:style w:type="character" w:customStyle="1" w:styleId="500">
    <w:name w:val="报告书正文 Char Char Char Char Char Char Char Char Char Char Char Char Char Char Char"/>
    <w:qFormat/>
    <w:uiPriority w:val="0"/>
    <w:rPr>
      <w:rFonts w:eastAsia="宋体"/>
      <w:color w:val="000000"/>
      <w:kern w:val="2"/>
      <w:sz w:val="24"/>
      <w:lang w:val="en-US" w:eastAsia="zh-CN"/>
    </w:rPr>
  </w:style>
  <w:style w:type="character" w:customStyle="1" w:styleId="501">
    <w:name w:val="标题 3 Char Char"/>
    <w:qFormat/>
    <w:uiPriority w:val="0"/>
    <w:rPr>
      <w:rFonts w:ascii="Arial" w:hAnsi="Arial" w:eastAsia="黑体"/>
      <w:b/>
      <w:color w:val="FF0000"/>
      <w:spacing w:val="10"/>
      <w:kern w:val="2"/>
      <w:sz w:val="28"/>
      <w:lang w:val="en-US" w:eastAsia="zh-CN"/>
    </w:rPr>
  </w:style>
  <w:style w:type="character" w:customStyle="1" w:styleId="502">
    <w:name w:val="式样b Char"/>
    <w:qFormat/>
    <w:uiPriority w:val="0"/>
    <w:rPr>
      <w:rFonts w:eastAsia="宋体"/>
      <w:b/>
      <w:kern w:val="44"/>
      <w:sz w:val="44"/>
      <w:lang w:val="en-US" w:eastAsia="zh-CN"/>
    </w:rPr>
  </w:style>
  <w:style w:type="character" w:customStyle="1" w:styleId="503">
    <w:name w:val="unnamed61"/>
    <w:qFormat/>
    <w:uiPriority w:val="0"/>
    <w:rPr>
      <w:color w:val="000000"/>
      <w:sz w:val="20"/>
    </w:rPr>
  </w:style>
  <w:style w:type="character" w:customStyle="1" w:styleId="504">
    <w:name w:val="gf表格 Char"/>
    <w:link w:val="505"/>
    <w:qFormat/>
    <w:locked/>
    <w:uiPriority w:val="0"/>
    <w:rPr>
      <w:spacing w:val="-8"/>
      <w:kern w:val="2"/>
      <w:sz w:val="21"/>
    </w:rPr>
  </w:style>
  <w:style w:type="paragraph" w:customStyle="1" w:styleId="505">
    <w:name w:val="gf表格"/>
    <w:basedOn w:val="1"/>
    <w:link w:val="504"/>
    <w:qFormat/>
    <w:uiPriority w:val="0"/>
    <w:pPr>
      <w:adjustRightInd w:val="0"/>
      <w:spacing w:line="300" w:lineRule="auto"/>
      <w:jc w:val="center"/>
      <w:textAlignment w:val="center"/>
    </w:pPr>
    <w:rPr>
      <w:spacing w:val="-8"/>
      <w:szCs w:val="20"/>
    </w:rPr>
  </w:style>
  <w:style w:type="character" w:customStyle="1" w:styleId="506">
    <w:name w:val="链接"/>
    <w:qFormat/>
    <w:uiPriority w:val="0"/>
    <w:rPr>
      <w:rFonts w:ascii="Times New Roman" w:eastAsia="宋体"/>
      <w:color w:val="0000FF"/>
      <w:sz w:val="21"/>
      <w:u w:val="single" w:color="0000FF"/>
      <w:vertAlign w:val="baseline"/>
      <w:lang w:val="en-US" w:eastAsia="zh-CN"/>
    </w:rPr>
  </w:style>
  <w:style w:type="character" w:customStyle="1" w:styleId="507">
    <w:name w:val="splatinnamesauthor"/>
    <w:qFormat/>
    <w:uiPriority w:val="0"/>
  </w:style>
  <w:style w:type="character" w:customStyle="1" w:styleId="508">
    <w:name w:val="段前: 8 磅2 Char C"/>
    <w:qFormat/>
    <w:uiPriority w:val="0"/>
    <w:rPr>
      <w:rFonts w:ascii="黑体" w:hAnsi="宋体" w:eastAsia="黑体"/>
      <w:b/>
      <w:spacing w:val="5"/>
      <w:sz w:val="28"/>
      <w:lang w:val="en-US" w:eastAsia="zh-CN"/>
    </w:rPr>
  </w:style>
  <w:style w:type="character" w:customStyle="1" w:styleId="509">
    <w:name w:val="正文2 Char"/>
    <w:link w:val="510"/>
    <w:qFormat/>
    <w:locked/>
    <w:uiPriority w:val="0"/>
    <w:rPr>
      <w:kern w:val="2"/>
      <w:sz w:val="24"/>
    </w:rPr>
  </w:style>
  <w:style w:type="paragraph" w:customStyle="1" w:styleId="510">
    <w:name w:val="正文2"/>
    <w:basedOn w:val="1"/>
    <w:link w:val="509"/>
    <w:qFormat/>
    <w:uiPriority w:val="0"/>
    <w:pPr>
      <w:spacing w:line="360" w:lineRule="auto"/>
      <w:ind w:firstLine="200" w:firstLineChars="200"/>
    </w:pPr>
    <w:rPr>
      <w:sz w:val="24"/>
      <w:szCs w:val="20"/>
    </w:rPr>
  </w:style>
  <w:style w:type="character" w:customStyle="1" w:styleId="511">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512">
    <w:name w:val="tit"/>
    <w:qFormat/>
    <w:uiPriority w:val="0"/>
  </w:style>
  <w:style w:type="character" w:customStyle="1" w:styleId="513">
    <w:name w:val="纯文本 Char"/>
    <w:qFormat/>
    <w:locked/>
    <w:uiPriority w:val="0"/>
    <w:rPr>
      <w:rFonts w:ascii="宋体" w:hAnsi="Courier New"/>
      <w:kern w:val="2"/>
      <w:sz w:val="21"/>
    </w:rPr>
  </w:style>
  <w:style w:type="character" w:customStyle="1" w:styleId="514">
    <w:name w:val="不明显强调1"/>
    <w:qFormat/>
    <w:uiPriority w:val="0"/>
    <w:rPr>
      <w:i/>
      <w:color w:val="808080"/>
    </w:rPr>
  </w:style>
  <w:style w:type="character" w:customStyle="1" w:styleId="515">
    <w:name w:val="text21"/>
    <w:qFormat/>
    <w:uiPriority w:val="0"/>
    <w:rPr>
      <w:rFonts w:eastAsia="宋体"/>
      <w:color w:val="000000"/>
      <w:spacing w:val="0"/>
      <w:w w:val="100"/>
      <w:sz w:val="21"/>
      <w:u w:val="none" w:color="000000"/>
      <w:vertAlign w:val="baseline"/>
      <w:lang w:val="en-US" w:eastAsia="zh-CN"/>
    </w:rPr>
  </w:style>
  <w:style w:type="character" w:customStyle="1" w:styleId="516">
    <w:name w:val="明显强调1"/>
    <w:qFormat/>
    <w:uiPriority w:val="0"/>
    <w:rPr>
      <w:b/>
      <w:i/>
      <w:color w:val="4F81BD"/>
    </w:rPr>
  </w:style>
  <w:style w:type="character" w:customStyle="1" w:styleId="517">
    <w:name w:val="方案标题3 Char"/>
    <w:link w:val="518"/>
    <w:qFormat/>
    <w:locked/>
    <w:uiPriority w:val="0"/>
    <w:rPr>
      <w:rFonts w:hAnsi="黑体" w:eastAsia="黑体"/>
      <w:sz w:val="28"/>
      <w:lang w:val="zh-CN"/>
    </w:rPr>
  </w:style>
  <w:style w:type="paragraph" w:customStyle="1" w:styleId="518">
    <w:name w:val="方案标题3"/>
    <w:basedOn w:val="351"/>
    <w:next w:val="265"/>
    <w:link w:val="517"/>
    <w:qFormat/>
    <w:uiPriority w:val="0"/>
    <w:pPr>
      <w:tabs>
        <w:tab w:val="left" w:pos="709"/>
      </w:tabs>
      <w:spacing w:beforeLines="50"/>
      <w:ind w:left="900" w:hanging="900"/>
      <w:jc w:val="left"/>
      <w:outlineLvl w:val="2"/>
    </w:pPr>
    <w:rPr>
      <w:rFonts w:hAnsi="黑体"/>
    </w:rPr>
  </w:style>
  <w:style w:type="character" w:customStyle="1" w:styleId="519">
    <w:name w:val="latinname"/>
    <w:qFormat/>
    <w:uiPriority w:val="0"/>
  </w:style>
  <w:style w:type="character" w:customStyle="1" w:styleId="520">
    <w:name w:val="样式1 Char"/>
    <w:qFormat/>
    <w:uiPriority w:val="0"/>
    <w:rPr>
      <w:rFonts w:ascii="宋体" w:hAnsi="Tms Rmn" w:eastAsia="宋体"/>
      <w:color w:val="000000"/>
      <w:sz w:val="24"/>
      <w:lang w:val="en-US" w:eastAsia="zh-CN"/>
    </w:rPr>
  </w:style>
  <w:style w:type="character" w:customStyle="1" w:styleId="521">
    <w:name w:val="A2 Char"/>
    <w:link w:val="522"/>
    <w:qFormat/>
    <w:locked/>
    <w:uiPriority w:val="0"/>
    <w:rPr>
      <w:kern w:val="2"/>
      <w:sz w:val="28"/>
    </w:rPr>
  </w:style>
  <w:style w:type="paragraph" w:customStyle="1" w:styleId="522">
    <w:name w:val="A2"/>
    <w:basedOn w:val="1"/>
    <w:link w:val="521"/>
    <w:qFormat/>
    <w:uiPriority w:val="0"/>
    <w:pPr>
      <w:spacing w:line="360" w:lineRule="auto"/>
      <w:ind w:firstLine="570"/>
    </w:pPr>
    <w:rPr>
      <w:sz w:val="28"/>
      <w:szCs w:val="20"/>
    </w:rPr>
  </w:style>
  <w:style w:type="character" w:customStyle="1" w:styleId="523">
    <w:name w:val="中文报告书样式 Char1"/>
    <w:link w:val="524"/>
    <w:qFormat/>
    <w:locked/>
    <w:uiPriority w:val="0"/>
    <w:rPr>
      <w:kern w:val="24"/>
      <w:sz w:val="24"/>
    </w:rPr>
  </w:style>
  <w:style w:type="paragraph" w:customStyle="1" w:styleId="524">
    <w:name w:val="中文报告书样式"/>
    <w:basedOn w:val="1"/>
    <w:link w:val="523"/>
    <w:qFormat/>
    <w:uiPriority w:val="0"/>
    <w:pPr>
      <w:adjustRightInd w:val="0"/>
      <w:spacing w:line="480" w:lineRule="atLeast"/>
      <w:ind w:firstLine="482"/>
      <w:textAlignment w:val="baseline"/>
    </w:pPr>
    <w:rPr>
      <w:kern w:val="24"/>
      <w:sz w:val="24"/>
      <w:szCs w:val="20"/>
    </w:rPr>
  </w:style>
  <w:style w:type="character" w:customStyle="1" w:styleId="525">
    <w:name w:val="apple-style-span"/>
    <w:qFormat/>
    <w:uiPriority w:val="0"/>
  </w:style>
  <w:style w:type="character" w:customStyle="1" w:styleId="526">
    <w:name w:val="txt1"/>
    <w:qFormat/>
    <w:uiPriority w:val="0"/>
    <w:rPr>
      <w:rFonts w:ascii="宋体" w:hAnsi="宋体" w:eastAsia="宋体"/>
      <w:color w:val="003300"/>
      <w:sz w:val="20"/>
      <w:u w:val="none"/>
    </w:rPr>
  </w:style>
  <w:style w:type="character" w:customStyle="1" w:styleId="527">
    <w:name w:val="明显参考1"/>
    <w:qFormat/>
    <w:uiPriority w:val="0"/>
    <w:rPr>
      <w:b/>
      <w:smallCaps/>
      <w:color w:val="C0504D"/>
      <w:spacing w:val="5"/>
      <w:u w:val="single"/>
    </w:rPr>
  </w:style>
  <w:style w:type="character" w:customStyle="1" w:styleId="528">
    <w:name w:val="正文A Char"/>
    <w:link w:val="529"/>
    <w:qFormat/>
    <w:locked/>
    <w:uiPriority w:val="0"/>
    <w:rPr>
      <w:rFonts w:ascii="宋体"/>
      <w:sz w:val="24"/>
    </w:rPr>
  </w:style>
  <w:style w:type="paragraph" w:customStyle="1" w:styleId="529">
    <w:name w:val="正文A"/>
    <w:basedOn w:val="530"/>
    <w:link w:val="528"/>
    <w:qFormat/>
    <w:uiPriority w:val="0"/>
    <w:pPr>
      <w:adjustRightInd w:val="0"/>
      <w:snapToGrid w:val="0"/>
      <w:spacing w:line="360" w:lineRule="auto"/>
      <w:ind w:firstLine="480"/>
    </w:pPr>
    <w:rPr>
      <w:rFonts w:ascii="宋体"/>
      <w:kern w:val="0"/>
    </w:rPr>
  </w:style>
  <w:style w:type="paragraph" w:customStyle="1" w:styleId="530">
    <w:name w:val="列出段落1"/>
    <w:basedOn w:val="1"/>
    <w:link w:val="531"/>
    <w:qFormat/>
    <w:uiPriority w:val="0"/>
    <w:pPr>
      <w:ind w:firstLine="420" w:firstLineChars="200"/>
    </w:pPr>
    <w:rPr>
      <w:sz w:val="24"/>
      <w:szCs w:val="20"/>
    </w:rPr>
  </w:style>
  <w:style w:type="character" w:customStyle="1" w:styleId="531">
    <w:name w:val="列出段落 Char"/>
    <w:link w:val="530"/>
    <w:qFormat/>
    <w:locked/>
    <w:uiPriority w:val="0"/>
    <w:rPr>
      <w:kern w:val="2"/>
      <w:sz w:val="24"/>
    </w:rPr>
  </w:style>
  <w:style w:type="character" w:customStyle="1" w:styleId="532">
    <w:name w:val="制表1 Char Char"/>
    <w:qFormat/>
    <w:uiPriority w:val="0"/>
    <w:rPr>
      <w:rFonts w:ascii="宋体" w:eastAsia="宋体"/>
      <w:kern w:val="28"/>
      <w:sz w:val="24"/>
      <w:lang w:val="en-US" w:eastAsia="zh-CN"/>
    </w:rPr>
  </w:style>
  <w:style w:type="character" w:customStyle="1" w:styleId="533">
    <w:name w:val="样式 正文文本（getiao） + 首行缩进:  2 字符 Char"/>
    <w:link w:val="534"/>
    <w:qFormat/>
    <w:locked/>
    <w:uiPriority w:val="0"/>
    <w:rPr>
      <w:rFonts w:ascii="宋体"/>
      <w:color w:val="000000"/>
      <w:kern w:val="2"/>
      <w:sz w:val="24"/>
    </w:rPr>
  </w:style>
  <w:style w:type="paragraph" w:customStyle="1" w:styleId="534">
    <w:name w:val="样式 正文文本（getiao） + 首行缩进:  2 字符"/>
    <w:basedOn w:val="1"/>
    <w:link w:val="533"/>
    <w:qFormat/>
    <w:uiPriority w:val="0"/>
    <w:pPr>
      <w:spacing w:line="360" w:lineRule="auto"/>
      <w:ind w:firstLine="480" w:firstLineChars="200"/>
    </w:pPr>
    <w:rPr>
      <w:rFonts w:ascii="宋体"/>
      <w:color w:val="000000"/>
      <w:sz w:val="24"/>
      <w:szCs w:val="20"/>
    </w:rPr>
  </w:style>
  <w:style w:type="character" w:customStyle="1" w:styleId="535">
    <w:name w:val="正文首行缩进 2 Char"/>
    <w:qFormat/>
    <w:uiPriority w:val="0"/>
  </w:style>
  <w:style w:type="character" w:customStyle="1" w:styleId="536">
    <w:name w:val="zh正文 Char"/>
    <w:qFormat/>
    <w:uiPriority w:val="0"/>
    <w:rPr>
      <w:rFonts w:ascii="宋体" w:hAnsi="宋体" w:eastAsia="宋体"/>
      <w:kern w:val="2"/>
      <w:sz w:val="28"/>
      <w:lang w:val="en-US" w:eastAsia="zh-CN"/>
    </w:rPr>
  </w:style>
  <w:style w:type="character" w:customStyle="1" w:styleId="537">
    <w:name w:val="图表文本格式"/>
    <w:qFormat/>
    <w:uiPriority w:val="0"/>
    <w:rPr>
      <w:rFonts w:eastAsia="宋体"/>
      <w:sz w:val="24"/>
    </w:rPr>
  </w:style>
  <w:style w:type="character" w:customStyle="1" w:styleId="538">
    <w:name w:val="表头字体 Char Char"/>
    <w:link w:val="539"/>
    <w:semiHidden/>
    <w:qFormat/>
    <w:locked/>
    <w:uiPriority w:val="0"/>
    <w:rPr>
      <w:rFonts w:eastAsia="黑体"/>
      <w:b/>
      <w:kern w:val="2"/>
      <w:sz w:val="24"/>
    </w:rPr>
  </w:style>
  <w:style w:type="paragraph" w:customStyle="1" w:styleId="539">
    <w:name w:val="表头字体 Char"/>
    <w:basedOn w:val="1"/>
    <w:next w:val="1"/>
    <w:link w:val="538"/>
    <w:semiHidden/>
    <w:qFormat/>
    <w:uiPriority w:val="0"/>
    <w:pPr>
      <w:jc w:val="center"/>
    </w:pPr>
    <w:rPr>
      <w:rFonts w:eastAsia="黑体"/>
      <w:b/>
      <w:sz w:val="24"/>
      <w:szCs w:val="20"/>
    </w:rPr>
  </w:style>
  <w:style w:type="character" w:customStyle="1" w:styleId="540">
    <w:name w:val="xyb自建正文 Char Char"/>
    <w:qFormat/>
    <w:uiPriority w:val="0"/>
    <w:rPr>
      <w:rFonts w:ascii="宋体" w:hAnsi="宋体" w:eastAsia="宋体"/>
      <w:kern w:val="2"/>
      <w:sz w:val="24"/>
      <w:lang w:val="en-US" w:eastAsia="zh-CN"/>
    </w:rPr>
  </w:style>
  <w:style w:type="character" w:customStyle="1" w:styleId="541">
    <w:name w:val="正文文本（getiao） Char"/>
    <w:link w:val="542"/>
    <w:qFormat/>
    <w:locked/>
    <w:uiPriority w:val="0"/>
    <w:rPr>
      <w:rFonts w:ascii="宋体"/>
      <w:kern w:val="2"/>
      <w:sz w:val="24"/>
    </w:rPr>
  </w:style>
  <w:style w:type="paragraph" w:customStyle="1" w:styleId="542">
    <w:name w:val="正文文本（getiao）"/>
    <w:basedOn w:val="1"/>
    <w:link w:val="541"/>
    <w:qFormat/>
    <w:uiPriority w:val="0"/>
    <w:pPr>
      <w:spacing w:line="360" w:lineRule="auto"/>
      <w:ind w:firstLine="480" w:firstLineChars="200"/>
    </w:pPr>
    <w:rPr>
      <w:rFonts w:ascii="宋体"/>
      <w:sz w:val="24"/>
      <w:szCs w:val="20"/>
    </w:rPr>
  </w:style>
  <w:style w:type="character" w:customStyle="1" w:styleId="543">
    <w:name w:val="报告正文 Char"/>
    <w:qFormat/>
    <w:uiPriority w:val="0"/>
    <w:rPr>
      <w:rFonts w:hAnsi="Arial" w:eastAsia="宋体"/>
      <w:spacing w:val="14"/>
      <w:sz w:val="24"/>
      <w:lang w:val="en-US" w:eastAsia="zh-CN"/>
    </w:rPr>
  </w:style>
  <w:style w:type="character" w:customStyle="1" w:styleId="544">
    <w:name w:val="样式 正文文本缩进正文文字缩进 + 行距: 1.5 倍行距 Char"/>
    <w:link w:val="545"/>
    <w:qFormat/>
    <w:locked/>
    <w:uiPriority w:val="0"/>
    <w:rPr>
      <w:rFonts w:ascii="Calibri" w:hAnsi="Calibri"/>
      <w:sz w:val="24"/>
      <w:lang w:eastAsia="en-US"/>
    </w:rPr>
  </w:style>
  <w:style w:type="paragraph" w:customStyle="1" w:styleId="545">
    <w:name w:val="样式 正文文本缩进正文文字缩进 + 行距: 1.5 倍行距"/>
    <w:basedOn w:val="1"/>
    <w:next w:val="546"/>
    <w:link w:val="544"/>
    <w:qFormat/>
    <w:uiPriority w:val="0"/>
    <w:pPr>
      <w:adjustRightInd w:val="0"/>
      <w:snapToGrid w:val="0"/>
      <w:spacing w:line="360" w:lineRule="auto"/>
      <w:ind w:firstLine="560" w:firstLineChars="200"/>
    </w:pPr>
    <w:rPr>
      <w:rFonts w:ascii="Calibri" w:hAnsi="Calibri"/>
      <w:kern w:val="0"/>
      <w:sz w:val="24"/>
      <w:szCs w:val="20"/>
      <w:lang w:eastAsia="en-US"/>
    </w:rPr>
  </w:style>
  <w:style w:type="paragraph" w:customStyle="1" w:styleId="546">
    <w:name w:val="Char5"/>
    <w:basedOn w:val="1"/>
    <w:qFormat/>
    <w:uiPriority w:val="0"/>
    <w:rPr>
      <w:rFonts w:ascii="Tahoma" w:hAnsi="Tahoma"/>
      <w:sz w:val="24"/>
      <w:szCs w:val="20"/>
    </w:rPr>
  </w:style>
  <w:style w:type="character" w:customStyle="1" w:styleId="547">
    <w:name w:val="ldl标题2 Char"/>
    <w:link w:val="548"/>
    <w:qFormat/>
    <w:locked/>
    <w:uiPriority w:val="0"/>
    <w:rPr>
      <w:rFonts w:eastAsia="黑体"/>
      <w:sz w:val="30"/>
    </w:rPr>
  </w:style>
  <w:style w:type="paragraph" w:customStyle="1" w:styleId="548">
    <w:name w:val="ldl标题2"/>
    <w:basedOn w:val="85"/>
    <w:link w:val="547"/>
    <w:qFormat/>
    <w:uiPriority w:val="0"/>
    <w:pPr>
      <w:spacing w:line="360" w:lineRule="auto"/>
      <w:jc w:val="left"/>
      <w:outlineLvl w:val="1"/>
    </w:pPr>
    <w:rPr>
      <w:rFonts w:ascii="Times New Roman" w:hAnsi="Times New Roman" w:eastAsia="黑体"/>
      <w:b w:val="0"/>
      <w:kern w:val="0"/>
      <w:sz w:val="30"/>
    </w:rPr>
  </w:style>
  <w:style w:type="character" w:customStyle="1" w:styleId="549">
    <w:name w:val="宏文本 字符"/>
    <w:qFormat/>
    <w:uiPriority w:val="99"/>
    <w:rPr>
      <w:rFonts w:ascii="Courier New" w:hAnsi="Courier New" w:cs="Courier New"/>
      <w:kern w:val="2"/>
      <w:sz w:val="24"/>
      <w:szCs w:val="24"/>
    </w:rPr>
  </w:style>
  <w:style w:type="character" w:customStyle="1" w:styleId="550">
    <w:name w:val="r1"/>
    <w:qFormat/>
    <w:uiPriority w:val="0"/>
    <w:rPr>
      <w:sz w:val="20"/>
    </w:rPr>
  </w:style>
  <w:style w:type="character" w:customStyle="1" w:styleId="551">
    <w:name w:val="样式 四号 黑色"/>
    <w:qFormat/>
    <w:uiPriority w:val="0"/>
    <w:rPr>
      <w:rFonts w:eastAsia="宋体"/>
      <w:color w:val="000000"/>
      <w:sz w:val="24"/>
    </w:rPr>
  </w:style>
  <w:style w:type="character" w:customStyle="1" w:styleId="552">
    <w:name w:val="样式 表格标题 + Times New Roman Char"/>
    <w:link w:val="553"/>
    <w:qFormat/>
    <w:locked/>
    <w:uiPriority w:val="0"/>
    <w:rPr>
      <w:kern w:val="2"/>
      <w:sz w:val="24"/>
    </w:rPr>
  </w:style>
  <w:style w:type="paragraph" w:customStyle="1" w:styleId="553">
    <w:name w:val="样式 表格标题 + Times New Roman"/>
    <w:basedOn w:val="1"/>
    <w:link w:val="552"/>
    <w:qFormat/>
    <w:uiPriority w:val="0"/>
    <w:pPr>
      <w:ind w:firstLine="200" w:firstLineChars="200"/>
      <w:outlineLvl w:val="4"/>
    </w:pPr>
    <w:rPr>
      <w:sz w:val="24"/>
      <w:szCs w:val="20"/>
    </w:rPr>
  </w:style>
  <w:style w:type="character" w:customStyle="1" w:styleId="554">
    <w:name w:val="p2"/>
    <w:qFormat/>
    <w:uiPriority w:val="0"/>
  </w:style>
  <w:style w:type="character" w:customStyle="1" w:styleId="555">
    <w:name w:val="表格式 Char Char"/>
    <w:qFormat/>
    <w:uiPriority w:val="0"/>
    <w:rPr>
      <w:rFonts w:ascii="宋体" w:eastAsia="宋体"/>
      <w:kern w:val="2"/>
      <w:sz w:val="21"/>
      <w:lang w:val="en-US" w:eastAsia="zh-CN"/>
    </w:rPr>
  </w:style>
  <w:style w:type="paragraph" w:customStyle="1" w:styleId="556">
    <w:name w:val="font14"/>
    <w:basedOn w:val="1"/>
    <w:qFormat/>
    <w:uiPriority w:val="0"/>
    <w:pPr>
      <w:widowControl/>
      <w:spacing w:before="102" w:after="102" w:line="351" w:lineRule="atLeast"/>
      <w:ind w:firstLine="419"/>
      <w:jc w:val="left"/>
      <w:textAlignment w:val="baseline"/>
    </w:pPr>
    <w:rPr>
      <w:rFonts w:ascii="宋体"/>
      <w:color w:val="00FF00"/>
      <w:kern w:val="0"/>
      <w:szCs w:val="20"/>
    </w:rPr>
  </w:style>
  <w:style w:type="character" w:customStyle="1" w:styleId="557">
    <w:name w:val="正文文本 3 Char1"/>
    <w:qFormat/>
    <w:uiPriority w:val="0"/>
    <w:rPr>
      <w:kern w:val="2"/>
      <w:sz w:val="16"/>
      <w:szCs w:val="16"/>
    </w:rPr>
  </w:style>
  <w:style w:type="character" w:customStyle="1" w:styleId="558">
    <w:name w:val="签名 Char1"/>
    <w:qFormat/>
    <w:uiPriority w:val="0"/>
    <w:rPr>
      <w:kern w:val="2"/>
      <w:sz w:val="21"/>
      <w:szCs w:val="24"/>
    </w:rPr>
  </w:style>
  <w:style w:type="paragraph" w:customStyle="1" w:styleId="559">
    <w:name w:val="样式 宋体 小四 首行缩进:  0.95 厘米 行距: 1.5 倍行距"/>
    <w:basedOn w:val="1"/>
    <w:qFormat/>
    <w:uiPriority w:val="0"/>
    <w:pPr>
      <w:spacing w:line="300" w:lineRule="auto"/>
      <w:ind w:firstLine="539"/>
    </w:pPr>
    <w:rPr>
      <w:rFonts w:ascii="宋体" w:hAnsi="宋体"/>
      <w:sz w:val="24"/>
    </w:rPr>
  </w:style>
  <w:style w:type="paragraph" w:customStyle="1" w:styleId="560">
    <w:name w:val="样式 标题 4 + 段前: 0.5 行 段后: 0.5 行"/>
    <w:basedOn w:val="6"/>
    <w:qFormat/>
    <w:uiPriority w:val="0"/>
    <w:pPr>
      <w:spacing w:before="0" w:after="0" w:line="440" w:lineRule="exact"/>
      <w:ind w:firstLine="200" w:firstLineChars="200"/>
    </w:pPr>
    <w:rPr>
      <w:rFonts w:ascii="Times New Roman" w:hAnsi="Times New Roman" w:eastAsia="华文中宋" w:cs="宋体"/>
      <w:kern w:val="0"/>
      <w:sz w:val="24"/>
      <w:szCs w:val="24"/>
    </w:rPr>
  </w:style>
  <w:style w:type="character" w:customStyle="1" w:styleId="561">
    <w:name w:val="电子邮件签名 Char1"/>
    <w:qFormat/>
    <w:uiPriority w:val="0"/>
    <w:rPr>
      <w:kern w:val="2"/>
      <w:sz w:val="21"/>
      <w:szCs w:val="24"/>
    </w:rPr>
  </w:style>
  <w:style w:type="paragraph" w:customStyle="1" w:styleId="562">
    <w:name w:val="Char6"/>
    <w:basedOn w:val="1"/>
    <w:qFormat/>
    <w:uiPriority w:val="0"/>
    <w:pPr>
      <w:widowControl/>
      <w:spacing w:before="100" w:beforeAutospacing="1" w:after="100" w:afterAutospacing="1" w:line="330" w:lineRule="atLeast"/>
      <w:ind w:left="360"/>
      <w:jc w:val="left"/>
    </w:pPr>
    <w:rPr>
      <w:rFonts w:ascii="??" w:hAnsi="??" w:cs="宋体"/>
      <w:color w:val="51585D"/>
      <w:kern w:val="0"/>
      <w:szCs w:val="18"/>
    </w:rPr>
  </w:style>
  <w:style w:type="character" w:customStyle="1" w:styleId="563">
    <w:name w:val="信息标题 Char1"/>
    <w:qFormat/>
    <w:uiPriority w:val="0"/>
    <w:rPr>
      <w:rFonts w:ascii="Cambria" w:hAnsi="Cambria" w:eastAsia="宋体" w:cs="Times New Roman"/>
      <w:kern w:val="2"/>
      <w:sz w:val="24"/>
      <w:szCs w:val="24"/>
      <w:shd w:val="pct20" w:color="auto" w:fill="auto"/>
    </w:rPr>
  </w:style>
  <w:style w:type="paragraph" w:customStyle="1" w:styleId="564">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character" w:customStyle="1" w:styleId="565">
    <w:name w:val="宏文本 Char1"/>
    <w:qFormat/>
    <w:uiPriority w:val="0"/>
    <w:rPr>
      <w:rFonts w:ascii="Courier New" w:hAnsi="Courier New" w:cs="Courier New"/>
      <w:kern w:val="2"/>
      <w:sz w:val="24"/>
      <w:szCs w:val="24"/>
    </w:rPr>
  </w:style>
  <w:style w:type="paragraph" w:customStyle="1" w:styleId="566">
    <w:name w:val="Char Char Char Char Char Char Char Char1 Char Char Char Char"/>
    <w:basedOn w:val="1"/>
    <w:qFormat/>
    <w:uiPriority w:val="0"/>
  </w:style>
  <w:style w:type="character" w:customStyle="1" w:styleId="567">
    <w:name w:val="脚注文本 Char1"/>
    <w:qFormat/>
    <w:uiPriority w:val="0"/>
    <w:rPr>
      <w:kern w:val="2"/>
      <w:sz w:val="18"/>
      <w:szCs w:val="18"/>
    </w:rPr>
  </w:style>
  <w:style w:type="paragraph" w:customStyle="1" w:styleId="568">
    <w:name w:val="xl51"/>
    <w:basedOn w:val="1"/>
    <w:qFormat/>
    <w:uiPriority w:val="0"/>
    <w:pPr>
      <w:widowControl/>
      <w:spacing w:before="102" w:after="102" w:line="351" w:lineRule="atLeast"/>
      <w:ind w:firstLine="419"/>
      <w:jc w:val="left"/>
      <w:textAlignment w:val="center"/>
    </w:pPr>
    <w:rPr>
      <w:rFonts w:ascii="Arial Unicode MS"/>
      <w:color w:val="000000"/>
      <w:kern w:val="0"/>
      <w:sz w:val="18"/>
      <w:szCs w:val="20"/>
    </w:rPr>
  </w:style>
  <w:style w:type="character" w:customStyle="1" w:styleId="569">
    <w:name w:val="称呼 Char1"/>
    <w:qFormat/>
    <w:uiPriority w:val="0"/>
    <w:rPr>
      <w:kern w:val="2"/>
      <w:sz w:val="21"/>
      <w:szCs w:val="24"/>
    </w:rPr>
  </w:style>
  <w:style w:type="paragraph" w:customStyle="1" w:styleId="570">
    <w:name w:val="文章正文"/>
    <w:basedOn w:val="1"/>
    <w:qFormat/>
    <w:uiPriority w:val="0"/>
    <w:pPr>
      <w:spacing w:line="360" w:lineRule="auto"/>
      <w:ind w:left="420" w:leftChars="200" w:firstLine="560" w:firstLineChars="200"/>
    </w:pPr>
    <w:rPr>
      <w:rFonts w:ascii="宋体" w:hAnsi="宋体"/>
      <w:sz w:val="28"/>
    </w:rPr>
  </w:style>
  <w:style w:type="paragraph" w:customStyle="1" w:styleId="571">
    <w:name w:val="reader-word-layer reader-word-s38-17"/>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572">
    <w:name w:val="MTDisplayEquation"/>
    <w:basedOn w:val="194"/>
    <w:next w:val="1"/>
    <w:qFormat/>
    <w:uiPriority w:val="0"/>
    <w:pPr>
      <w:tabs>
        <w:tab w:val="center" w:pos="4540"/>
        <w:tab w:val="right" w:pos="9080"/>
      </w:tabs>
      <w:overflowPunct w:val="0"/>
      <w:topLinePunct/>
      <w:ind w:firstLine="0" w:firstLineChars="0"/>
    </w:pPr>
    <w:rPr>
      <w:rFonts w:cs="Times New Roman"/>
      <w:spacing w:val="14"/>
      <w:kern w:val="0"/>
      <w:szCs w:val="24"/>
    </w:rPr>
  </w:style>
  <w:style w:type="paragraph" w:customStyle="1" w:styleId="573">
    <w:name w:val="Char Char Char Char3"/>
    <w:basedOn w:val="1"/>
    <w:qFormat/>
    <w:uiPriority w:val="0"/>
    <w:rPr>
      <w:sz w:val="24"/>
    </w:rPr>
  </w:style>
  <w:style w:type="paragraph" w:customStyle="1" w:styleId="574">
    <w:name w:val="表内文字7"/>
    <w:qFormat/>
    <w:uiPriority w:val="0"/>
    <w:pPr>
      <w:adjustRightInd w:val="0"/>
      <w:snapToGrid w:val="0"/>
      <w:ind w:firstLine="200"/>
      <w:jc w:val="center"/>
    </w:pPr>
    <w:rPr>
      <w:rFonts w:ascii="Times New Roman" w:hAnsi="Times New Roman" w:eastAsia="宋体" w:cs="Times New Roman"/>
      <w:kern w:val="2"/>
      <w:sz w:val="24"/>
      <w:szCs w:val="18"/>
      <w:lang w:val="en-US" w:eastAsia="zh-CN" w:bidi="ar-SA"/>
    </w:rPr>
  </w:style>
  <w:style w:type="paragraph" w:customStyle="1" w:styleId="575">
    <w:name w:val="Agj"/>
    <w:basedOn w:val="36"/>
    <w:qFormat/>
    <w:uiPriority w:val="0"/>
    <w:pPr>
      <w:spacing w:after="0"/>
      <w:ind w:left="0" w:leftChars="0" w:firstLine="560" w:firstLineChars="200"/>
    </w:pPr>
    <w:rPr>
      <w:kern w:val="0"/>
      <w:sz w:val="28"/>
      <w:szCs w:val="20"/>
    </w:rPr>
  </w:style>
  <w:style w:type="character" w:customStyle="1" w:styleId="576">
    <w:name w:val="正文文本缩进 3 Char1"/>
    <w:qFormat/>
    <w:uiPriority w:val="0"/>
    <w:rPr>
      <w:kern w:val="2"/>
      <w:sz w:val="16"/>
      <w:szCs w:val="16"/>
    </w:rPr>
  </w:style>
  <w:style w:type="paragraph" w:customStyle="1" w:styleId="577">
    <w:name w:val="图名3"/>
    <w:basedOn w:val="194"/>
    <w:qFormat/>
    <w:uiPriority w:val="0"/>
    <w:pPr>
      <w:overflowPunct w:val="0"/>
      <w:topLinePunct/>
      <w:spacing w:line="240" w:lineRule="auto"/>
      <w:ind w:firstLine="0" w:firstLineChars="0"/>
      <w:jc w:val="center"/>
    </w:pPr>
    <w:rPr>
      <w:rFonts w:eastAsia="黑体" w:cs="Times New Roman"/>
      <w:spacing w:val="0"/>
      <w:kern w:val="0"/>
      <w:sz w:val="13"/>
      <w:szCs w:val="13"/>
    </w:rPr>
  </w:style>
  <w:style w:type="paragraph" w:customStyle="1" w:styleId="578">
    <w:name w:val="样式 标题 4 + 段前: 0.5 行 段后: 0.5 行2"/>
    <w:basedOn w:val="6"/>
    <w:qFormat/>
    <w:uiPriority w:val="0"/>
    <w:pPr>
      <w:spacing w:before="0" w:after="0" w:line="440" w:lineRule="exact"/>
      <w:ind w:firstLine="200" w:firstLineChars="200"/>
    </w:pPr>
    <w:rPr>
      <w:rFonts w:ascii="Times New Roman" w:hAnsi="Times New Roman" w:cs="宋体"/>
      <w:kern w:val="0"/>
      <w:sz w:val="24"/>
      <w:szCs w:val="20"/>
    </w:rPr>
  </w:style>
  <w:style w:type="paragraph" w:customStyle="1" w:styleId="579">
    <w:name w:val="正文加粗"/>
    <w:basedOn w:val="22"/>
    <w:qFormat/>
    <w:uiPriority w:val="0"/>
    <w:pPr>
      <w:spacing w:line="480" w:lineRule="exact"/>
      <w:ind w:firstLine="0" w:firstLineChars="0"/>
    </w:pPr>
    <w:rPr>
      <w:b/>
      <w:color w:val="000000"/>
      <w:sz w:val="24"/>
    </w:rPr>
  </w:style>
  <w:style w:type="paragraph" w:customStyle="1" w:styleId="580">
    <w:name w:val="标题11"/>
    <w:basedOn w:val="1"/>
    <w:qFormat/>
    <w:uiPriority w:val="0"/>
    <w:pPr>
      <w:tabs>
        <w:tab w:val="left" w:pos="576"/>
      </w:tabs>
      <w:adjustRightInd w:val="0"/>
      <w:snapToGrid w:val="0"/>
      <w:spacing w:line="360" w:lineRule="auto"/>
      <w:ind w:left="576" w:hanging="576"/>
    </w:pPr>
    <w:rPr>
      <w:sz w:val="28"/>
      <w:szCs w:val="20"/>
    </w:rPr>
  </w:style>
  <w:style w:type="character" w:customStyle="1" w:styleId="581">
    <w:name w:val="正文首行缩进 2 Char2"/>
    <w:qFormat/>
    <w:uiPriority w:val="0"/>
  </w:style>
  <w:style w:type="paragraph" w:customStyle="1" w:styleId="582">
    <w:name w:val="样式 标题 3 + 段前: 0.5 行 段后: 0.5 行2"/>
    <w:basedOn w:val="5"/>
    <w:qFormat/>
    <w:uiPriority w:val="0"/>
    <w:pPr>
      <w:adjustRightInd/>
      <w:snapToGrid/>
      <w:spacing w:line="440" w:lineRule="exact"/>
    </w:pPr>
    <w:rPr>
      <w:rFonts w:eastAsia="华文中宋" w:cs="宋体"/>
      <w:bCs w:val="0"/>
      <w:kern w:val="0"/>
      <w:sz w:val="28"/>
      <w:szCs w:val="20"/>
    </w:rPr>
  </w:style>
  <w:style w:type="character" w:customStyle="1" w:styleId="583">
    <w:name w:val="标题 Char1"/>
    <w:qFormat/>
    <w:uiPriority w:val="0"/>
    <w:rPr>
      <w:rFonts w:ascii="Cambria" w:hAnsi="Cambria" w:cs="Times New Roman"/>
      <w:b/>
      <w:bCs/>
      <w:kern w:val="2"/>
      <w:sz w:val="32"/>
      <w:szCs w:val="32"/>
    </w:rPr>
  </w:style>
  <w:style w:type="character" w:customStyle="1" w:styleId="584">
    <w:name w:val="Title Char1"/>
    <w:qFormat/>
    <w:uiPriority w:val="10"/>
    <w:rPr>
      <w:rFonts w:ascii="Cambria" w:hAnsi="Cambria" w:cs="Times New Roman"/>
      <w:b/>
      <w:bCs/>
      <w:kern w:val="2"/>
      <w:sz w:val="32"/>
      <w:szCs w:val="32"/>
    </w:rPr>
  </w:style>
  <w:style w:type="paragraph" w:customStyle="1" w:styleId="585">
    <w:name w:val="样式 标题3 + 段前: 0.5 行 段后: 0.5 行"/>
    <w:basedOn w:val="5"/>
    <w:qFormat/>
    <w:uiPriority w:val="0"/>
    <w:pPr>
      <w:keepNext w:val="0"/>
      <w:keepLines w:val="0"/>
      <w:overflowPunct w:val="0"/>
      <w:topLinePunct/>
      <w:adjustRightInd/>
      <w:snapToGrid/>
      <w:spacing w:line="440" w:lineRule="exact"/>
    </w:pPr>
    <w:rPr>
      <w:rFonts w:eastAsia="华文中宋" w:cs="宋体"/>
      <w:bCs w:val="0"/>
      <w:kern w:val="10"/>
      <w:sz w:val="28"/>
      <w:szCs w:val="20"/>
    </w:rPr>
  </w:style>
  <w:style w:type="paragraph" w:customStyle="1" w:styleId="586">
    <w:name w:val="岳阳用"/>
    <w:basedOn w:val="1"/>
    <w:qFormat/>
    <w:uiPriority w:val="0"/>
    <w:pPr>
      <w:adjustRightInd w:val="0"/>
      <w:spacing w:line="400" w:lineRule="atLeast"/>
      <w:ind w:firstLine="644"/>
      <w:jc w:val="left"/>
      <w:textAlignment w:val="baseline"/>
    </w:pPr>
    <w:rPr>
      <w:rFonts w:ascii="仿宋_GB2312" w:hAnsi="宋体"/>
      <w:spacing w:val="21"/>
      <w:kern w:val="0"/>
      <w:sz w:val="28"/>
      <w:szCs w:val="20"/>
    </w:rPr>
  </w:style>
  <w:style w:type="paragraph" w:customStyle="1" w:styleId="587">
    <w:name w:val="xyb自建正文"/>
    <w:basedOn w:val="1"/>
    <w:qFormat/>
    <w:uiPriority w:val="0"/>
    <w:pPr>
      <w:tabs>
        <w:tab w:val="left" w:pos="8280"/>
      </w:tabs>
      <w:spacing w:line="360" w:lineRule="auto"/>
      <w:ind w:firstLine="480" w:firstLineChars="200"/>
      <w:jc w:val="left"/>
    </w:pPr>
    <w:rPr>
      <w:rFonts w:ascii="宋体" w:hAnsi="宋体"/>
      <w:sz w:val="24"/>
    </w:rPr>
  </w:style>
  <w:style w:type="paragraph" w:customStyle="1" w:styleId="588">
    <w:name w:val="_Style 782"/>
    <w:next w:val="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89">
    <w:name w:val="纯文本 Char1"/>
    <w:qFormat/>
    <w:uiPriority w:val="0"/>
    <w:rPr>
      <w:rFonts w:ascii="宋体" w:hAnsi="Courier New" w:cs="Courier New"/>
      <w:kern w:val="2"/>
      <w:sz w:val="21"/>
      <w:szCs w:val="21"/>
    </w:rPr>
  </w:style>
  <w:style w:type="character" w:customStyle="1" w:styleId="590">
    <w:name w:val="HTML 地址 Char1"/>
    <w:qFormat/>
    <w:uiPriority w:val="0"/>
    <w:rPr>
      <w:i/>
      <w:iCs/>
      <w:kern w:val="2"/>
      <w:sz w:val="21"/>
      <w:szCs w:val="24"/>
    </w:rPr>
  </w:style>
  <w:style w:type="paragraph" w:customStyle="1" w:styleId="591">
    <w:name w:val="XCHG论文节"/>
    <w:basedOn w:val="1"/>
    <w:qFormat/>
    <w:uiPriority w:val="0"/>
    <w:pPr>
      <w:spacing w:beforeLines="100" w:afterLines="100"/>
    </w:pPr>
    <w:rPr>
      <w:rFonts w:ascii="方正姚体" w:eastAsia="方正姚体"/>
      <w:b/>
      <w:bCs/>
      <w:sz w:val="36"/>
    </w:rPr>
  </w:style>
  <w:style w:type="paragraph" w:customStyle="1" w:styleId="592">
    <w:name w:val="样式 标题2（getiao） + 首行缩进:  2 字符"/>
    <w:basedOn w:val="1"/>
    <w:next w:val="35"/>
    <w:qFormat/>
    <w:uiPriority w:val="0"/>
    <w:pPr>
      <w:spacing w:before="240" w:after="60" w:line="360" w:lineRule="auto"/>
      <w:jc w:val="left"/>
      <w:outlineLvl w:val="1"/>
    </w:pPr>
    <w:rPr>
      <w:rFonts w:ascii="宋体" w:hAnsi="宋体" w:cs="宋体"/>
      <w:b/>
      <w:bCs/>
      <w:sz w:val="28"/>
      <w:szCs w:val="20"/>
    </w:rPr>
  </w:style>
  <w:style w:type="paragraph" w:customStyle="1" w:styleId="593">
    <w:name w:val="标题2getiao"/>
    <w:basedOn w:val="85"/>
    <w:next w:val="35"/>
    <w:qFormat/>
    <w:uiPriority w:val="0"/>
    <w:pPr>
      <w:widowControl/>
      <w:spacing w:before="60" w:line="360" w:lineRule="auto"/>
      <w:jc w:val="left"/>
      <w:outlineLvl w:val="1"/>
    </w:pPr>
    <w:rPr>
      <w:color w:val="000000"/>
      <w:sz w:val="28"/>
      <w:szCs w:val="28"/>
    </w:rPr>
  </w:style>
  <w:style w:type="paragraph" w:customStyle="1" w:styleId="594">
    <w:name w:val="table1"/>
    <w:basedOn w:val="1"/>
    <w:qFormat/>
    <w:uiPriority w:val="0"/>
    <w:pPr>
      <w:widowControl/>
      <w:spacing w:line="487" w:lineRule="atLeast"/>
      <w:ind w:firstLine="419"/>
      <w:jc w:val="center"/>
      <w:textAlignment w:val="baseline"/>
    </w:pPr>
    <w:rPr>
      <w:rFonts w:eastAsia="黑体"/>
      <w:color w:val="000000"/>
      <w:kern w:val="0"/>
      <w:sz w:val="24"/>
      <w:szCs w:val="20"/>
    </w:rPr>
  </w:style>
  <w:style w:type="paragraph" w:customStyle="1" w:styleId="595">
    <w:name w:val="样式 样式 样式 标题 3标题 33 + 段前: 0.5 行 + 段前: 0.5 行 + 段前: 6 磅 段后: 6 磅1"/>
    <w:basedOn w:val="596"/>
    <w:qFormat/>
    <w:uiPriority w:val="0"/>
  </w:style>
  <w:style w:type="paragraph" w:customStyle="1" w:styleId="596">
    <w:name w:val="样式 样式 标题 3标题 33 + 段前: 0.5 行 + 段前: 0.5 行"/>
    <w:basedOn w:val="597"/>
    <w:qFormat/>
    <w:uiPriority w:val="0"/>
  </w:style>
  <w:style w:type="paragraph" w:customStyle="1" w:styleId="597">
    <w:name w:val="样式 标题 3标题 33 + 段前: 0.5 行"/>
    <w:basedOn w:val="5"/>
    <w:qFormat/>
    <w:uiPriority w:val="0"/>
    <w:pPr>
      <w:adjustRightInd/>
      <w:snapToGrid/>
    </w:pPr>
    <w:rPr>
      <w:rFonts w:ascii="黑体" w:hAnsi="宋体" w:eastAsia="黑体"/>
      <w:b/>
      <w:color w:val="008000"/>
      <w:kern w:val="0"/>
      <w:sz w:val="24"/>
      <w:szCs w:val="20"/>
    </w:rPr>
  </w:style>
  <w:style w:type="paragraph" w:customStyle="1" w:styleId="598">
    <w:name w:val="样式 标题3 + 段前: 0.5 行 段后: 0.5 行1"/>
    <w:basedOn w:val="5"/>
    <w:qFormat/>
    <w:uiPriority w:val="0"/>
    <w:pPr>
      <w:keepNext w:val="0"/>
      <w:keepLines w:val="0"/>
      <w:overflowPunct w:val="0"/>
      <w:topLinePunct/>
      <w:adjustRightInd/>
      <w:snapToGrid/>
      <w:spacing w:line="440" w:lineRule="exact"/>
    </w:pPr>
    <w:rPr>
      <w:rFonts w:eastAsia="华文中宋" w:cs="宋体"/>
      <w:bCs w:val="0"/>
      <w:kern w:val="10"/>
      <w:sz w:val="28"/>
      <w:szCs w:val="20"/>
    </w:rPr>
  </w:style>
  <w:style w:type="paragraph" w:customStyle="1" w:styleId="599">
    <w:name w:val="样式5"/>
    <w:basedOn w:val="4"/>
    <w:qFormat/>
    <w:uiPriority w:val="0"/>
    <w:pPr>
      <w:keepNext w:val="0"/>
      <w:keepLines w:val="0"/>
      <w:autoSpaceDE w:val="0"/>
      <w:autoSpaceDN w:val="0"/>
      <w:adjustRightInd w:val="0"/>
      <w:snapToGrid w:val="0"/>
      <w:spacing w:before="260" w:beforeLines="50" w:line="360" w:lineRule="auto"/>
      <w:outlineLvl w:val="9"/>
    </w:pPr>
    <w:rPr>
      <w:rFonts w:ascii="黑体"/>
      <w:b w:val="0"/>
      <w:bCs/>
      <w:sz w:val="24"/>
    </w:rPr>
  </w:style>
  <w:style w:type="paragraph" w:customStyle="1" w:styleId="600">
    <w:name w:val="pic-info"/>
    <w:basedOn w:val="1"/>
    <w:qFormat/>
    <w:uiPriority w:val="0"/>
    <w:pPr>
      <w:widowControl/>
      <w:spacing w:before="100" w:beforeAutospacing="1" w:after="100" w:afterAutospacing="1"/>
      <w:jc w:val="left"/>
    </w:pPr>
    <w:rPr>
      <w:rFonts w:ascii="宋体" w:hAnsi="宋体" w:cs="宋体"/>
      <w:kern w:val="0"/>
      <w:sz w:val="24"/>
    </w:rPr>
  </w:style>
  <w:style w:type="character" w:customStyle="1" w:styleId="601">
    <w:name w:val="尾注文本 Char1"/>
    <w:qFormat/>
    <w:uiPriority w:val="0"/>
    <w:rPr>
      <w:kern w:val="2"/>
      <w:sz w:val="21"/>
      <w:szCs w:val="24"/>
    </w:rPr>
  </w:style>
  <w:style w:type="paragraph" w:customStyle="1" w:styleId="602">
    <w:name w:val="说明或注释"/>
    <w:next w:val="88"/>
    <w:qFormat/>
    <w:uiPriority w:val="0"/>
    <w:pPr>
      <w:adjustRightInd w:val="0"/>
      <w:snapToGrid w:val="0"/>
      <w:spacing w:beforeLines="50"/>
    </w:pPr>
    <w:rPr>
      <w:rFonts w:ascii="Times New Roman" w:hAnsi="Times New Roman" w:eastAsia="楷体_GB2312" w:cs="Times New Roman"/>
      <w:kern w:val="2"/>
      <w:sz w:val="18"/>
      <w:szCs w:val="24"/>
      <w:lang w:val="en-US" w:eastAsia="zh-CN" w:bidi="ar-SA"/>
    </w:rPr>
  </w:style>
  <w:style w:type="character" w:customStyle="1" w:styleId="603">
    <w:name w:val="HTML 预设格式 Char1"/>
    <w:qFormat/>
    <w:uiPriority w:val="0"/>
    <w:rPr>
      <w:rFonts w:ascii="Courier New" w:hAnsi="Courier New" w:cs="Courier New"/>
      <w:kern w:val="2"/>
    </w:rPr>
  </w:style>
  <w:style w:type="paragraph" w:customStyle="1" w:styleId="604">
    <w:name w:val="样式 左  0 字符"/>
    <w:basedOn w:val="1"/>
    <w:qFormat/>
    <w:uiPriority w:val="0"/>
    <w:pPr>
      <w:adjustRightInd w:val="0"/>
      <w:jc w:val="left"/>
      <w:textAlignment w:val="baseline"/>
      <w:outlineLvl w:val="4"/>
    </w:pPr>
    <w:rPr>
      <w:rFonts w:cs="宋体"/>
      <w:spacing w:val="20"/>
      <w:szCs w:val="21"/>
    </w:rPr>
  </w:style>
  <w:style w:type="character" w:customStyle="1" w:styleId="605">
    <w:name w:val="注释标题 Char1"/>
    <w:qFormat/>
    <w:uiPriority w:val="0"/>
    <w:rPr>
      <w:kern w:val="2"/>
      <w:sz w:val="21"/>
      <w:szCs w:val="24"/>
    </w:rPr>
  </w:style>
  <w:style w:type="paragraph" w:customStyle="1" w:styleId="606">
    <w:name w:val="正文文本缩进 21"/>
    <w:basedOn w:val="1"/>
    <w:qFormat/>
    <w:uiPriority w:val="0"/>
    <w:pPr>
      <w:adjustRightInd w:val="0"/>
      <w:ind w:left="718" w:firstLine="720"/>
      <w:textAlignment w:val="baseline"/>
    </w:pPr>
    <w:rPr>
      <w:sz w:val="32"/>
      <w:szCs w:val="20"/>
    </w:rPr>
  </w:style>
  <w:style w:type="character" w:customStyle="1" w:styleId="607">
    <w:name w:val="正文文本 2 Char1"/>
    <w:qFormat/>
    <w:uiPriority w:val="0"/>
    <w:rPr>
      <w:kern w:val="2"/>
      <w:sz w:val="21"/>
      <w:szCs w:val="24"/>
    </w:rPr>
  </w:style>
  <w:style w:type="character" w:customStyle="1" w:styleId="608">
    <w:name w:val="正文首行缩进 Char1"/>
    <w:qFormat/>
    <w:uiPriority w:val="0"/>
    <w:rPr>
      <w:kern w:val="2"/>
      <w:sz w:val="21"/>
      <w:szCs w:val="24"/>
    </w:rPr>
  </w:style>
  <w:style w:type="paragraph" w:customStyle="1" w:styleId="609">
    <w:name w:val="font15"/>
    <w:basedOn w:val="1"/>
    <w:qFormat/>
    <w:uiPriority w:val="0"/>
    <w:pPr>
      <w:widowControl/>
      <w:spacing w:before="102" w:after="102" w:line="351" w:lineRule="atLeast"/>
      <w:ind w:firstLine="419"/>
      <w:jc w:val="left"/>
      <w:textAlignment w:val="baseline"/>
    </w:pPr>
    <w:rPr>
      <w:color w:val="00FF00"/>
      <w:kern w:val="0"/>
      <w:szCs w:val="20"/>
    </w:rPr>
  </w:style>
  <w:style w:type="paragraph" w:customStyle="1" w:styleId="610">
    <w:name w:val="xl76"/>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611">
    <w:name w:val="标题 4（自定义）"/>
    <w:basedOn w:val="1"/>
    <w:next w:val="612"/>
    <w:qFormat/>
    <w:uiPriority w:val="0"/>
    <w:pPr>
      <w:keepNext/>
      <w:keepLines/>
      <w:widowControl/>
      <w:spacing w:beforeLines="100" w:afterLines="100" w:line="360" w:lineRule="auto"/>
      <w:ind w:firstLine="200" w:firstLineChars="200"/>
      <w:outlineLvl w:val="3"/>
    </w:pPr>
    <w:rPr>
      <w:rFonts w:ascii="Century Gothic" w:hAnsi="Century Gothic" w:eastAsia="黑体"/>
      <w:kern w:val="0"/>
      <w:sz w:val="24"/>
    </w:rPr>
  </w:style>
  <w:style w:type="paragraph" w:customStyle="1" w:styleId="612">
    <w:name w:val="正文缩进（自定义）"/>
    <w:basedOn w:val="1"/>
    <w:qFormat/>
    <w:uiPriority w:val="0"/>
    <w:pPr>
      <w:spacing w:before="120" w:after="120" w:line="360" w:lineRule="auto"/>
      <w:ind w:firstLine="480" w:firstLineChars="200"/>
    </w:pPr>
    <w:rPr>
      <w:rFonts w:ascii="Century Gothic" w:hAnsi="Century Gothic"/>
      <w:kern w:val="0"/>
      <w:sz w:val="24"/>
    </w:rPr>
  </w:style>
  <w:style w:type="character" w:customStyle="1" w:styleId="613">
    <w:name w:val="Subtitle Char1"/>
    <w:qFormat/>
    <w:uiPriority w:val="11"/>
    <w:rPr>
      <w:rFonts w:ascii="Cambria" w:hAnsi="Cambria" w:cs="Times New Roman"/>
      <w:b/>
      <w:bCs/>
      <w:kern w:val="28"/>
      <w:sz w:val="32"/>
      <w:szCs w:val="32"/>
    </w:rPr>
  </w:style>
  <w:style w:type="character" w:customStyle="1" w:styleId="614">
    <w:name w:val="结束语 Char1"/>
    <w:qFormat/>
    <w:uiPriority w:val="0"/>
    <w:rPr>
      <w:kern w:val="2"/>
      <w:sz w:val="21"/>
      <w:szCs w:val="24"/>
    </w:rPr>
  </w:style>
  <w:style w:type="paragraph" w:customStyle="1" w:styleId="615">
    <w:name w:val="表格11"/>
    <w:basedOn w:val="1"/>
    <w:qFormat/>
    <w:uiPriority w:val="0"/>
    <w:pPr>
      <w:snapToGrid w:val="0"/>
      <w:jc w:val="center"/>
    </w:pPr>
    <w:rPr>
      <w:rFonts w:ascii="宋体" w:hAnsi="宋体" w:cs="宋体"/>
      <w:kern w:val="0"/>
      <w:szCs w:val="21"/>
    </w:rPr>
  </w:style>
  <w:style w:type="paragraph" w:customStyle="1" w:styleId="616">
    <w:name w:val="标4 Char Char Char"/>
    <w:basedOn w:val="160"/>
    <w:qFormat/>
    <w:uiPriority w:val="0"/>
    <w:pPr>
      <w:spacing w:after="0" w:line="560" w:lineRule="atLeast"/>
      <w:jc w:val="both"/>
      <w:outlineLvl w:val="3"/>
    </w:pPr>
    <w:rPr>
      <w:rFonts w:ascii="宋体" w:hAnsi="宋体" w:eastAsia="宋体"/>
      <w:sz w:val="24"/>
      <w:szCs w:val="30"/>
    </w:rPr>
  </w:style>
  <w:style w:type="paragraph" w:customStyle="1" w:styleId="617">
    <w:name w:val="样式 正文文本缩进 2 + 红色"/>
    <w:basedOn w:val="52"/>
    <w:qFormat/>
    <w:uiPriority w:val="0"/>
    <w:pPr>
      <w:spacing w:after="0" w:line="300" w:lineRule="auto"/>
      <w:ind w:left="0" w:leftChars="0" w:firstLine="539"/>
    </w:pPr>
    <w:rPr>
      <w:color w:val="FF0000"/>
      <w:kern w:val="0"/>
      <w:sz w:val="24"/>
    </w:rPr>
  </w:style>
  <w:style w:type="paragraph" w:customStyle="1" w:styleId="618">
    <w:name w:val="表格+五号"/>
    <w:basedOn w:val="1"/>
    <w:next w:val="1"/>
    <w:qFormat/>
    <w:uiPriority w:val="0"/>
    <w:pPr>
      <w:spacing w:line="300" w:lineRule="exact"/>
      <w:jc w:val="center"/>
    </w:pPr>
    <w:rPr>
      <w:kern w:val="0"/>
      <w:szCs w:val="21"/>
    </w:rPr>
  </w:style>
  <w:style w:type="paragraph" w:customStyle="1" w:styleId="619">
    <w:name w:val="xl62"/>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620">
    <w:name w:val="xl70"/>
    <w:basedOn w:val="1"/>
    <w:next w:val="168"/>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621">
    <w:name w:val="xl39"/>
    <w:basedOn w:val="1"/>
    <w:qFormat/>
    <w:uiPriority w:val="0"/>
    <w:pPr>
      <w:widowControl/>
      <w:spacing w:beforeLines="100" w:afterLines="100"/>
      <w:jc w:val="center"/>
    </w:pPr>
    <w:rPr>
      <w:rFonts w:ascii="Arial Unicode MS" w:hAnsi="Arial Unicode MS" w:eastAsia="Arial Unicode MS"/>
      <w:kern w:val="0"/>
      <w:sz w:val="24"/>
      <w:szCs w:val="20"/>
    </w:rPr>
  </w:style>
  <w:style w:type="paragraph" w:customStyle="1" w:styleId="622">
    <w:name w:val="表格+小四"/>
    <w:basedOn w:val="1"/>
    <w:next w:val="1"/>
    <w:qFormat/>
    <w:uiPriority w:val="0"/>
    <w:pPr>
      <w:spacing w:line="320" w:lineRule="exact"/>
      <w:jc w:val="center"/>
    </w:pPr>
    <w:rPr>
      <w:color w:val="000000"/>
      <w:kern w:val="0"/>
      <w:sz w:val="24"/>
    </w:rPr>
  </w:style>
  <w:style w:type="paragraph" w:customStyle="1" w:styleId="623">
    <w:name w:val="样式 宋体 小四 行距: 1.5 倍行距"/>
    <w:basedOn w:val="1"/>
    <w:qFormat/>
    <w:uiPriority w:val="0"/>
    <w:pPr>
      <w:spacing w:line="500" w:lineRule="exact"/>
    </w:pPr>
    <w:rPr>
      <w:rFonts w:ascii="宋体"/>
      <w:sz w:val="24"/>
      <w:szCs w:val="20"/>
    </w:rPr>
  </w:style>
  <w:style w:type="paragraph" w:customStyle="1" w:styleId="624">
    <w:name w:val="font9"/>
    <w:basedOn w:val="1"/>
    <w:qFormat/>
    <w:uiPriority w:val="0"/>
    <w:pPr>
      <w:widowControl/>
      <w:spacing w:before="100" w:beforeAutospacing="1" w:after="100" w:afterAutospacing="1"/>
      <w:jc w:val="left"/>
    </w:pPr>
    <w:rPr>
      <w:i/>
      <w:iCs/>
      <w:kern w:val="0"/>
      <w:szCs w:val="21"/>
    </w:rPr>
  </w:style>
  <w:style w:type="paragraph" w:customStyle="1" w:styleId="625">
    <w:name w:val="font0"/>
    <w:basedOn w:val="1"/>
    <w:qFormat/>
    <w:uiPriority w:val="0"/>
    <w:pPr>
      <w:widowControl/>
      <w:spacing w:before="102" w:after="102" w:line="351" w:lineRule="atLeast"/>
      <w:ind w:firstLine="419"/>
      <w:jc w:val="left"/>
      <w:textAlignment w:val="baseline"/>
    </w:pPr>
    <w:rPr>
      <w:rFonts w:ascii="宋体"/>
      <w:color w:val="000000"/>
      <w:kern w:val="0"/>
      <w:sz w:val="24"/>
      <w:szCs w:val="20"/>
    </w:rPr>
  </w:style>
  <w:style w:type="paragraph" w:customStyle="1" w:styleId="626">
    <w:name w:val="样式 标题 3 + 非加粗"/>
    <w:basedOn w:val="5"/>
    <w:qFormat/>
    <w:uiPriority w:val="0"/>
    <w:pPr>
      <w:tabs>
        <w:tab w:val="left" w:pos="4144"/>
      </w:tabs>
      <w:adjustRightInd/>
      <w:snapToGrid/>
      <w:ind w:firstLine="83" w:firstLineChars="83"/>
    </w:pPr>
    <w:rPr>
      <w:rFonts w:eastAsia="黑体" w:cs="宋体"/>
      <w:b/>
      <w:kern w:val="0"/>
      <w:sz w:val="24"/>
      <w:szCs w:val="20"/>
      <w:lang w:val="zh-CN"/>
    </w:rPr>
  </w:style>
  <w:style w:type="paragraph" w:customStyle="1" w:styleId="627">
    <w:name w:val="样式 正文缩进s4标题4 + (符号) 宋体 四号 行距: 固定值 24 磅"/>
    <w:basedOn w:val="22"/>
    <w:qFormat/>
    <w:uiPriority w:val="0"/>
    <w:pPr>
      <w:adjustRightInd w:val="0"/>
      <w:snapToGrid w:val="0"/>
      <w:spacing w:line="480" w:lineRule="exact"/>
      <w:ind w:left="13" w:leftChars="6" w:firstLine="560"/>
      <w:textAlignment w:val="baseline"/>
    </w:pPr>
    <w:rPr>
      <w:rFonts w:hAnsi="宋体" w:cs="宋体"/>
      <w:kern w:val="0"/>
      <w:sz w:val="28"/>
      <w:szCs w:val="20"/>
    </w:rPr>
  </w:style>
  <w:style w:type="paragraph" w:customStyle="1" w:styleId="628">
    <w:name w:val="目录2"/>
    <w:basedOn w:val="1"/>
    <w:next w:val="1"/>
    <w:qFormat/>
    <w:uiPriority w:val="0"/>
    <w:pPr>
      <w:widowControl/>
      <w:tabs>
        <w:tab w:val="left" w:leader="dot" w:pos="8503"/>
      </w:tabs>
      <w:spacing w:line="317" w:lineRule="atLeast"/>
      <w:ind w:left="419" w:firstLine="419"/>
      <w:textAlignment w:val="baseline"/>
    </w:pPr>
    <w:rPr>
      <w:color w:val="000000"/>
      <w:kern w:val="0"/>
      <w:szCs w:val="20"/>
    </w:rPr>
  </w:style>
  <w:style w:type="paragraph" w:customStyle="1" w:styleId="629">
    <w:name w:val="reader-word-layer reader-word-s38-1"/>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630">
    <w:name w:val="样式 正文文本（getiao） + 首行缩进:  2 字符1"/>
    <w:basedOn w:val="542"/>
    <w:qFormat/>
    <w:uiPriority w:val="0"/>
    <w:pPr>
      <w:ind w:firstLine="520"/>
    </w:pPr>
    <w:rPr>
      <w:rFonts w:cs="宋体"/>
    </w:rPr>
  </w:style>
  <w:style w:type="paragraph" w:customStyle="1" w:styleId="631">
    <w:name w:val="图表正文"/>
    <w:basedOn w:val="1"/>
    <w:qFormat/>
    <w:uiPriority w:val="0"/>
    <w:pPr>
      <w:snapToGrid w:val="0"/>
      <w:spacing w:beforeLines="2" w:afterLines="2" w:line="320" w:lineRule="exact"/>
      <w:jc w:val="center"/>
    </w:pPr>
    <w:rPr>
      <w:rFonts w:ascii="宋体" w:hAnsi="宋体"/>
    </w:rPr>
  </w:style>
  <w:style w:type="paragraph" w:customStyle="1" w:styleId="632">
    <w:name w:val="样式 !标题3(alt+3) + 首行缩进:  1 字符2"/>
    <w:basedOn w:val="633"/>
    <w:qFormat/>
    <w:uiPriority w:val="0"/>
    <w:pPr>
      <w:spacing w:before="40" w:after="60" w:line="288" w:lineRule="auto"/>
    </w:pPr>
  </w:style>
  <w:style w:type="paragraph" w:customStyle="1" w:styleId="633">
    <w:name w:val="!标题3(alt+3)"/>
    <w:next w:val="1"/>
    <w:qFormat/>
    <w:uiPriority w:val="0"/>
    <w:pPr>
      <w:spacing w:before="72" w:after="48" w:line="500" w:lineRule="exact"/>
      <w:outlineLvl w:val="2"/>
    </w:pPr>
    <w:rPr>
      <w:rFonts w:ascii="Times New Roman" w:hAnsi="Times New Roman" w:eastAsia="黑体" w:cs="Times New Roman"/>
      <w:kern w:val="2"/>
      <w:sz w:val="24"/>
      <w:lang w:val="en-US" w:eastAsia="zh-CN" w:bidi="ar-SA"/>
    </w:rPr>
  </w:style>
  <w:style w:type="paragraph" w:customStyle="1" w:styleId="634">
    <w:name w:val="xl43"/>
    <w:basedOn w:val="1"/>
    <w:qFormat/>
    <w:uiPriority w:val="0"/>
    <w:pPr>
      <w:widowControl/>
      <w:spacing w:before="102" w:after="102" w:line="351" w:lineRule="atLeast"/>
      <w:ind w:firstLine="419"/>
      <w:jc w:val="left"/>
      <w:textAlignment w:val="center"/>
    </w:pPr>
    <w:rPr>
      <w:rFonts w:ascii="宋体"/>
      <w:b/>
      <w:color w:val="000000"/>
      <w:kern w:val="0"/>
      <w:sz w:val="22"/>
      <w:szCs w:val="20"/>
    </w:rPr>
  </w:style>
  <w:style w:type="paragraph" w:customStyle="1" w:styleId="635">
    <w:name w:val="二级标题"/>
    <w:basedOn w:val="5"/>
    <w:qFormat/>
    <w:uiPriority w:val="0"/>
    <w:pPr>
      <w:adjustRightInd/>
      <w:snapToGrid/>
      <w:spacing w:before="260" w:beforeLines="50" w:after="260" w:afterLines="50" w:line="240" w:lineRule="auto"/>
      <w:ind w:firstLine="480" w:firstLineChars="200"/>
    </w:pPr>
    <w:rPr>
      <w:rFonts w:ascii="宋体" w:hAnsi="宋体"/>
      <w:bCs w:val="0"/>
      <w:iCs/>
      <w:color w:val="0000FF"/>
      <w:kern w:val="0"/>
      <w:sz w:val="24"/>
      <w:szCs w:val="20"/>
    </w:rPr>
  </w:style>
  <w:style w:type="paragraph" w:customStyle="1" w:styleId="636">
    <w:name w:val="样式1 Char Char Char Char Char"/>
    <w:basedOn w:val="1"/>
    <w:qFormat/>
    <w:uiPriority w:val="0"/>
    <w:pPr>
      <w:spacing w:line="560" w:lineRule="atLeast"/>
      <w:ind w:firstLine="480" w:firstLineChars="200"/>
    </w:pPr>
    <w:rPr>
      <w:rFonts w:ascii="宋体" w:hAnsi="宋体"/>
      <w:sz w:val="24"/>
    </w:rPr>
  </w:style>
  <w:style w:type="paragraph" w:customStyle="1" w:styleId="637">
    <w:name w:val="!章名(alt+m)"/>
    <w:next w:val="1"/>
    <w:qFormat/>
    <w:uiPriority w:val="0"/>
    <w:pPr>
      <w:spacing w:line="500" w:lineRule="exact"/>
      <w:jc w:val="center"/>
      <w:outlineLvl w:val="0"/>
    </w:pPr>
    <w:rPr>
      <w:rFonts w:ascii="Arial" w:hAnsi="Arial" w:eastAsia="黑体" w:cs="Times New Roman"/>
      <w:spacing w:val="-5"/>
      <w:sz w:val="32"/>
      <w:lang w:val="en-US" w:eastAsia="zh-CN" w:bidi="ar-SA"/>
    </w:rPr>
  </w:style>
  <w:style w:type="paragraph" w:customStyle="1" w:styleId="638">
    <w:name w:val="font10"/>
    <w:basedOn w:val="1"/>
    <w:qFormat/>
    <w:uiPriority w:val="0"/>
    <w:pPr>
      <w:widowControl/>
      <w:spacing w:before="102" w:after="102" w:line="351" w:lineRule="atLeast"/>
      <w:ind w:firstLine="419"/>
      <w:jc w:val="left"/>
      <w:textAlignment w:val="baseline"/>
    </w:pPr>
    <w:rPr>
      <w:rFonts w:ascii="宋体"/>
      <w:color w:val="000000"/>
      <w:kern w:val="0"/>
      <w:sz w:val="22"/>
      <w:szCs w:val="20"/>
    </w:rPr>
  </w:style>
  <w:style w:type="paragraph" w:customStyle="1" w:styleId="639">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木?能字?" w:hAnsi="木?能字?" w:eastAsia="木?能字?" w:cs="宋体"/>
      <w:color w:val="000000"/>
      <w:kern w:val="0"/>
      <w:sz w:val="20"/>
      <w:szCs w:val="20"/>
    </w:rPr>
  </w:style>
  <w:style w:type="paragraph" w:customStyle="1" w:styleId="640">
    <w:name w:val="样式 样式 标题 2 + Times New Roman 段前: 12 磅 段后: 0 磅 + 段后: 0.5 行"/>
    <w:basedOn w:val="641"/>
    <w:qFormat/>
    <w:uiPriority w:val="0"/>
    <w:pPr>
      <w:spacing w:before="240"/>
    </w:pPr>
  </w:style>
  <w:style w:type="paragraph" w:customStyle="1" w:styleId="641">
    <w:name w:val="样式 标题 2 + Times New Roman 段前: 12 磅 段后: 0 磅"/>
    <w:basedOn w:val="4"/>
    <w:qFormat/>
    <w:uiPriority w:val="0"/>
    <w:pPr>
      <w:adjustRightInd w:val="0"/>
      <w:spacing w:before="120" w:after="260" w:afterLines="50" w:line="300" w:lineRule="auto"/>
      <w:textAlignment w:val="baseline"/>
    </w:pPr>
    <w:rPr>
      <w:rFonts w:cs="宋体"/>
      <w:bCs/>
    </w:rPr>
  </w:style>
  <w:style w:type="paragraph" w:customStyle="1" w:styleId="642">
    <w:name w:val="Char Char Char Char Char Char Char Char Char Char Char Char Char Char Char Char Char Char Char"/>
    <w:basedOn w:val="1"/>
    <w:qFormat/>
    <w:uiPriority w:val="0"/>
    <w:rPr>
      <w:szCs w:val="20"/>
    </w:rPr>
  </w:style>
  <w:style w:type="paragraph" w:customStyle="1" w:styleId="643">
    <w:name w:val="Char Char Char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644">
    <w:name w:val="封面3"/>
    <w:basedOn w:val="1"/>
    <w:qFormat/>
    <w:uiPriority w:val="0"/>
    <w:pPr>
      <w:adjustRightInd w:val="0"/>
      <w:snapToGrid w:val="0"/>
      <w:spacing w:beforeLines="50" w:afterLines="50" w:line="312" w:lineRule="auto"/>
      <w:ind w:firstLine="510" w:firstLineChars="200"/>
    </w:pPr>
    <w:rPr>
      <w:rFonts w:eastAsia="黑体"/>
      <w:color w:val="000000"/>
      <w:kern w:val="0"/>
      <w:sz w:val="30"/>
    </w:rPr>
  </w:style>
  <w:style w:type="paragraph" w:customStyle="1" w:styleId="645">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6">
    <w:name w:val="xl64"/>
    <w:basedOn w:val="1"/>
    <w:qFormat/>
    <w:uiPriority w:val="0"/>
    <w:pPr>
      <w:widowControl/>
      <w:spacing w:before="102" w:after="102" w:line="351" w:lineRule="atLeast"/>
      <w:ind w:firstLine="419"/>
      <w:jc w:val="center"/>
      <w:textAlignment w:val="baseline"/>
    </w:pPr>
    <w:rPr>
      <w:rFonts w:ascii="Arial Narrow"/>
      <w:color w:val="FF0000"/>
      <w:kern w:val="0"/>
      <w:szCs w:val="20"/>
    </w:rPr>
  </w:style>
  <w:style w:type="paragraph" w:customStyle="1" w:styleId="647">
    <w:name w:val="Char2"/>
    <w:basedOn w:val="1"/>
    <w:qFormat/>
    <w:uiPriority w:val="0"/>
    <w:pPr>
      <w:widowControl/>
      <w:spacing w:after="160" w:line="240" w:lineRule="exact"/>
      <w:ind w:firstLine="480" w:firstLineChars="200"/>
      <w:jc w:val="left"/>
    </w:pPr>
    <w:rPr>
      <w:rFonts w:ascii="宋体" w:hAnsi="宋体"/>
      <w:spacing w:val="14"/>
      <w:kern w:val="0"/>
      <w:sz w:val="24"/>
    </w:rPr>
  </w:style>
  <w:style w:type="paragraph" w:customStyle="1" w:styleId="648">
    <w:name w:val="报告书正文 Char Char"/>
    <w:basedOn w:val="1"/>
    <w:qFormat/>
    <w:uiPriority w:val="0"/>
    <w:pPr>
      <w:spacing w:line="300" w:lineRule="auto"/>
      <w:ind w:firstLine="480" w:firstLineChars="200"/>
    </w:pPr>
    <w:rPr>
      <w:color w:val="000000"/>
      <w:sz w:val="24"/>
    </w:rPr>
  </w:style>
  <w:style w:type="paragraph" w:customStyle="1" w:styleId="649">
    <w:name w:val="表格 4"/>
    <w:basedOn w:val="1"/>
    <w:qFormat/>
    <w:uiPriority w:val="0"/>
    <w:pPr>
      <w:spacing w:line="280" w:lineRule="atLeast"/>
      <w:jc w:val="center"/>
    </w:pPr>
    <w:rPr>
      <w:rFonts w:ascii="宋体"/>
      <w:sz w:val="23"/>
      <w:szCs w:val="23"/>
    </w:rPr>
  </w:style>
  <w:style w:type="paragraph" w:customStyle="1" w:styleId="650">
    <w:name w:val="Char"/>
    <w:basedOn w:val="1"/>
    <w:qFormat/>
    <w:uiPriority w:val="0"/>
    <w:pPr>
      <w:widowControl/>
      <w:spacing w:after="160" w:line="240" w:lineRule="exact"/>
      <w:jc w:val="left"/>
    </w:pPr>
    <w:rPr>
      <w:rFonts w:ascii="Arial" w:hAnsi="Arial" w:cs="Arial"/>
      <w:b/>
      <w:bCs/>
      <w:kern w:val="0"/>
      <w:sz w:val="24"/>
      <w:lang w:eastAsia="en-US"/>
    </w:rPr>
  </w:style>
  <w:style w:type="paragraph" w:customStyle="1" w:styleId="651">
    <w:name w:val="图标标体getiao"/>
    <w:basedOn w:val="1"/>
    <w:next w:val="35"/>
    <w:qFormat/>
    <w:uiPriority w:val="0"/>
    <w:pPr>
      <w:widowControl/>
      <w:spacing w:after="48" w:line="360" w:lineRule="auto"/>
      <w:jc w:val="center"/>
      <w:textAlignment w:val="center"/>
    </w:pPr>
    <w:rPr>
      <w:rFonts w:hAnsi="宋体"/>
      <w:b/>
      <w:color w:val="000000"/>
      <w:spacing w:val="10"/>
      <w:sz w:val="24"/>
    </w:rPr>
  </w:style>
  <w:style w:type="paragraph" w:customStyle="1" w:styleId="652">
    <w:name w:val="xl78"/>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653">
    <w:name w:val="XCHG论文正文"/>
    <w:basedOn w:val="1"/>
    <w:qFormat/>
    <w:uiPriority w:val="0"/>
    <w:pPr>
      <w:spacing w:line="288" w:lineRule="auto"/>
      <w:ind w:firstLine="480" w:firstLineChars="200"/>
    </w:pPr>
    <w:rPr>
      <w:color w:val="000000"/>
      <w:sz w:val="24"/>
    </w:rPr>
  </w:style>
  <w:style w:type="paragraph" w:customStyle="1" w:styleId="654">
    <w:name w:val="表格小四"/>
    <w:qFormat/>
    <w:uiPriority w:val="0"/>
    <w:pPr>
      <w:adjustRightInd w:val="0"/>
      <w:snapToGrid w:val="0"/>
    </w:pPr>
    <w:rPr>
      <w:rFonts w:ascii="Times New Roman" w:hAnsi="Times New Roman" w:eastAsia="宋体" w:cs="Times New Roman"/>
      <w:spacing w:val="14"/>
      <w:w w:val="110"/>
      <w:kern w:val="2"/>
      <w:sz w:val="24"/>
      <w:szCs w:val="24"/>
      <w:lang w:val="en-US" w:eastAsia="zh-CN" w:bidi="ar-SA"/>
    </w:rPr>
  </w:style>
  <w:style w:type="paragraph" w:customStyle="1" w:styleId="655">
    <w:name w:val="样式 标题 3标题 3XW标题 3XW Char标题 3XW Char Char Char Char标题 3XW Cha...1"/>
    <w:basedOn w:val="5"/>
    <w:qFormat/>
    <w:uiPriority w:val="0"/>
    <w:pPr>
      <w:adjustRightInd/>
      <w:snapToGrid/>
      <w:spacing w:after="120"/>
      <w:ind w:firstLine="480" w:firstLineChars="200"/>
    </w:pPr>
    <w:rPr>
      <w:rFonts w:ascii="宋体" w:hAnsi="宋体"/>
      <w:bCs w:val="0"/>
      <w:iCs/>
      <w:kern w:val="0"/>
      <w:sz w:val="28"/>
      <w:szCs w:val="20"/>
    </w:rPr>
  </w:style>
  <w:style w:type="paragraph" w:customStyle="1" w:styleId="656">
    <w:name w:val="wtext"/>
    <w:basedOn w:val="1"/>
    <w:qFormat/>
    <w:uiPriority w:val="0"/>
    <w:pPr>
      <w:widowControl/>
      <w:adjustRightInd w:val="0"/>
      <w:spacing w:before="100" w:beforeAutospacing="1" w:after="100" w:afterAutospacing="1" w:line="312" w:lineRule="atLeast"/>
      <w:ind w:firstLine="480"/>
      <w:jc w:val="left"/>
      <w:textAlignment w:val="baseline"/>
    </w:pPr>
    <w:rPr>
      <w:color w:val="000000"/>
      <w:kern w:val="0"/>
      <w:sz w:val="22"/>
      <w:szCs w:val="22"/>
    </w:rPr>
  </w:style>
  <w:style w:type="paragraph" w:customStyle="1" w:styleId="657">
    <w:name w:val="xl87"/>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658">
    <w:name w:val="标题4 Char Char"/>
    <w:basedOn w:val="1"/>
    <w:qFormat/>
    <w:uiPriority w:val="0"/>
    <w:pPr>
      <w:spacing w:before="100" w:beforeAutospacing="1" w:line="360" w:lineRule="auto"/>
      <w:outlineLvl w:val="3"/>
    </w:pPr>
    <w:rPr>
      <w:rFonts w:eastAsia="黑体"/>
      <w:bCs/>
      <w:sz w:val="24"/>
    </w:rPr>
  </w:style>
  <w:style w:type="paragraph" w:customStyle="1" w:styleId="659">
    <w:name w:val="样式 haydonli + 首行缩进:  2 字符1"/>
    <w:basedOn w:val="660"/>
    <w:qFormat/>
    <w:uiPriority w:val="0"/>
    <w:pPr>
      <w:spacing w:line="360" w:lineRule="auto"/>
      <w:ind w:firstLine="480"/>
    </w:pPr>
    <w:rPr>
      <w:rFonts w:ascii="宋体" w:hAnsi="宋体" w:cs="宋体"/>
      <w:szCs w:val="28"/>
    </w:rPr>
  </w:style>
  <w:style w:type="paragraph" w:customStyle="1" w:styleId="660">
    <w:name w:val="haydonli"/>
    <w:basedOn w:val="1"/>
    <w:qFormat/>
    <w:uiPriority w:val="0"/>
    <w:pPr>
      <w:snapToGrid w:val="0"/>
      <w:spacing w:line="400" w:lineRule="exact"/>
      <w:ind w:firstLine="451" w:firstLineChars="200"/>
    </w:pPr>
    <w:rPr>
      <w:kern w:val="0"/>
      <w:sz w:val="24"/>
    </w:rPr>
  </w:style>
  <w:style w:type="paragraph" w:customStyle="1" w:styleId="661">
    <w:name w:val="报告书正标题"/>
    <w:basedOn w:val="1"/>
    <w:qFormat/>
    <w:uiPriority w:val="0"/>
    <w:pPr>
      <w:widowControl/>
      <w:tabs>
        <w:tab w:val="left" w:pos="-24"/>
      </w:tabs>
      <w:spacing w:before="120" w:after="120"/>
      <w:jc w:val="center"/>
      <w:textAlignment w:val="baseline"/>
    </w:pPr>
    <w:rPr>
      <w:rFonts w:ascii="黑体" w:hAnsi="宋体" w:eastAsia="黑体"/>
      <w:color w:val="000000"/>
      <w:spacing w:val="120"/>
      <w:kern w:val="0"/>
      <w:sz w:val="72"/>
      <w:szCs w:val="20"/>
    </w:rPr>
  </w:style>
  <w:style w:type="paragraph" w:customStyle="1" w:styleId="662">
    <w:name w:val="样式7"/>
    <w:basedOn w:val="1"/>
    <w:qFormat/>
    <w:uiPriority w:val="0"/>
    <w:pPr>
      <w:snapToGrid w:val="0"/>
      <w:ind w:right="24"/>
      <w:jc w:val="center"/>
    </w:pPr>
    <w:rPr>
      <w:rFonts w:ascii="黑体" w:eastAsia="黑体"/>
      <w:kern w:val="0"/>
      <w:sz w:val="24"/>
    </w:rPr>
  </w:style>
  <w:style w:type="paragraph" w:customStyle="1" w:styleId="663">
    <w:name w:val="报告书的正文格式"/>
    <w:basedOn w:val="87"/>
    <w:qFormat/>
    <w:uiPriority w:val="0"/>
    <w:pPr>
      <w:spacing w:after="0" w:line="480" w:lineRule="exact"/>
      <w:ind w:firstLine="200" w:firstLineChars="200"/>
    </w:pPr>
    <w:rPr>
      <w:rFonts w:ascii="Calibri" w:hAnsi="Calibri"/>
      <w:kern w:val="0"/>
      <w:sz w:val="24"/>
    </w:rPr>
  </w:style>
  <w:style w:type="paragraph" w:customStyle="1" w:styleId="664">
    <w:name w:val="表图"/>
    <w:basedOn w:val="349"/>
    <w:qFormat/>
    <w:uiPriority w:val="0"/>
    <w:pPr>
      <w:spacing w:line="480" w:lineRule="auto"/>
      <w:ind w:firstLine="480"/>
    </w:pPr>
    <w:rPr>
      <w:rFonts w:hAnsi="宋体"/>
      <w:sz w:val="24"/>
    </w:rPr>
  </w:style>
  <w:style w:type="paragraph" w:customStyle="1" w:styleId="665">
    <w:name w:val="样式 标题 2 + 段后: 0.5 行"/>
    <w:basedOn w:val="4"/>
    <w:qFormat/>
    <w:uiPriority w:val="0"/>
    <w:pPr>
      <w:spacing w:before="180" w:after="260" w:afterLines="50" w:line="360" w:lineRule="auto"/>
      <w:ind w:left="180" w:hanging="180"/>
    </w:pPr>
    <w:rPr>
      <w:rFonts w:ascii="Arial" w:hAnsi="Arial" w:cs="宋体"/>
      <w:b w:val="0"/>
      <w:color w:val="000000"/>
      <w:sz w:val="30"/>
    </w:rPr>
  </w:style>
  <w:style w:type="paragraph" w:customStyle="1" w:styleId="666">
    <w:name w:val="样式 标题3（getiao） + 首行缩进:  2 字符"/>
    <w:basedOn w:val="1"/>
    <w:next w:val="35"/>
    <w:qFormat/>
    <w:uiPriority w:val="0"/>
    <w:pPr>
      <w:spacing w:before="240" w:after="60" w:line="360" w:lineRule="auto"/>
      <w:ind w:right="100" w:rightChars="100"/>
      <w:jc w:val="left"/>
      <w:outlineLvl w:val="2"/>
    </w:pPr>
    <w:rPr>
      <w:rFonts w:ascii="Arial" w:hAnsi="Arial" w:cs="宋体"/>
      <w:b/>
      <w:bCs/>
      <w:kern w:val="0"/>
      <w:sz w:val="28"/>
      <w:szCs w:val="20"/>
    </w:rPr>
  </w:style>
  <w:style w:type="paragraph" w:customStyle="1" w:styleId="667">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8"/>
      <w:szCs w:val="21"/>
    </w:rPr>
  </w:style>
  <w:style w:type="paragraph" w:customStyle="1" w:styleId="668">
    <w:name w:val="xl75"/>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669">
    <w:name w:val="p3"/>
    <w:basedOn w:val="1"/>
    <w:qFormat/>
    <w:uiPriority w:val="0"/>
    <w:pPr>
      <w:widowControl/>
      <w:adjustRightInd w:val="0"/>
      <w:spacing w:before="100" w:beforeAutospacing="1" w:after="100" w:afterAutospacing="1" w:line="312" w:lineRule="atLeast"/>
      <w:jc w:val="left"/>
      <w:textAlignment w:val="baseline"/>
    </w:pPr>
    <w:rPr>
      <w:rFonts w:ascii="宋体" w:hAnsi="宋体"/>
      <w:color w:val="039F4B"/>
      <w:kern w:val="0"/>
      <w:sz w:val="24"/>
      <w:szCs w:val="20"/>
    </w:rPr>
  </w:style>
  <w:style w:type="paragraph" w:customStyle="1" w:styleId="670">
    <w:name w:val="Char2 Char Char Char Char Char Char"/>
    <w:basedOn w:val="1"/>
    <w:qFormat/>
    <w:uiPriority w:val="0"/>
    <w:pPr>
      <w:snapToGrid w:val="0"/>
      <w:spacing w:line="360" w:lineRule="auto"/>
      <w:ind w:firstLine="200" w:firstLineChars="200"/>
    </w:pPr>
    <w:rPr>
      <w:rFonts w:eastAsia="仿宋_GB2312"/>
      <w:sz w:val="24"/>
    </w:rPr>
  </w:style>
  <w:style w:type="paragraph" w:customStyle="1" w:styleId="671">
    <w:name w:val="默认段落"/>
    <w:basedOn w:val="1"/>
    <w:qFormat/>
    <w:uiPriority w:val="0"/>
    <w:pPr>
      <w:spacing w:line="460" w:lineRule="exact"/>
      <w:ind w:firstLine="480" w:firstLineChars="200"/>
      <w:jc w:val="left"/>
    </w:pPr>
    <w:rPr>
      <w:rFonts w:ascii="宋体" w:hAnsi="宋体" w:cs="宋体"/>
      <w:kern w:val="0"/>
      <w:sz w:val="24"/>
      <w:szCs w:val="20"/>
    </w:rPr>
  </w:style>
  <w:style w:type="paragraph" w:customStyle="1" w:styleId="672">
    <w:name w:val="小节2"/>
    <w:next w:val="1"/>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673">
    <w:name w:val="样式 标题 4 + 段前: 15.6 磅"/>
    <w:basedOn w:val="6"/>
    <w:qFormat/>
    <w:uiPriority w:val="0"/>
    <w:pPr>
      <w:spacing w:before="312" w:after="0" w:line="360" w:lineRule="auto"/>
      <w:ind w:firstLine="200" w:firstLineChars="200"/>
    </w:pPr>
    <w:rPr>
      <w:rFonts w:ascii="Times New Roman" w:hAnsi="Times New Roman" w:cs="宋体"/>
      <w:szCs w:val="20"/>
    </w:rPr>
  </w:style>
  <w:style w:type="paragraph" w:customStyle="1" w:styleId="674">
    <w:name w:val="无悬挂正文5号"/>
    <w:basedOn w:val="1"/>
    <w:qFormat/>
    <w:uiPriority w:val="0"/>
    <w:pPr>
      <w:jc w:val="center"/>
    </w:pPr>
  </w:style>
  <w:style w:type="paragraph" w:customStyle="1" w:styleId="675">
    <w:name w:val="样式 样式 宋体 段前: 0.5 行 行距: 固定值 18 磅 + 首行缩进:  2 字符"/>
    <w:basedOn w:val="1"/>
    <w:qFormat/>
    <w:uiPriority w:val="0"/>
    <w:pPr>
      <w:spacing w:line="360" w:lineRule="auto"/>
      <w:ind w:firstLine="480" w:firstLineChars="200"/>
    </w:pPr>
    <w:rPr>
      <w:rFonts w:ascii="宋体" w:hAnsi="宋体" w:cs="宋体"/>
      <w:color w:val="000000"/>
      <w:sz w:val="24"/>
      <w:lang w:val="en-GB"/>
    </w:rPr>
  </w:style>
  <w:style w:type="paragraph" w:customStyle="1" w:styleId="676">
    <w:name w:val="黑体"/>
    <w:basedOn w:val="1"/>
    <w:next w:val="1"/>
    <w:qFormat/>
    <w:uiPriority w:val="0"/>
    <w:pPr>
      <w:tabs>
        <w:tab w:val="left" w:pos="785"/>
      </w:tabs>
      <w:spacing w:afterLines="20" w:line="400" w:lineRule="exact"/>
      <w:ind w:left="-29" w:firstLine="454"/>
    </w:pPr>
    <w:rPr>
      <w:color w:val="FF0000"/>
      <w:sz w:val="24"/>
    </w:rPr>
  </w:style>
  <w:style w:type="paragraph" w:customStyle="1" w:styleId="677">
    <w:name w:val="样式 !正文(alt+c) + 首行缩进:  2 字符"/>
    <w:basedOn w:val="198"/>
    <w:qFormat/>
    <w:uiPriority w:val="0"/>
    <w:pPr>
      <w:spacing w:line="440" w:lineRule="exact"/>
      <w:jc w:val="left"/>
    </w:pPr>
    <w:rPr>
      <w:rFonts w:cs="宋体"/>
      <w:kern w:val="0"/>
      <w:szCs w:val="20"/>
    </w:rPr>
  </w:style>
  <w:style w:type="paragraph" w:customStyle="1" w:styleId="678">
    <w:name w:val="样式 标题 2 + 右侧:  1 字符"/>
    <w:basedOn w:val="4"/>
    <w:qFormat/>
    <w:uiPriority w:val="0"/>
    <w:pPr>
      <w:tabs>
        <w:tab w:val="left" w:pos="113"/>
      </w:tabs>
      <w:spacing w:before="620" w:after="620" w:line="240" w:lineRule="auto"/>
      <w:ind w:right="210" w:rightChars="100" w:hanging="567"/>
    </w:pPr>
    <w:rPr>
      <w:rFonts w:ascii="Arial" w:hAnsi="Arial" w:cs="宋体"/>
      <w:b w:val="0"/>
      <w:bCs/>
      <w:kern w:val="2"/>
    </w:rPr>
  </w:style>
  <w:style w:type="paragraph" w:customStyle="1" w:styleId="679">
    <w:name w:val="正文样式 首行缩进:  2 字符"/>
    <w:basedOn w:val="1"/>
    <w:qFormat/>
    <w:uiPriority w:val="0"/>
    <w:pPr>
      <w:ind w:firstLine="420" w:firstLineChars="200"/>
    </w:pPr>
    <w:rPr>
      <w:rFonts w:cs="宋体"/>
      <w:szCs w:val="20"/>
    </w:rPr>
  </w:style>
  <w:style w:type="paragraph" w:customStyle="1" w:styleId="680">
    <w:name w:val="Char1"/>
    <w:basedOn w:val="1"/>
    <w:qFormat/>
    <w:uiPriority w:val="0"/>
    <w:pPr>
      <w:widowControl/>
      <w:spacing w:before="60" w:after="60"/>
      <w:jc w:val="left"/>
    </w:pPr>
    <w:rPr>
      <w:rFonts w:ascii="Verdana" w:hAnsi="Verdana"/>
      <w:kern w:val="0"/>
      <w:sz w:val="28"/>
      <w:szCs w:val="28"/>
      <w:lang w:eastAsia="en-US"/>
    </w:rPr>
  </w:style>
  <w:style w:type="paragraph" w:customStyle="1" w:styleId="681">
    <w:name w:val="正文zjd"/>
    <w:basedOn w:val="1"/>
    <w:qFormat/>
    <w:uiPriority w:val="0"/>
    <w:pPr>
      <w:widowControl/>
      <w:spacing w:line="360" w:lineRule="auto"/>
      <w:ind w:firstLine="200" w:firstLineChars="200"/>
      <w:jc w:val="left"/>
    </w:pPr>
    <w:rPr>
      <w:rFonts w:ascii="Verdana" w:hAnsi="Verdana"/>
      <w:kern w:val="0"/>
      <w:sz w:val="28"/>
      <w:szCs w:val="28"/>
      <w:lang w:eastAsia="en-US"/>
    </w:rPr>
  </w:style>
  <w:style w:type="paragraph" w:customStyle="1" w:styleId="682">
    <w:name w:val="表文居中"/>
    <w:basedOn w:val="1"/>
    <w:qFormat/>
    <w:uiPriority w:val="0"/>
    <w:pPr>
      <w:autoSpaceDE w:val="0"/>
      <w:autoSpaceDN w:val="0"/>
      <w:adjustRightInd w:val="0"/>
      <w:spacing w:before="20" w:line="460" w:lineRule="exact"/>
      <w:ind w:firstLine="480" w:firstLineChars="200"/>
      <w:jc w:val="center"/>
      <w:textAlignment w:val="baseline"/>
    </w:pPr>
    <w:rPr>
      <w:kern w:val="0"/>
      <w:sz w:val="24"/>
      <w:szCs w:val="20"/>
    </w:rPr>
  </w:style>
  <w:style w:type="paragraph" w:customStyle="1" w:styleId="683">
    <w:name w:val="xl58"/>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684">
    <w:name w:val="样式2"/>
    <w:basedOn w:val="1"/>
    <w:qFormat/>
    <w:uiPriority w:val="0"/>
    <w:pPr>
      <w:spacing w:line="360" w:lineRule="auto"/>
    </w:pPr>
    <w:rPr>
      <w:kern w:val="0"/>
      <w:sz w:val="28"/>
      <w:szCs w:val="28"/>
    </w:rPr>
  </w:style>
  <w:style w:type="paragraph" w:customStyle="1" w:styleId="685">
    <w:name w:val="样式 标题 3 + 段前: 0 磅 段后: 0 磅"/>
    <w:basedOn w:val="5"/>
    <w:qFormat/>
    <w:uiPriority w:val="0"/>
    <w:pPr>
      <w:snapToGrid/>
      <w:spacing w:before="260" w:beforeLines="50" w:after="260" w:afterLines="50" w:line="416" w:lineRule="atLeast"/>
      <w:ind w:firstLine="480" w:firstLineChars="200"/>
      <w:textAlignment w:val="baseline"/>
    </w:pPr>
    <w:rPr>
      <w:rFonts w:ascii="宋体" w:hAnsi="宋体" w:cs="宋体"/>
      <w:b/>
      <w:iCs/>
      <w:color w:val="0000FF"/>
      <w:kern w:val="0"/>
      <w:sz w:val="24"/>
      <w:szCs w:val="20"/>
    </w:rPr>
  </w:style>
  <w:style w:type="paragraph" w:customStyle="1" w:styleId="686">
    <w:name w:val="xl2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687">
    <w:name w:val="xl46"/>
    <w:basedOn w:val="1"/>
    <w:qFormat/>
    <w:uiPriority w:val="0"/>
    <w:pPr>
      <w:widowControl/>
      <w:spacing w:before="102" w:after="102" w:line="351" w:lineRule="atLeast"/>
      <w:ind w:firstLine="419"/>
      <w:jc w:val="center"/>
      <w:textAlignment w:val="center"/>
    </w:pPr>
    <w:rPr>
      <w:b/>
      <w:color w:val="000000"/>
      <w:kern w:val="0"/>
      <w:sz w:val="22"/>
      <w:szCs w:val="20"/>
    </w:rPr>
  </w:style>
  <w:style w:type="paragraph" w:customStyle="1" w:styleId="688">
    <w:name w:val="表格正文居中小五"/>
    <w:basedOn w:val="1"/>
    <w:qFormat/>
    <w:uiPriority w:val="0"/>
    <w:pPr>
      <w:jc w:val="center"/>
    </w:pPr>
    <w:rPr>
      <w:rFonts w:ascii="宋体" w:hAnsi="宋体"/>
      <w:bCs/>
      <w:kern w:val="0"/>
      <w:szCs w:val="21"/>
    </w:rPr>
  </w:style>
  <w:style w:type="paragraph" w:customStyle="1" w:styleId="689">
    <w:name w:val="无缩进正文"/>
    <w:basedOn w:val="1"/>
    <w:qFormat/>
    <w:uiPriority w:val="0"/>
    <w:pPr>
      <w:adjustRightInd w:val="0"/>
      <w:snapToGrid w:val="0"/>
      <w:spacing w:line="288" w:lineRule="auto"/>
      <w:jc w:val="center"/>
    </w:pPr>
    <w:rPr>
      <w:kern w:val="0"/>
    </w:rPr>
  </w:style>
  <w:style w:type="paragraph" w:customStyle="1" w:styleId="690">
    <w:name w:val="GBT"/>
    <w:basedOn w:val="1"/>
    <w:qFormat/>
    <w:uiPriority w:val="0"/>
    <w:pPr>
      <w:adjustRightInd w:val="0"/>
      <w:jc w:val="center"/>
      <w:textAlignment w:val="baseline"/>
    </w:pPr>
    <w:rPr>
      <w:rFonts w:eastAsia="楷体_GB2312"/>
      <w:kern w:val="0"/>
      <w:szCs w:val="21"/>
    </w:rPr>
  </w:style>
  <w:style w:type="paragraph" w:customStyle="1" w:styleId="691">
    <w:name w:val="6"/>
    <w:basedOn w:val="1"/>
    <w:next w:val="32"/>
    <w:qFormat/>
    <w:uiPriority w:val="0"/>
    <w:pPr>
      <w:spacing w:line="360" w:lineRule="auto"/>
    </w:pPr>
    <w:rPr>
      <w:sz w:val="24"/>
    </w:rPr>
  </w:style>
  <w:style w:type="paragraph" w:customStyle="1" w:styleId="692">
    <w:name w:val="Char Char Char Char Char Char1 Char"/>
    <w:basedOn w:val="1"/>
    <w:qFormat/>
    <w:uiPriority w:val="0"/>
    <w:pPr>
      <w:spacing w:line="360" w:lineRule="auto"/>
      <w:ind w:firstLine="200" w:firstLineChars="200"/>
    </w:pPr>
    <w:rPr>
      <w:rFonts w:ascii="宋体" w:hAnsi="宋体" w:cs="宋体"/>
      <w:sz w:val="24"/>
    </w:rPr>
  </w:style>
  <w:style w:type="paragraph" w:customStyle="1" w:styleId="693">
    <w:name w:val="样式 样式 标题 4 + 段前: 0.5 行 段后: 0.5 行 + 段前: 7.8 磅 段后: 7.8 磅1"/>
    <w:basedOn w:val="560"/>
    <w:qFormat/>
    <w:uiPriority w:val="0"/>
    <w:rPr>
      <w:szCs w:val="20"/>
    </w:rPr>
  </w:style>
  <w:style w:type="paragraph" w:customStyle="1" w:styleId="694">
    <w:name w:val="xl56"/>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695">
    <w:name w:val="标题 32"/>
    <w:basedOn w:val="1"/>
    <w:qFormat/>
    <w:uiPriority w:val="0"/>
    <w:pPr>
      <w:widowControl/>
      <w:spacing w:before="147" w:after="96" w:line="640" w:lineRule="atLeast"/>
      <w:ind w:firstLine="419"/>
      <w:textAlignment w:val="baseline"/>
    </w:pPr>
    <w:rPr>
      <w:color w:val="000000"/>
      <w:kern w:val="0"/>
      <w:sz w:val="28"/>
      <w:szCs w:val="20"/>
    </w:rPr>
  </w:style>
  <w:style w:type="paragraph" w:customStyle="1" w:styleId="696">
    <w:name w:val="Char4"/>
    <w:basedOn w:val="1"/>
    <w:qFormat/>
    <w:uiPriority w:val="0"/>
    <w:pPr>
      <w:widowControl/>
      <w:spacing w:before="100" w:beforeAutospacing="1" w:after="100" w:afterAutospacing="1" w:line="330" w:lineRule="atLeast"/>
      <w:ind w:left="360"/>
      <w:jc w:val="left"/>
    </w:pPr>
    <w:rPr>
      <w:rFonts w:ascii="??" w:hAnsi="??" w:cs="宋体"/>
      <w:color w:val="51585D"/>
      <w:kern w:val="0"/>
      <w:szCs w:val="18"/>
    </w:rPr>
  </w:style>
  <w:style w:type="paragraph" w:customStyle="1" w:styleId="697">
    <w:name w:val="编章标题"/>
    <w:next w:val="88"/>
    <w:qFormat/>
    <w:uiPriority w:val="0"/>
    <w:pPr>
      <w:spacing w:before="300" w:after="300"/>
      <w:jc w:val="center"/>
    </w:pPr>
    <w:rPr>
      <w:rFonts w:ascii="Arial" w:hAnsi="Arial" w:eastAsia="黑体" w:cs="Times New Roman"/>
      <w:b/>
      <w:spacing w:val="20"/>
      <w:kern w:val="2"/>
      <w:sz w:val="52"/>
      <w:szCs w:val="44"/>
      <w:lang w:val="en-US" w:eastAsia="zh-CN" w:bidi="ar-SA"/>
    </w:rPr>
  </w:style>
  <w:style w:type="paragraph" w:customStyle="1" w:styleId="698">
    <w:name w:val="reader-word-layer reader-word-s38-16"/>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699">
    <w:name w:val="4"/>
    <w:basedOn w:val="1"/>
    <w:next w:val="22"/>
    <w:qFormat/>
    <w:uiPriority w:val="0"/>
    <w:pPr>
      <w:ind w:firstLine="420"/>
    </w:pPr>
    <w:rPr>
      <w:szCs w:val="20"/>
    </w:rPr>
  </w:style>
  <w:style w:type="paragraph" w:customStyle="1" w:styleId="700">
    <w:name w:val="标4"/>
    <w:basedOn w:val="160"/>
    <w:qFormat/>
    <w:uiPriority w:val="0"/>
    <w:pPr>
      <w:spacing w:after="0" w:line="560" w:lineRule="atLeast"/>
      <w:jc w:val="both"/>
      <w:outlineLvl w:val="3"/>
    </w:pPr>
    <w:rPr>
      <w:rFonts w:ascii="宋体" w:hAnsi="宋体" w:eastAsia="宋体"/>
      <w:sz w:val="24"/>
      <w:szCs w:val="30"/>
    </w:rPr>
  </w:style>
  <w:style w:type="paragraph" w:customStyle="1" w:styleId="701">
    <w:name w:val="xl53"/>
    <w:basedOn w:val="1"/>
    <w:qFormat/>
    <w:uiPriority w:val="0"/>
    <w:pPr>
      <w:widowControl/>
      <w:spacing w:before="102" w:after="102" w:line="351" w:lineRule="atLeast"/>
      <w:ind w:firstLine="419"/>
      <w:jc w:val="left"/>
      <w:textAlignment w:val="baseline"/>
    </w:pPr>
    <w:rPr>
      <w:color w:val="000000"/>
      <w:kern w:val="0"/>
      <w:sz w:val="24"/>
      <w:szCs w:val="20"/>
    </w:rPr>
  </w:style>
  <w:style w:type="paragraph" w:customStyle="1" w:styleId="702">
    <w:name w:val="BBT"/>
    <w:basedOn w:val="1"/>
    <w:qFormat/>
    <w:uiPriority w:val="0"/>
    <w:pPr>
      <w:adjustRightInd w:val="0"/>
      <w:snapToGrid w:val="0"/>
      <w:spacing w:beforeLines="50" w:afterLines="50"/>
      <w:jc w:val="center"/>
    </w:pPr>
    <w:rPr>
      <w:rFonts w:ascii="宋体" w:hAnsi="宋体"/>
      <w:b/>
      <w:bCs/>
      <w:spacing w:val="6"/>
      <w:sz w:val="24"/>
      <w:szCs w:val="20"/>
    </w:rPr>
  </w:style>
  <w:style w:type="paragraph" w:customStyle="1" w:styleId="703">
    <w:name w:val="二章表格标题"/>
    <w:basedOn w:val="1"/>
    <w:qFormat/>
    <w:uiPriority w:val="0"/>
    <w:pPr>
      <w:spacing w:beforeLines="20" w:line="360" w:lineRule="auto"/>
      <w:jc w:val="center"/>
    </w:pPr>
    <w:rPr>
      <w:rFonts w:eastAsia="黑体"/>
      <w:sz w:val="24"/>
    </w:rPr>
  </w:style>
  <w:style w:type="paragraph" w:customStyle="1" w:styleId="704">
    <w:name w:val="!标题4(Alt+4)"/>
    <w:qFormat/>
    <w:uiPriority w:val="0"/>
    <w:pPr>
      <w:spacing w:line="480" w:lineRule="atLeast"/>
      <w:outlineLvl w:val="3"/>
    </w:pPr>
    <w:rPr>
      <w:rFonts w:ascii="黑体" w:hAnsi="Times New Roman" w:eastAsia="黑体" w:cs="Times New Roman"/>
      <w:color w:val="000000"/>
      <w:sz w:val="24"/>
      <w:szCs w:val="24"/>
      <w:lang w:val="en-US" w:eastAsia="zh-CN" w:bidi="ar-SA"/>
    </w:rPr>
  </w:style>
  <w:style w:type="paragraph" w:customStyle="1" w:styleId="705">
    <w:name w:val="表格文字块"/>
    <w:basedOn w:val="1"/>
    <w:qFormat/>
    <w:uiPriority w:val="0"/>
    <w:pPr>
      <w:keepNext/>
      <w:snapToGrid w:val="0"/>
      <w:ind w:firstLine="200" w:firstLineChars="200"/>
      <w:jc w:val="center"/>
    </w:pPr>
    <w:rPr>
      <w:rFonts w:eastAsia="楷体_GB2312"/>
      <w:kern w:val="0"/>
      <w:sz w:val="24"/>
      <w:szCs w:val="20"/>
    </w:rPr>
  </w:style>
  <w:style w:type="paragraph" w:customStyle="1" w:styleId="706">
    <w:name w:val="标题1getiao"/>
    <w:basedOn w:val="85"/>
    <w:next w:val="35"/>
    <w:qFormat/>
    <w:uiPriority w:val="0"/>
    <w:pPr>
      <w:widowControl/>
      <w:adjustRightInd w:val="0"/>
      <w:snapToGrid w:val="0"/>
      <w:spacing w:line="360" w:lineRule="auto"/>
      <w:jc w:val="left"/>
    </w:pPr>
    <w:rPr>
      <w:rFonts w:eastAsia="黑体"/>
      <w:color w:val="000000"/>
      <w:sz w:val="30"/>
      <w:szCs w:val="30"/>
    </w:rPr>
  </w:style>
  <w:style w:type="paragraph" w:customStyle="1" w:styleId="707">
    <w:name w:val="表格文字居中"/>
    <w:qFormat/>
    <w:uiPriority w:val="0"/>
    <w:pPr>
      <w:adjustRightInd w:val="0"/>
      <w:snapToGrid w:val="0"/>
      <w:spacing w:beforeLines="10" w:afterLines="10"/>
      <w:jc w:val="center"/>
    </w:pPr>
    <w:rPr>
      <w:rFonts w:ascii="宋体" w:hAnsi="宋体" w:eastAsia="宋体" w:cs="Times New Roman"/>
      <w:sz w:val="24"/>
      <w:lang w:val="en-US" w:eastAsia="zh-CN" w:bidi="ar-SA"/>
    </w:rPr>
  </w:style>
  <w:style w:type="paragraph" w:customStyle="1" w:styleId="708">
    <w:name w:val="表中"/>
    <w:qFormat/>
    <w:uiPriority w:val="0"/>
    <w:pPr>
      <w:adjustRightInd w:val="0"/>
      <w:snapToGrid w:val="0"/>
      <w:spacing w:line="360" w:lineRule="atLeast"/>
      <w:jc w:val="center"/>
    </w:pPr>
    <w:rPr>
      <w:rFonts w:ascii="Times New Roman" w:hAnsi="Times New Roman" w:eastAsia="宋体" w:cs="宋体"/>
      <w:sz w:val="24"/>
      <w:szCs w:val="21"/>
      <w:lang w:val="en-US" w:eastAsia="zh-CN" w:bidi="ar-SA"/>
    </w:rPr>
  </w:style>
  <w:style w:type="paragraph" w:customStyle="1" w:styleId="709">
    <w:name w:val="样式 报告书正文 + 小四 首行缩进:  2 字符"/>
    <w:basedOn w:val="1"/>
    <w:qFormat/>
    <w:uiPriority w:val="0"/>
    <w:pPr>
      <w:spacing w:line="440" w:lineRule="exact"/>
      <w:ind w:firstLine="200" w:firstLineChars="200"/>
    </w:pPr>
    <w:rPr>
      <w:rFonts w:cs="宋体"/>
      <w:sz w:val="24"/>
    </w:rPr>
  </w:style>
  <w:style w:type="paragraph" w:customStyle="1" w:styleId="710">
    <w:name w:val="正文文本 21"/>
    <w:basedOn w:val="1"/>
    <w:qFormat/>
    <w:uiPriority w:val="0"/>
    <w:pPr>
      <w:adjustRightInd w:val="0"/>
      <w:jc w:val="left"/>
    </w:pPr>
    <w:rPr>
      <w:sz w:val="24"/>
    </w:rPr>
  </w:style>
  <w:style w:type="paragraph" w:customStyle="1" w:styleId="711">
    <w:name w:val="xl33"/>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kern w:val="0"/>
      <w:sz w:val="20"/>
      <w:szCs w:val="20"/>
    </w:rPr>
  </w:style>
  <w:style w:type="paragraph" w:customStyle="1" w:styleId="712">
    <w:name w:val="样式 样式 标题3（getiao） + 首行缩进:  2 字符 + 右侧:  1 字符"/>
    <w:basedOn w:val="1"/>
    <w:qFormat/>
    <w:uiPriority w:val="0"/>
    <w:pPr>
      <w:spacing w:before="240" w:after="60" w:line="360" w:lineRule="auto"/>
      <w:ind w:right="100" w:rightChars="100"/>
      <w:jc w:val="left"/>
      <w:outlineLvl w:val="2"/>
    </w:pPr>
    <w:rPr>
      <w:rFonts w:ascii="Arial" w:hAnsi="Arial" w:cs="宋体"/>
      <w:b/>
      <w:bCs/>
      <w:kern w:val="0"/>
      <w:sz w:val="28"/>
      <w:szCs w:val="20"/>
    </w:rPr>
  </w:style>
  <w:style w:type="paragraph" w:customStyle="1" w:styleId="713">
    <w:name w:val="报告书正文 Char Char Char Char Char Char Char Char Char"/>
    <w:basedOn w:val="1"/>
    <w:qFormat/>
    <w:uiPriority w:val="0"/>
    <w:pPr>
      <w:spacing w:line="300" w:lineRule="auto"/>
      <w:ind w:firstLine="480" w:firstLineChars="200"/>
    </w:pPr>
    <w:rPr>
      <w:color w:val="000000"/>
      <w:sz w:val="24"/>
    </w:rPr>
  </w:style>
  <w:style w:type="paragraph" w:customStyle="1" w:styleId="714">
    <w:name w:val="报告书正文 Char Char Char Char Char Char Char Char Char Char Char Char Char"/>
    <w:basedOn w:val="1"/>
    <w:qFormat/>
    <w:uiPriority w:val="0"/>
    <w:pPr>
      <w:spacing w:line="300" w:lineRule="auto"/>
      <w:ind w:firstLine="480" w:firstLineChars="200"/>
    </w:pPr>
    <w:rPr>
      <w:color w:val="000000"/>
      <w:sz w:val="24"/>
    </w:rPr>
  </w:style>
  <w:style w:type="paragraph" w:customStyle="1" w:styleId="715">
    <w:name w:val="正文文本缩进 211"/>
    <w:basedOn w:val="1"/>
    <w:qFormat/>
    <w:uiPriority w:val="0"/>
    <w:pPr>
      <w:adjustRightInd w:val="0"/>
      <w:ind w:left="718" w:firstLine="720"/>
      <w:textAlignment w:val="baseline"/>
    </w:pPr>
    <w:rPr>
      <w:sz w:val="32"/>
      <w:szCs w:val="20"/>
    </w:rPr>
  </w:style>
  <w:style w:type="paragraph" w:customStyle="1" w:styleId="716">
    <w:name w:val="xl80"/>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木?能字?" w:hAnsi="木?能字?" w:eastAsia="木?能字?" w:cs="宋体"/>
      <w:color w:val="000000"/>
      <w:kern w:val="0"/>
      <w:sz w:val="20"/>
      <w:szCs w:val="20"/>
    </w:rPr>
  </w:style>
  <w:style w:type="paragraph" w:customStyle="1" w:styleId="717">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718">
    <w:name w:val="报告书正文 Char Char Char Char Char"/>
    <w:basedOn w:val="1"/>
    <w:qFormat/>
    <w:uiPriority w:val="0"/>
    <w:pPr>
      <w:spacing w:line="300" w:lineRule="auto"/>
      <w:ind w:firstLine="480" w:firstLineChars="200"/>
    </w:pPr>
    <w:rPr>
      <w:color w:val="000000"/>
      <w:sz w:val="24"/>
    </w:rPr>
  </w:style>
  <w:style w:type="paragraph" w:customStyle="1" w:styleId="719">
    <w:name w:val="Char Char Char Char2"/>
    <w:basedOn w:val="1"/>
    <w:qFormat/>
    <w:uiPriority w:val="0"/>
    <w:pPr>
      <w:widowControl/>
      <w:spacing w:after="160" w:line="240" w:lineRule="exact"/>
      <w:jc w:val="left"/>
    </w:pPr>
    <w:rPr>
      <w:rFonts w:ascii="宋体" w:hAnsi="宋体"/>
      <w:color w:val="000000"/>
      <w:spacing w:val="14"/>
      <w:kern w:val="0"/>
    </w:rPr>
  </w:style>
  <w:style w:type="paragraph" w:customStyle="1" w:styleId="720">
    <w:name w:val="xl59"/>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721">
    <w:name w:val="Char Char22 Char Char"/>
    <w:basedOn w:val="1"/>
    <w:qFormat/>
    <w:uiPriority w:val="0"/>
    <w:pPr>
      <w:spacing w:line="360" w:lineRule="auto"/>
      <w:ind w:firstLine="200" w:firstLineChars="200"/>
    </w:pPr>
    <w:rPr>
      <w:rFonts w:ascii="Calibri" w:hAnsi="Calibri"/>
      <w:szCs w:val="21"/>
    </w:rPr>
  </w:style>
  <w:style w:type="paragraph" w:customStyle="1" w:styleId="722">
    <w:name w:val="Char1 Char Char Char"/>
    <w:basedOn w:val="1"/>
    <w:qFormat/>
    <w:uiPriority w:val="0"/>
    <w:pPr>
      <w:widowControl/>
      <w:spacing w:before="100" w:beforeAutospacing="1" w:after="100" w:afterAutospacing="1" w:line="360" w:lineRule="auto"/>
      <w:ind w:left="360" w:firstLine="624"/>
      <w:jc w:val="left"/>
    </w:pPr>
    <w:rPr>
      <w:rFonts w:ascii="??" w:hAnsi="??" w:eastAsia="仿宋_GB2312" w:cs="宋体"/>
      <w:color w:val="51585D"/>
      <w:kern w:val="0"/>
      <w:sz w:val="32"/>
      <w:szCs w:val="18"/>
    </w:rPr>
  </w:style>
  <w:style w:type="paragraph" w:customStyle="1" w:styleId="723">
    <w:name w:val="font13"/>
    <w:basedOn w:val="1"/>
    <w:qFormat/>
    <w:uiPriority w:val="0"/>
    <w:pPr>
      <w:widowControl/>
      <w:spacing w:before="102" w:after="102" w:line="351" w:lineRule="atLeast"/>
      <w:ind w:firstLine="419"/>
      <w:jc w:val="left"/>
      <w:textAlignment w:val="baseline"/>
    </w:pPr>
    <w:rPr>
      <w:rFonts w:ascii="宋体"/>
      <w:color w:val="000000"/>
      <w:kern w:val="0"/>
      <w:sz w:val="18"/>
      <w:szCs w:val="20"/>
    </w:rPr>
  </w:style>
  <w:style w:type="paragraph" w:customStyle="1" w:styleId="724">
    <w:name w:val="TOC 标题1"/>
    <w:basedOn w:val="3"/>
    <w:next w:val="1"/>
    <w:qFormat/>
    <w:uiPriority w:val="39"/>
    <w:pPr>
      <w:keepLines/>
      <w:widowControl/>
      <w:overflowPunct/>
      <w:snapToGrid/>
      <w:spacing w:before="480" w:after="0" w:line="276" w:lineRule="auto"/>
      <w:ind w:left="0" w:firstLine="0"/>
      <w:jc w:val="left"/>
      <w:outlineLvl w:val="9"/>
    </w:pPr>
    <w:rPr>
      <w:rFonts w:ascii="Cambria" w:hAnsi="Cambria" w:eastAsia="宋体"/>
      <w:color w:val="376092"/>
      <w:kern w:val="0"/>
      <w:sz w:val="28"/>
      <w:szCs w:val="28"/>
    </w:rPr>
  </w:style>
  <w:style w:type="paragraph" w:customStyle="1" w:styleId="725">
    <w:name w:val="二章正文"/>
    <w:basedOn w:val="1"/>
    <w:qFormat/>
    <w:uiPriority w:val="0"/>
    <w:pPr>
      <w:spacing w:line="240" w:lineRule="atLeast"/>
      <w:jc w:val="right"/>
    </w:pPr>
    <w:rPr>
      <w:rFonts w:ascii="宋体" w:hAnsi="宋体"/>
    </w:rPr>
  </w:style>
  <w:style w:type="paragraph" w:customStyle="1" w:styleId="726">
    <w:name w:val="样式 标题3 + (中文) 黑体 段前: 0.5 行 段后: 0.5 行 行距: 1.5 倍行距"/>
    <w:basedOn w:val="5"/>
    <w:qFormat/>
    <w:uiPriority w:val="0"/>
    <w:pPr>
      <w:keepNext w:val="0"/>
      <w:keepLines w:val="0"/>
      <w:overflowPunct w:val="0"/>
      <w:topLinePunct/>
      <w:adjustRightInd/>
      <w:snapToGrid/>
    </w:pPr>
    <w:rPr>
      <w:rFonts w:eastAsia="黑体" w:cs="宋体"/>
      <w:bCs w:val="0"/>
      <w:kern w:val="10"/>
      <w:sz w:val="28"/>
      <w:szCs w:val="28"/>
    </w:rPr>
  </w:style>
  <w:style w:type="paragraph" w:customStyle="1" w:styleId="727">
    <w:name w:val="样式 (中文) 黑体 小四 左 行距: 1.5 倍行距"/>
    <w:basedOn w:val="1"/>
    <w:qFormat/>
    <w:uiPriority w:val="0"/>
    <w:pPr>
      <w:adjustRightInd w:val="0"/>
      <w:spacing w:line="360" w:lineRule="auto"/>
      <w:ind w:firstLine="420" w:firstLineChars="168"/>
      <w:jc w:val="left"/>
      <w:textAlignment w:val="baseline"/>
    </w:pPr>
    <w:rPr>
      <w:rFonts w:cs="宋体"/>
      <w:spacing w:val="5"/>
      <w:kern w:val="0"/>
      <w:sz w:val="24"/>
      <w:szCs w:val="20"/>
    </w:rPr>
  </w:style>
  <w:style w:type="paragraph" w:customStyle="1" w:styleId="728">
    <w:name w:val="reader-word-layer reader-word-s38-7"/>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729">
    <w:name w:val="规划报告正文"/>
    <w:basedOn w:val="1"/>
    <w:qFormat/>
    <w:uiPriority w:val="0"/>
    <w:pPr>
      <w:spacing w:line="360" w:lineRule="auto"/>
      <w:ind w:firstLine="480" w:firstLineChars="200"/>
    </w:pPr>
    <w:rPr>
      <w:color w:val="000000"/>
      <w:kern w:val="0"/>
      <w:sz w:val="24"/>
    </w:rPr>
  </w:style>
  <w:style w:type="paragraph" w:customStyle="1" w:styleId="730">
    <w:name w:val="xl84"/>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731">
    <w:name w:val="表文2"/>
    <w:qFormat/>
    <w:uiPriority w:val="0"/>
    <w:pPr>
      <w:adjustRightInd w:val="0"/>
      <w:snapToGrid w:val="0"/>
      <w:spacing w:line="288" w:lineRule="auto"/>
      <w:jc w:val="center"/>
    </w:pPr>
    <w:rPr>
      <w:rFonts w:ascii="Times New Roman" w:hAnsi="Times New Roman" w:eastAsia="宋体" w:cs="Times New Roman"/>
      <w:sz w:val="21"/>
      <w:szCs w:val="21"/>
      <w:lang w:val="en-US" w:eastAsia="zh-CN" w:bidi="ar-SA"/>
    </w:rPr>
  </w:style>
  <w:style w:type="paragraph" w:customStyle="1" w:styleId="732">
    <w:name w:val="表格_dg"/>
    <w:basedOn w:val="1"/>
    <w:qFormat/>
    <w:uiPriority w:val="0"/>
    <w:pPr>
      <w:adjustRightInd w:val="0"/>
      <w:spacing w:line="360" w:lineRule="exact"/>
      <w:jc w:val="center"/>
      <w:textAlignment w:val="center"/>
    </w:pPr>
    <w:rPr>
      <w:kern w:val="0"/>
      <w:szCs w:val="21"/>
    </w:rPr>
  </w:style>
  <w:style w:type="paragraph" w:customStyle="1" w:styleId="733">
    <w:name w:val="科"/>
    <w:qFormat/>
    <w:uiPriority w:val="0"/>
    <w:pPr>
      <w:spacing w:line="240" w:lineRule="atLeast"/>
      <w:jc w:val="center"/>
    </w:pPr>
    <w:rPr>
      <w:rFonts w:ascii="Times New Roman" w:hAnsi="Times New Roman" w:eastAsia="黑体" w:cs="Times New Roman"/>
      <w:iCs/>
      <w:kern w:val="2"/>
      <w:sz w:val="21"/>
      <w:szCs w:val="24"/>
      <w:lang w:val="en-US" w:eastAsia="zh-CN" w:bidi="ar-SA"/>
    </w:rPr>
  </w:style>
  <w:style w:type="paragraph" w:customStyle="1" w:styleId="734">
    <w:name w:val="w正文"/>
    <w:basedOn w:val="1"/>
    <w:qFormat/>
    <w:uiPriority w:val="0"/>
    <w:pPr>
      <w:spacing w:line="360" w:lineRule="auto"/>
      <w:ind w:firstLine="496" w:firstLineChars="200"/>
    </w:pPr>
    <w:rPr>
      <w:spacing w:val="4"/>
      <w:sz w:val="24"/>
      <w:szCs w:val="20"/>
    </w:rPr>
  </w:style>
  <w:style w:type="paragraph" w:customStyle="1" w:styleId="735">
    <w:name w:val="图表名称"/>
    <w:basedOn w:val="1"/>
    <w:qFormat/>
    <w:uiPriority w:val="0"/>
    <w:pPr>
      <w:jc w:val="center"/>
    </w:pPr>
    <w:rPr>
      <w:color w:val="000000"/>
      <w:szCs w:val="21"/>
    </w:rPr>
  </w:style>
  <w:style w:type="paragraph" w:customStyle="1" w:styleId="736">
    <w:name w:val="Char Char Char1 Char"/>
    <w:basedOn w:val="1"/>
    <w:qFormat/>
    <w:uiPriority w:val="0"/>
    <w:pPr>
      <w:adjustRightInd w:val="0"/>
      <w:snapToGrid w:val="0"/>
      <w:spacing w:line="360" w:lineRule="auto"/>
      <w:ind w:firstLine="200" w:firstLineChars="200"/>
      <w:jc w:val="left"/>
    </w:pPr>
    <w:rPr>
      <w:color w:val="000000"/>
      <w:sz w:val="24"/>
    </w:rPr>
  </w:style>
  <w:style w:type="paragraph" w:customStyle="1" w:styleId="737">
    <w:name w:val="sb-单位"/>
    <w:basedOn w:val="1"/>
    <w:qFormat/>
    <w:uiPriority w:val="0"/>
    <w:pPr>
      <w:spacing w:line="240" w:lineRule="atLeast"/>
      <w:jc w:val="center"/>
    </w:pPr>
    <w:rPr>
      <w:sz w:val="24"/>
    </w:rPr>
  </w:style>
  <w:style w:type="paragraph" w:customStyle="1" w:styleId="738">
    <w:name w:val="公式"/>
    <w:next w:val="1"/>
    <w:qFormat/>
    <w:uiPriority w:val="0"/>
    <w:pPr>
      <w:jc w:val="center"/>
    </w:pPr>
    <w:rPr>
      <w:rFonts w:ascii="Times New Roman" w:hAnsi="Times New Roman" w:eastAsia="宋体" w:cs="Times New Roman"/>
      <w:kern w:val="2"/>
      <w:position w:val="-24"/>
      <w:sz w:val="21"/>
      <w:szCs w:val="24"/>
      <w:lang w:val="en-US" w:eastAsia="zh-CN" w:bidi="ar-SA"/>
    </w:rPr>
  </w:style>
  <w:style w:type="paragraph" w:customStyle="1" w:styleId="739">
    <w:name w:val="xl55"/>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740">
    <w:name w:val="reader-word-layer reader-word-s38-14"/>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741">
    <w:name w:val="1"/>
    <w:basedOn w:val="1"/>
    <w:next w:val="46"/>
    <w:qFormat/>
    <w:uiPriority w:val="0"/>
    <w:rPr>
      <w:rFonts w:ascii="宋体" w:hAnsi="Courier New"/>
      <w:szCs w:val="20"/>
    </w:rPr>
  </w:style>
  <w:style w:type="paragraph" w:customStyle="1" w:styleId="742">
    <w:name w:val="样式 标题 1 + 段前: 0.5 行 段后: 0.5 行1"/>
    <w:basedOn w:val="3"/>
    <w:qFormat/>
    <w:uiPriority w:val="0"/>
    <w:pPr>
      <w:keepLines/>
      <w:overflowPunct/>
      <w:snapToGrid/>
      <w:spacing w:beforeLines="50" w:afterLines="50" w:line="440" w:lineRule="exact"/>
      <w:ind w:left="0" w:firstLine="0"/>
      <w:jc w:val="center"/>
    </w:pPr>
    <w:rPr>
      <w:rFonts w:eastAsia="华文中宋" w:cs="宋体"/>
      <w:color w:val="auto"/>
      <w:sz w:val="32"/>
      <w:szCs w:val="32"/>
    </w:rPr>
  </w:style>
  <w:style w:type="paragraph" w:customStyle="1" w:styleId="743">
    <w:name w:val="w正文1"/>
    <w:basedOn w:val="734"/>
    <w:qFormat/>
    <w:uiPriority w:val="0"/>
    <w:pPr>
      <w:ind w:firstLine="0" w:firstLineChars="0"/>
    </w:pPr>
  </w:style>
  <w:style w:type="paragraph" w:customStyle="1" w:styleId="744">
    <w:name w:val="Char Char Char2 Char"/>
    <w:basedOn w:val="5"/>
    <w:qFormat/>
    <w:uiPriority w:val="0"/>
    <w:pPr>
      <w:tabs>
        <w:tab w:val="left" w:pos="360"/>
        <w:tab w:val="left" w:pos="900"/>
      </w:tabs>
      <w:adjustRightInd/>
      <w:spacing w:before="120" w:after="120"/>
      <w:ind w:left="542" w:leftChars="-12" w:firstLine="200" w:firstLineChars="200"/>
      <w:jc w:val="left"/>
    </w:pPr>
    <w:rPr>
      <w:rFonts w:ascii="宋体" w:hAnsi="宋体"/>
      <w:bCs w:val="0"/>
      <w:iCs/>
      <w:color w:val="0000FF"/>
      <w:kern w:val="0"/>
      <w:sz w:val="24"/>
      <w:szCs w:val="24"/>
    </w:rPr>
  </w:style>
  <w:style w:type="paragraph" w:customStyle="1" w:styleId="745">
    <w:name w:val="xyb自建四级标题"/>
    <w:basedOn w:val="1"/>
    <w:qFormat/>
    <w:uiPriority w:val="0"/>
    <w:pPr>
      <w:tabs>
        <w:tab w:val="left" w:pos="8280"/>
      </w:tabs>
      <w:spacing w:before="100" w:after="100" w:line="415" w:lineRule="auto"/>
      <w:outlineLvl w:val="3"/>
    </w:pPr>
    <w:rPr>
      <w:rFonts w:ascii="楷体_GB2312" w:hAnsi="宋体" w:eastAsia="楷体_GB2312"/>
      <w:b/>
      <w:bCs/>
      <w:sz w:val="24"/>
    </w:rPr>
  </w:style>
  <w:style w:type="paragraph" w:customStyle="1" w:styleId="746">
    <w:name w:val="表内六号"/>
    <w:qFormat/>
    <w:uiPriority w:val="0"/>
    <w:pPr>
      <w:adjustRightInd w:val="0"/>
      <w:snapToGrid w:val="0"/>
      <w:jc w:val="center"/>
    </w:pPr>
    <w:rPr>
      <w:rFonts w:ascii="Times New Roman" w:hAnsi="Times New Roman" w:eastAsia="宋体" w:cs="Times New Roman"/>
      <w:sz w:val="15"/>
      <w:szCs w:val="18"/>
      <w:lang w:val="zh-CN" w:eastAsia="zh-CN" w:bidi="ar-SA"/>
    </w:rPr>
  </w:style>
  <w:style w:type="paragraph" w:customStyle="1" w:styleId="747">
    <w:name w:val="图表2"/>
    <w:basedOn w:val="1"/>
    <w:qFormat/>
    <w:uiPriority w:val="0"/>
    <w:pPr>
      <w:widowControl/>
      <w:spacing w:line="480" w:lineRule="auto"/>
      <w:jc w:val="center"/>
    </w:pPr>
    <w:rPr>
      <w:rFonts w:ascii="宋体" w:hAnsi="宋体" w:cs="宋体"/>
      <w:kern w:val="0"/>
      <w:szCs w:val="21"/>
    </w:rPr>
  </w:style>
  <w:style w:type="paragraph" w:customStyle="1" w:styleId="748">
    <w:name w:val="普通文字 Char Char Char Char Char Char Char Char Char Char Char Char Char Char Char Char Char"/>
    <w:basedOn w:val="1"/>
    <w:next w:val="46"/>
    <w:qFormat/>
    <w:uiPriority w:val="0"/>
    <w:rPr>
      <w:rFonts w:ascii="宋体" w:hAnsi="Courier New"/>
      <w:szCs w:val="20"/>
    </w:rPr>
  </w:style>
  <w:style w:type="paragraph" w:customStyle="1" w:styleId="749">
    <w:name w:val="+TAB-body"/>
    <w:basedOn w:val="1"/>
    <w:qFormat/>
    <w:uiPriority w:val="0"/>
    <w:pPr>
      <w:widowControl/>
      <w:spacing w:before="40" w:after="40" w:line="264" w:lineRule="exact"/>
      <w:jc w:val="left"/>
    </w:pPr>
    <w:rPr>
      <w:rFonts w:ascii="Arial" w:hAnsi="Arial"/>
      <w:kern w:val="0"/>
      <w:sz w:val="22"/>
      <w:szCs w:val="20"/>
      <w:lang w:val="en-GB" w:eastAsia="de-DE"/>
    </w:rPr>
  </w:style>
  <w:style w:type="paragraph" w:customStyle="1" w:styleId="750">
    <w:name w:val="font5"/>
    <w:basedOn w:val="1"/>
    <w:qFormat/>
    <w:uiPriority w:val="0"/>
    <w:pPr>
      <w:widowControl/>
      <w:spacing w:before="100" w:beforeAutospacing="1" w:after="100" w:afterAutospacing="1" w:line="360" w:lineRule="auto"/>
      <w:ind w:firstLine="480" w:firstLineChars="200"/>
      <w:jc w:val="left"/>
    </w:pPr>
    <w:rPr>
      <w:rFonts w:cs="宋体"/>
      <w:spacing w:val="12"/>
      <w:kern w:val="0"/>
      <w:sz w:val="24"/>
    </w:rPr>
  </w:style>
  <w:style w:type="paragraph" w:customStyle="1" w:styleId="751">
    <w:name w:val="表题"/>
    <w:basedOn w:val="1"/>
    <w:qFormat/>
    <w:uiPriority w:val="0"/>
    <w:pPr>
      <w:tabs>
        <w:tab w:val="left" w:pos="720"/>
      </w:tabs>
      <w:adjustRightInd w:val="0"/>
      <w:snapToGrid w:val="0"/>
      <w:spacing w:line="280" w:lineRule="exact"/>
      <w:ind w:left="-105" w:leftChars="-50" w:right="-105" w:rightChars="-50"/>
      <w:jc w:val="center"/>
    </w:pPr>
    <w:rPr>
      <w:color w:val="000000"/>
      <w:sz w:val="24"/>
    </w:rPr>
  </w:style>
  <w:style w:type="paragraph" w:customStyle="1" w:styleId="752">
    <w:name w:val="标题2（getiao）"/>
    <w:basedOn w:val="85"/>
    <w:next w:val="35"/>
    <w:qFormat/>
    <w:uiPriority w:val="0"/>
    <w:pPr>
      <w:ind w:left="100" w:leftChars="100" w:right="100" w:rightChars="100" w:firstLine="200" w:firstLineChars="200"/>
      <w:jc w:val="left"/>
      <w:outlineLvl w:val="1"/>
    </w:pPr>
    <w:rPr>
      <w:sz w:val="28"/>
      <w:szCs w:val="28"/>
    </w:rPr>
  </w:style>
  <w:style w:type="paragraph" w:customStyle="1" w:styleId="753">
    <w:name w:val="目录4"/>
    <w:basedOn w:val="1"/>
    <w:next w:val="1"/>
    <w:qFormat/>
    <w:uiPriority w:val="0"/>
    <w:pPr>
      <w:widowControl/>
      <w:tabs>
        <w:tab w:val="left" w:leader="dot" w:pos="8503"/>
      </w:tabs>
      <w:spacing w:line="317" w:lineRule="atLeast"/>
      <w:ind w:left="419" w:firstLine="629"/>
      <w:textAlignment w:val="baseline"/>
    </w:pPr>
    <w:rPr>
      <w:color w:val="000000"/>
      <w:kern w:val="0"/>
      <w:szCs w:val="20"/>
    </w:rPr>
  </w:style>
  <w:style w:type="paragraph" w:customStyle="1" w:styleId="754">
    <w:name w:val="Char Char Char Char Char Char Char Char Char Char Char Char Char Char Char Char Char Char1 Char Char Char Char"/>
    <w:basedOn w:val="1"/>
    <w:qFormat/>
    <w:uiPriority w:val="0"/>
  </w:style>
  <w:style w:type="paragraph" w:customStyle="1" w:styleId="755">
    <w:name w:val="正1"/>
    <w:basedOn w:val="1"/>
    <w:qFormat/>
    <w:uiPriority w:val="0"/>
    <w:pPr>
      <w:spacing w:line="360" w:lineRule="auto"/>
      <w:ind w:firstLine="420" w:firstLineChars="200"/>
    </w:pPr>
  </w:style>
  <w:style w:type="paragraph" w:customStyle="1" w:styleId="756">
    <w:name w:val="Char Char Char Char Char Char Char Char Char Char Char Char Char Char Char Char Char Char Char1"/>
    <w:basedOn w:val="1"/>
    <w:qFormat/>
    <w:uiPriority w:val="0"/>
    <w:rPr>
      <w:szCs w:val="20"/>
    </w:rPr>
  </w:style>
  <w:style w:type="paragraph" w:customStyle="1" w:styleId="757">
    <w:name w:val="表格 2"/>
    <w:basedOn w:val="1"/>
    <w:next w:val="1"/>
    <w:qFormat/>
    <w:uiPriority w:val="0"/>
    <w:pPr>
      <w:spacing w:line="280" w:lineRule="atLeast"/>
      <w:jc w:val="center"/>
    </w:pPr>
    <w:rPr>
      <w:rFonts w:ascii="宋体"/>
      <w:sz w:val="25"/>
      <w:szCs w:val="25"/>
    </w:rPr>
  </w:style>
  <w:style w:type="paragraph" w:customStyle="1" w:styleId="758">
    <w:name w:val="xl49"/>
    <w:basedOn w:val="1"/>
    <w:qFormat/>
    <w:uiPriority w:val="0"/>
    <w:pPr>
      <w:widowControl/>
      <w:spacing w:before="102" w:after="102" w:line="351" w:lineRule="atLeast"/>
      <w:ind w:firstLine="419"/>
      <w:jc w:val="right"/>
      <w:textAlignment w:val="center"/>
    </w:pPr>
    <w:rPr>
      <w:color w:val="00FF00"/>
      <w:kern w:val="0"/>
      <w:sz w:val="18"/>
      <w:szCs w:val="20"/>
    </w:rPr>
  </w:style>
  <w:style w:type="paragraph" w:customStyle="1" w:styleId="759">
    <w:name w:val="样式 !标题3(alt+3) + 首行缩进:  1 字符4"/>
    <w:basedOn w:val="633"/>
    <w:qFormat/>
    <w:uiPriority w:val="0"/>
    <w:pPr>
      <w:spacing w:before="120" w:after="80" w:line="360" w:lineRule="auto"/>
    </w:pPr>
    <w:rPr>
      <w:rFonts w:ascii="黑体"/>
    </w:rPr>
  </w:style>
  <w:style w:type="paragraph" w:customStyle="1" w:styleId="760">
    <w:name w:val="样式 副标题 + 黑体 小三"/>
    <w:basedOn w:val="6"/>
    <w:qFormat/>
    <w:uiPriority w:val="0"/>
    <w:pPr>
      <w:spacing w:before="0" w:after="0" w:line="360" w:lineRule="auto"/>
      <w:ind w:firstLine="200" w:firstLineChars="200"/>
    </w:pPr>
    <w:rPr>
      <w:rFonts w:ascii="黑体" w:hAnsi="黑体"/>
      <w:kern w:val="0"/>
      <w:sz w:val="30"/>
    </w:rPr>
  </w:style>
  <w:style w:type="paragraph" w:customStyle="1" w:styleId="761">
    <w:name w:val="样式 样式 正文文本（getiao） + 首行缩进:  2 字符 + 首行缩进:  0 字符"/>
    <w:basedOn w:val="534"/>
    <w:qFormat/>
    <w:uiPriority w:val="0"/>
    <w:pPr>
      <w:ind w:firstLine="0" w:firstLineChars="0"/>
    </w:pPr>
  </w:style>
  <w:style w:type="paragraph" w:customStyle="1" w:styleId="762">
    <w:name w:val="正文 + 小五"/>
    <w:basedOn w:val="1"/>
    <w:qFormat/>
    <w:uiPriority w:val="0"/>
    <w:pPr>
      <w:shd w:val="clear" w:color="auto" w:fill="000080"/>
      <w:adjustRightInd w:val="0"/>
      <w:spacing w:line="312" w:lineRule="atLeast"/>
      <w:jc w:val="center"/>
      <w:textAlignment w:val="baseline"/>
    </w:pPr>
    <w:rPr>
      <w:kern w:val="0"/>
      <w:sz w:val="18"/>
      <w:szCs w:val="18"/>
    </w:rPr>
  </w:style>
  <w:style w:type="paragraph" w:customStyle="1" w:styleId="763">
    <w:name w:val="题注－图表"/>
    <w:basedOn w:val="23"/>
    <w:next w:val="1"/>
    <w:qFormat/>
    <w:uiPriority w:val="0"/>
    <w:pPr>
      <w:spacing w:before="0" w:after="0" w:line="360" w:lineRule="auto"/>
    </w:pPr>
    <w:rPr>
      <w:rFonts w:ascii="Arial" w:hAnsi="Arial" w:cs="宋体"/>
      <w:color w:val="FF00FF"/>
      <w:sz w:val="28"/>
    </w:rPr>
  </w:style>
  <w:style w:type="paragraph" w:customStyle="1" w:styleId="764">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765">
    <w:name w:val="样式 样式 标题 3 + 段前: 0 磅 段后: 0 磅 + 段前: 0.5 行 段后: 0.5 行"/>
    <w:basedOn w:val="685"/>
    <w:qFormat/>
    <w:uiPriority w:val="0"/>
    <w:pPr>
      <w:spacing w:before="120" w:after="120"/>
    </w:pPr>
  </w:style>
  <w:style w:type="paragraph" w:customStyle="1" w:styleId="766">
    <w:name w:val="Char1 Char Char Char1"/>
    <w:basedOn w:val="1"/>
    <w:qFormat/>
    <w:uiPriority w:val="0"/>
    <w:rPr>
      <w:szCs w:val="20"/>
    </w:rPr>
  </w:style>
  <w:style w:type="paragraph" w:customStyle="1" w:styleId="767">
    <w:name w:val="xl35"/>
    <w:basedOn w:val="1"/>
    <w:qFormat/>
    <w:uiPriority w:val="0"/>
    <w:pPr>
      <w:widowControl/>
      <w:spacing w:before="102" w:after="102" w:line="351" w:lineRule="atLeast"/>
      <w:ind w:firstLine="419"/>
      <w:jc w:val="center"/>
      <w:textAlignment w:val="center"/>
    </w:pPr>
    <w:rPr>
      <w:rFonts w:ascii="宋体"/>
      <w:color w:val="000000"/>
      <w:kern w:val="0"/>
      <w:sz w:val="22"/>
      <w:szCs w:val="20"/>
    </w:rPr>
  </w:style>
  <w:style w:type="paragraph" w:customStyle="1" w:styleId="768">
    <w:name w:val="Char Char Char1 Char Char Char Char"/>
    <w:basedOn w:val="1"/>
    <w:qFormat/>
    <w:uiPriority w:val="0"/>
    <w:pPr>
      <w:snapToGrid w:val="0"/>
      <w:spacing w:beforeLines="50" w:afterLines="50" w:line="360" w:lineRule="auto"/>
      <w:ind w:firstLine="200" w:firstLineChars="200"/>
    </w:pPr>
    <w:rPr>
      <w:szCs w:val="20"/>
    </w:rPr>
  </w:style>
  <w:style w:type="paragraph" w:customStyle="1" w:styleId="769">
    <w:name w:val="样式 标题 3 + 首行缩进:  0 厘米 行距: 多倍行距 1.73 字行"/>
    <w:basedOn w:val="5"/>
    <w:qFormat/>
    <w:uiPriority w:val="0"/>
    <w:pPr>
      <w:snapToGrid/>
      <w:spacing w:before="260" w:beforeLines="50" w:after="260" w:afterLines="50" w:line="415" w:lineRule="auto"/>
      <w:ind w:left="-9" w:leftChars="-9" w:hanging="9" w:hangingChars="9"/>
      <w:textAlignment w:val="baseline"/>
    </w:pPr>
    <w:rPr>
      <w:rFonts w:cs="宋体"/>
      <w:bCs w:val="0"/>
      <w:spacing w:val="20"/>
      <w:sz w:val="28"/>
      <w:szCs w:val="20"/>
    </w:rPr>
  </w:style>
  <w:style w:type="paragraph" w:customStyle="1" w:styleId="770">
    <w:name w:val="Char3"/>
    <w:basedOn w:val="1"/>
    <w:qFormat/>
    <w:uiPriority w:val="0"/>
    <w:pPr>
      <w:widowControl/>
      <w:spacing w:before="100" w:beforeAutospacing="1" w:after="100" w:afterAutospacing="1" w:line="330" w:lineRule="atLeast"/>
      <w:ind w:left="360"/>
      <w:jc w:val="left"/>
    </w:pPr>
    <w:rPr>
      <w:rFonts w:ascii="??" w:hAnsi="??" w:cs="宋体"/>
      <w:color w:val="51585D"/>
      <w:kern w:val="0"/>
      <w:szCs w:val="18"/>
    </w:rPr>
  </w:style>
  <w:style w:type="paragraph" w:customStyle="1" w:styleId="771">
    <w:name w:val="图表头"/>
    <w:basedOn w:val="1"/>
    <w:qFormat/>
    <w:uiPriority w:val="0"/>
    <w:pPr>
      <w:adjustRightInd w:val="0"/>
      <w:spacing w:line="360" w:lineRule="auto"/>
      <w:jc w:val="center"/>
      <w:textAlignment w:val="baseline"/>
    </w:pPr>
    <w:rPr>
      <w:rFonts w:ascii="黑体" w:eastAsia="黑体"/>
      <w:spacing w:val="5"/>
      <w:kern w:val="0"/>
      <w:szCs w:val="20"/>
    </w:rPr>
  </w:style>
  <w:style w:type="paragraph" w:customStyle="1" w:styleId="772">
    <w:name w:val="图表头2"/>
    <w:basedOn w:val="771"/>
    <w:qFormat/>
    <w:uiPriority w:val="0"/>
    <w:pPr>
      <w:adjustRightInd/>
      <w:spacing w:beforeLines="50"/>
      <w:ind w:right="42" w:rightChars="20"/>
    </w:pPr>
    <w:rPr>
      <w:rFonts w:ascii="宋体" w:hAnsi="宋体" w:eastAsia="宋体"/>
      <w:b/>
      <w:bCs/>
      <w:iCs/>
      <w:kern w:val="2"/>
      <w:sz w:val="24"/>
      <w:szCs w:val="21"/>
    </w:rPr>
  </w:style>
  <w:style w:type="paragraph" w:customStyle="1" w:styleId="773">
    <w:name w:val="xl82"/>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774">
    <w:name w:val="正文文本缩进 24"/>
    <w:basedOn w:val="1"/>
    <w:qFormat/>
    <w:uiPriority w:val="0"/>
    <w:pPr>
      <w:adjustRightInd w:val="0"/>
      <w:ind w:left="718" w:firstLine="720"/>
      <w:textAlignment w:val="baseline"/>
    </w:pPr>
    <w:rPr>
      <w:sz w:val="32"/>
      <w:szCs w:val="20"/>
    </w:rPr>
  </w:style>
  <w:style w:type="paragraph" w:customStyle="1" w:styleId="775">
    <w:name w:val="正文文本缩进 22"/>
    <w:basedOn w:val="1"/>
    <w:qFormat/>
    <w:uiPriority w:val="0"/>
    <w:pPr>
      <w:adjustRightInd w:val="0"/>
      <w:ind w:left="718" w:firstLine="720"/>
      <w:textAlignment w:val="baseline"/>
    </w:pPr>
    <w:rPr>
      <w:sz w:val="32"/>
      <w:szCs w:val="20"/>
    </w:rPr>
  </w:style>
  <w:style w:type="paragraph" w:customStyle="1" w:styleId="776">
    <w:name w:val="样式 标题4 + 段前: 0.5 行"/>
    <w:basedOn w:val="658"/>
    <w:qFormat/>
    <w:uiPriority w:val="0"/>
    <w:rPr>
      <w:rFonts w:cs="宋体"/>
      <w:szCs w:val="20"/>
    </w:rPr>
  </w:style>
  <w:style w:type="paragraph" w:customStyle="1" w:styleId="777">
    <w:name w:val="7"/>
    <w:basedOn w:val="1"/>
    <w:next w:val="46"/>
    <w:qFormat/>
    <w:uiPriority w:val="0"/>
    <w:rPr>
      <w:rFonts w:ascii="宋体" w:hAnsi="Courier New"/>
      <w:szCs w:val="20"/>
    </w:rPr>
  </w:style>
  <w:style w:type="paragraph" w:customStyle="1" w:styleId="778">
    <w:name w:val="!标题2(alt+2)"/>
    <w:next w:val="1"/>
    <w:qFormat/>
    <w:uiPriority w:val="0"/>
    <w:pPr>
      <w:spacing w:before="40" w:after="120" w:line="500" w:lineRule="exact"/>
      <w:outlineLvl w:val="1"/>
    </w:pPr>
    <w:rPr>
      <w:rFonts w:ascii="Times New Roman" w:hAnsi="Times New Roman" w:eastAsia="宋体" w:cs="Times New Roman"/>
      <w:kern w:val="2"/>
      <w:sz w:val="30"/>
      <w:lang w:val="en-US" w:eastAsia="zh-CN" w:bidi="ar-SA"/>
    </w:rPr>
  </w:style>
  <w:style w:type="paragraph" w:customStyle="1" w:styleId="779">
    <w:name w:val="图形中文字"/>
    <w:basedOn w:val="1"/>
    <w:qFormat/>
    <w:uiPriority w:val="0"/>
    <w:pPr>
      <w:widowControl/>
      <w:spacing w:line="351" w:lineRule="atLeast"/>
      <w:ind w:firstLine="419"/>
      <w:jc w:val="center"/>
      <w:textAlignment w:val="baseline"/>
    </w:pPr>
    <w:rPr>
      <w:rFonts w:ascii="宋体"/>
      <w:color w:val="000000"/>
      <w:kern w:val="0"/>
      <w:sz w:val="24"/>
      <w:szCs w:val="20"/>
    </w:rPr>
  </w:style>
  <w:style w:type="paragraph" w:customStyle="1" w:styleId="780">
    <w:name w:val="样式 题注 +"/>
    <w:basedOn w:val="23"/>
    <w:next w:val="1"/>
    <w:qFormat/>
    <w:uiPriority w:val="0"/>
    <w:pPr>
      <w:spacing w:before="0" w:after="0" w:line="360" w:lineRule="auto"/>
      <w:ind w:firstLine="480"/>
    </w:pPr>
    <w:rPr>
      <w:rFonts w:ascii="Arial" w:hAnsi="Arial" w:cs="宋体"/>
      <w:sz w:val="28"/>
    </w:rPr>
  </w:style>
  <w:style w:type="paragraph" w:customStyle="1" w:styleId="781">
    <w:name w:val="样式 正文首行缩进 + 小四 蓝色 段前: 6 磅 行距: 固定值 20 磅"/>
    <w:basedOn w:val="87"/>
    <w:qFormat/>
    <w:uiPriority w:val="0"/>
    <w:pPr>
      <w:spacing w:before="120" w:line="360" w:lineRule="auto"/>
      <w:ind w:firstLine="0" w:firstLineChars="0"/>
    </w:pPr>
    <w:rPr>
      <w:rFonts w:cs="宋体"/>
      <w:kern w:val="0"/>
      <w:sz w:val="24"/>
      <w:szCs w:val="20"/>
    </w:rPr>
  </w:style>
  <w:style w:type="paragraph" w:customStyle="1" w:styleId="782">
    <w:name w:val="xl2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783">
    <w:name w:val="Char Char Char Char Char Char2 Char Char Char Char Char Char Char Char Char Char Char Char1 Char Char Char Char"/>
    <w:basedOn w:val="1"/>
    <w:qFormat/>
    <w:uiPriority w:val="0"/>
  </w:style>
  <w:style w:type="paragraph" w:customStyle="1" w:styleId="784">
    <w:name w:val="表号"/>
    <w:qFormat/>
    <w:uiPriority w:val="0"/>
    <w:pPr>
      <w:adjustRightInd w:val="0"/>
      <w:snapToGrid w:val="0"/>
      <w:jc w:val="center"/>
    </w:pPr>
    <w:rPr>
      <w:rFonts w:ascii="Times" w:hAnsi="Times New Roman" w:eastAsia="楷体_GB2312" w:cs="Times New Roman"/>
      <w:sz w:val="21"/>
      <w:lang w:val="en-US" w:eastAsia="zh-CN" w:bidi="ar-SA"/>
    </w:rPr>
  </w:style>
  <w:style w:type="paragraph" w:customStyle="1" w:styleId="785">
    <w:name w:val="样式 标题 3 + 左侧:  0 厘米 首行缩进:  0 厘米"/>
    <w:basedOn w:val="5"/>
    <w:qFormat/>
    <w:uiPriority w:val="0"/>
    <w:pPr>
      <w:tabs>
        <w:tab w:val="left" w:pos="720"/>
      </w:tabs>
      <w:adjustRightInd/>
      <w:snapToGrid/>
      <w:spacing w:before="120"/>
      <w:ind w:left="720" w:hanging="720" w:firstLineChars="200"/>
    </w:pPr>
    <w:rPr>
      <w:rFonts w:ascii="宋体" w:hAnsi="宋体" w:eastAsia="华文中宋" w:cs="宋体"/>
      <w:b/>
      <w:iCs/>
      <w:color w:val="0000FF"/>
      <w:kern w:val="0"/>
      <w:sz w:val="28"/>
      <w:szCs w:val="20"/>
    </w:rPr>
  </w:style>
  <w:style w:type="paragraph" w:customStyle="1" w:styleId="786">
    <w:name w:val="作者"/>
    <w:qFormat/>
    <w:uiPriority w:val="0"/>
    <w:pPr>
      <w:spacing w:line="360" w:lineRule="auto"/>
      <w:jc w:val="center"/>
    </w:pPr>
    <w:rPr>
      <w:rFonts w:ascii="仿宋_GB2312" w:hAnsi="Times New Roman" w:eastAsia="仿宋_GB2312" w:cs="Times New Roman"/>
      <w:sz w:val="28"/>
      <w:szCs w:val="28"/>
      <w:lang w:val="en-US" w:eastAsia="zh-CN" w:bidi="ar-SA"/>
    </w:rPr>
  </w:style>
  <w:style w:type="paragraph" w:customStyle="1" w:styleId="787">
    <w:name w:val="图标标题"/>
    <w:basedOn w:val="85"/>
    <w:next w:val="35"/>
    <w:qFormat/>
    <w:uiPriority w:val="0"/>
    <w:pPr>
      <w:spacing w:line="360" w:lineRule="auto"/>
      <w:outlineLvl w:val="3"/>
    </w:pPr>
    <w:rPr>
      <w:b w:val="0"/>
      <w:sz w:val="24"/>
    </w:rPr>
  </w:style>
  <w:style w:type="paragraph" w:customStyle="1" w:styleId="788">
    <w:name w:val="样式 标题 1 + 段前: 0.5 行 段后: 0.5 行2"/>
    <w:basedOn w:val="3"/>
    <w:qFormat/>
    <w:uiPriority w:val="0"/>
    <w:pPr>
      <w:keepLines/>
      <w:overflowPunct/>
      <w:snapToGrid/>
      <w:spacing w:beforeLines="50" w:afterLines="50" w:line="440" w:lineRule="exact"/>
      <w:ind w:left="0" w:firstLine="0"/>
      <w:jc w:val="center"/>
    </w:pPr>
    <w:rPr>
      <w:rFonts w:cs="宋体"/>
      <w:color w:val="auto"/>
      <w:sz w:val="32"/>
      <w:szCs w:val="32"/>
    </w:rPr>
  </w:style>
  <w:style w:type="paragraph" w:customStyle="1" w:styleId="789">
    <w:name w:val="xl47"/>
    <w:basedOn w:val="1"/>
    <w:qFormat/>
    <w:uiPriority w:val="0"/>
    <w:pPr>
      <w:widowControl/>
      <w:spacing w:before="102" w:after="102" w:line="351" w:lineRule="atLeast"/>
      <w:ind w:firstLine="419"/>
      <w:jc w:val="center"/>
      <w:textAlignment w:val="center"/>
    </w:pPr>
    <w:rPr>
      <w:b/>
      <w:color w:val="000000"/>
      <w:kern w:val="0"/>
      <w:sz w:val="22"/>
      <w:szCs w:val="20"/>
    </w:rPr>
  </w:style>
  <w:style w:type="paragraph" w:customStyle="1" w:styleId="790">
    <w:name w:val="标题 21"/>
    <w:basedOn w:val="1"/>
    <w:next w:val="1"/>
    <w:qFormat/>
    <w:uiPriority w:val="0"/>
    <w:pPr>
      <w:widowControl/>
      <w:spacing w:before="504" w:after="198" w:line="1054" w:lineRule="atLeast"/>
      <w:ind w:firstLine="419"/>
      <w:textAlignment w:val="baseline"/>
    </w:pPr>
    <w:rPr>
      <w:rFonts w:ascii="Arial" w:eastAsia="黑体"/>
      <w:color w:val="000000"/>
      <w:kern w:val="0"/>
      <w:sz w:val="30"/>
      <w:szCs w:val="20"/>
    </w:rPr>
  </w:style>
  <w:style w:type="paragraph" w:customStyle="1" w:styleId="791">
    <w:name w:val="样式 表格 + 居中1"/>
    <w:basedOn w:val="152"/>
    <w:qFormat/>
    <w:uiPriority w:val="0"/>
    <w:pPr>
      <w:autoSpaceDE w:val="0"/>
      <w:autoSpaceDN w:val="0"/>
      <w:snapToGrid/>
      <w:spacing w:beforeLines="0" w:afterLines="0" w:line="280" w:lineRule="exact"/>
    </w:pPr>
    <w:rPr>
      <w:rFonts w:cs="宋体"/>
      <w:spacing w:val="6"/>
      <w:kern w:val="2"/>
      <w:sz w:val="24"/>
      <w:szCs w:val="20"/>
      <w:lang w:val="zh-CN"/>
    </w:rPr>
  </w:style>
  <w:style w:type="paragraph" w:customStyle="1" w:styleId="792">
    <w:name w:val="正文文本缩进 23"/>
    <w:basedOn w:val="1"/>
    <w:qFormat/>
    <w:uiPriority w:val="0"/>
    <w:pPr>
      <w:adjustRightInd w:val="0"/>
      <w:ind w:left="718" w:firstLine="720"/>
      <w:textAlignment w:val="baseline"/>
    </w:pPr>
    <w:rPr>
      <w:sz w:val="32"/>
      <w:szCs w:val="20"/>
    </w:rPr>
  </w:style>
  <w:style w:type="paragraph" w:customStyle="1" w:styleId="793">
    <w:name w:val="zh正文"/>
    <w:basedOn w:val="1"/>
    <w:qFormat/>
    <w:uiPriority w:val="0"/>
    <w:pPr>
      <w:spacing w:line="360" w:lineRule="exact"/>
      <w:ind w:firstLine="560" w:firstLineChars="200"/>
    </w:pPr>
    <w:rPr>
      <w:rFonts w:ascii="宋体" w:hAnsi="宋体"/>
      <w:sz w:val="28"/>
      <w:szCs w:val="20"/>
    </w:rPr>
  </w:style>
  <w:style w:type="paragraph" w:customStyle="1" w:styleId="794">
    <w:name w:val="报告书正文 Char Char Char"/>
    <w:basedOn w:val="1"/>
    <w:qFormat/>
    <w:uiPriority w:val="0"/>
    <w:pPr>
      <w:spacing w:line="360" w:lineRule="auto"/>
    </w:pPr>
    <w:rPr>
      <w:sz w:val="24"/>
    </w:rPr>
  </w:style>
  <w:style w:type="paragraph" w:customStyle="1" w:styleId="795">
    <w:name w:val="my"/>
    <w:basedOn w:val="1"/>
    <w:qFormat/>
    <w:uiPriority w:val="0"/>
    <w:pPr>
      <w:ind w:firstLine="720" w:firstLineChars="257"/>
    </w:pPr>
    <w:rPr>
      <w:rFonts w:ascii="仿宋_GB2312" w:eastAsia="仿宋_GB2312" w:cs="宋体"/>
      <w:sz w:val="28"/>
      <w:szCs w:val="20"/>
    </w:rPr>
  </w:style>
  <w:style w:type="paragraph" w:customStyle="1" w:styleId="796">
    <w:name w:val="unnamed1"/>
    <w:basedOn w:val="1"/>
    <w:qFormat/>
    <w:uiPriority w:val="0"/>
    <w:pPr>
      <w:widowControl/>
      <w:spacing w:before="150" w:after="100" w:afterAutospacing="1" w:line="408" w:lineRule="auto"/>
      <w:jc w:val="left"/>
    </w:pPr>
    <w:rPr>
      <w:rFonts w:ascii="??" w:hAnsi="??" w:cs="宋体"/>
      <w:color w:val="000000"/>
      <w:kern w:val="0"/>
      <w:szCs w:val="21"/>
    </w:rPr>
  </w:style>
  <w:style w:type="paragraph" w:customStyle="1" w:styleId="797">
    <w:name w:val="Char Char Char Char"/>
    <w:basedOn w:val="1"/>
    <w:link w:val="798"/>
    <w:qFormat/>
    <w:uiPriority w:val="0"/>
  </w:style>
  <w:style w:type="character" w:customStyle="1" w:styleId="798">
    <w:name w:val="Char Char Char Char Char"/>
    <w:link w:val="797"/>
    <w:qFormat/>
    <w:locked/>
    <w:uiPriority w:val="0"/>
    <w:rPr>
      <w:kern w:val="2"/>
      <w:sz w:val="21"/>
      <w:szCs w:val="24"/>
    </w:rPr>
  </w:style>
  <w:style w:type="paragraph" w:customStyle="1" w:styleId="799">
    <w:name w:val="xl28"/>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kern w:val="0"/>
      <w:sz w:val="20"/>
      <w:szCs w:val="20"/>
    </w:rPr>
  </w:style>
  <w:style w:type="paragraph" w:customStyle="1" w:styleId="800">
    <w:name w:val="我的正文"/>
    <w:basedOn w:val="1"/>
    <w:qFormat/>
    <w:uiPriority w:val="0"/>
    <w:pPr>
      <w:spacing w:line="360" w:lineRule="auto"/>
      <w:ind w:firstLine="200" w:firstLineChars="200"/>
    </w:pPr>
    <w:rPr>
      <w:sz w:val="24"/>
    </w:rPr>
  </w:style>
  <w:style w:type="paragraph" w:customStyle="1" w:styleId="801">
    <w:name w:val="font8"/>
    <w:basedOn w:val="1"/>
    <w:qFormat/>
    <w:uiPriority w:val="0"/>
    <w:pPr>
      <w:widowControl/>
      <w:spacing w:before="100" w:beforeAutospacing="1" w:after="100" w:afterAutospacing="1"/>
      <w:jc w:val="left"/>
    </w:pPr>
    <w:rPr>
      <w:i/>
      <w:iCs/>
      <w:kern w:val="0"/>
      <w:sz w:val="20"/>
      <w:szCs w:val="20"/>
    </w:rPr>
  </w:style>
  <w:style w:type="paragraph" w:customStyle="1" w:styleId="802">
    <w:name w:val="表目录"/>
    <w:qFormat/>
    <w:uiPriority w:val="0"/>
    <w:pPr>
      <w:adjustRightInd w:val="0"/>
      <w:snapToGrid w:val="0"/>
      <w:spacing w:beforeLines="20" w:afterLines="20"/>
      <w:jc w:val="center"/>
    </w:pPr>
    <w:rPr>
      <w:rFonts w:ascii="Arial" w:hAnsi="Arial" w:eastAsia="黑体" w:cs="Times New Roman"/>
      <w:spacing w:val="14"/>
      <w:w w:val="95"/>
      <w:sz w:val="28"/>
      <w:lang w:val="en-US" w:eastAsia="zh-CN" w:bidi="ar-SA"/>
    </w:rPr>
  </w:style>
  <w:style w:type="paragraph" w:customStyle="1" w:styleId="803">
    <w:name w:val="xl38"/>
    <w:basedOn w:val="1"/>
    <w:qFormat/>
    <w:uiPriority w:val="0"/>
    <w:pPr>
      <w:widowControl/>
      <w:spacing w:before="102" w:after="102" w:line="351" w:lineRule="atLeast"/>
      <w:ind w:firstLine="419"/>
      <w:jc w:val="left"/>
      <w:textAlignment w:val="center"/>
    </w:pPr>
    <w:rPr>
      <w:rFonts w:ascii="宋体"/>
      <w:color w:val="000000"/>
      <w:kern w:val="0"/>
      <w:sz w:val="22"/>
      <w:szCs w:val="20"/>
    </w:rPr>
  </w:style>
  <w:style w:type="paragraph" w:customStyle="1" w:styleId="804">
    <w:name w:val="表格内文字"/>
    <w:next w:val="194"/>
    <w:qFormat/>
    <w:uiPriority w:val="0"/>
    <w:pPr>
      <w:widowControl w:val="0"/>
      <w:adjustRightInd w:val="0"/>
      <w:snapToGrid w:val="0"/>
      <w:spacing w:before="40" w:after="40"/>
      <w:jc w:val="center"/>
      <w:textAlignment w:val="center"/>
    </w:pPr>
    <w:rPr>
      <w:rFonts w:ascii="Times New Roman" w:hAnsi="Times New Roman" w:eastAsia="宋体" w:cs="Times New Roman"/>
      <w:kern w:val="21"/>
      <w:sz w:val="21"/>
      <w:szCs w:val="21"/>
      <w:lang w:val="en-US" w:eastAsia="zh-CN" w:bidi="ar-SA"/>
    </w:rPr>
  </w:style>
  <w:style w:type="paragraph" w:customStyle="1" w:styleId="805">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06">
    <w:name w:val="图目录"/>
    <w:basedOn w:val="1"/>
    <w:qFormat/>
    <w:uiPriority w:val="0"/>
    <w:pPr>
      <w:adjustRightInd w:val="0"/>
      <w:snapToGrid w:val="0"/>
      <w:spacing w:beforeLines="20" w:afterLines="20" w:line="360" w:lineRule="auto"/>
      <w:ind w:firstLine="624"/>
      <w:jc w:val="center"/>
    </w:pPr>
    <w:rPr>
      <w:rFonts w:ascii="宋体"/>
      <w:spacing w:val="14"/>
      <w:kern w:val="0"/>
      <w:sz w:val="24"/>
      <w:szCs w:val="20"/>
    </w:rPr>
  </w:style>
  <w:style w:type="paragraph" w:customStyle="1" w:styleId="80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808">
    <w:name w:val="普通(Web)2"/>
    <w:basedOn w:val="1"/>
    <w:qFormat/>
    <w:uiPriority w:val="0"/>
    <w:pPr>
      <w:widowControl/>
      <w:spacing w:before="150" w:after="150" w:line="432" w:lineRule="atLeast"/>
      <w:jc w:val="left"/>
    </w:pPr>
    <w:rPr>
      <w:rFonts w:ascii="宋体" w:hAnsi="宋体" w:cs="宋体"/>
      <w:kern w:val="0"/>
      <w:sz w:val="24"/>
    </w:rPr>
  </w:style>
  <w:style w:type="paragraph" w:customStyle="1" w:styleId="809">
    <w:name w:val="!标题4(alt+4)"/>
    <w:basedOn w:val="1"/>
    <w:qFormat/>
    <w:uiPriority w:val="0"/>
    <w:pPr>
      <w:tabs>
        <w:tab w:val="left" w:pos="1680"/>
      </w:tabs>
      <w:spacing w:line="420" w:lineRule="exact"/>
      <w:ind w:left="1680" w:hanging="420"/>
      <w:outlineLvl w:val="3"/>
    </w:pPr>
    <w:rPr>
      <w:sz w:val="24"/>
      <w:szCs w:val="20"/>
    </w:rPr>
  </w:style>
  <w:style w:type="paragraph" w:customStyle="1" w:styleId="810">
    <w:name w:val="表格名称"/>
    <w:basedOn w:val="1"/>
    <w:qFormat/>
    <w:uiPriority w:val="0"/>
    <w:pPr>
      <w:jc w:val="center"/>
    </w:pPr>
    <w:rPr>
      <w:rFonts w:eastAsia="黑体"/>
      <w:szCs w:val="20"/>
    </w:rPr>
  </w:style>
  <w:style w:type="paragraph" w:customStyle="1" w:styleId="811">
    <w:name w:val="样式  + 四号 首行缩进:  0.85 厘米 行距: 固定值 23 磅"/>
    <w:qFormat/>
    <w:uiPriority w:val="0"/>
    <w:pPr>
      <w:spacing w:line="748" w:lineRule="atLeast"/>
      <w:jc w:val="both"/>
      <w:textAlignment w:val="baseline"/>
    </w:pPr>
    <w:rPr>
      <w:rFonts w:ascii="Times New Roman" w:hAnsi="Times New Roman" w:eastAsia="宋体" w:cs="Times New Roman"/>
      <w:color w:val="000000"/>
      <w:sz w:val="28"/>
      <w:lang w:val="en-US" w:eastAsia="zh-CN" w:bidi="ar-SA"/>
    </w:rPr>
  </w:style>
  <w:style w:type="paragraph" w:customStyle="1" w:styleId="812">
    <w:name w:val="样式 正文首行缩进 2 + 首行缩进:  2 字符 字距调整2 磅"/>
    <w:basedOn w:val="88"/>
    <w:qFormat/>
    <w:uiPriority w:val="0"/>
    <w:pPr>
      <w:adjustRightInd w:val="0"/>
      <w:spacing w:after="0"/>
      <w:ind w:left="0" w:leftChars="0" w:firstLine="200"/>
      <w:jc w:val="left"/>
      <w:textAlignment w:val="baseline"/>
    </w:pPr>
    <w:rPr>
      <w:rFonts w:eastAsia="宋体" w:cs="宋体"/>
      <w:spacing w:val="4"/>
      <w:kern w:val="4"/>
      <w:sz w:val="28"/>
      <w:szCs w:val="28"/>
    </w:rPr>
  </w:style>
  <w:style w:type="paragraph" w:customStyle="1" w:styleId="813">
    <w:name w:val="三级标题getiao"/>
    <w:basedOn w:val="5"/>
    <w:qFormat/>
    <w:uiPriority w:val="0"/>
    <w:pPr>
      <w:adjustRightInd/>
      <w:snapToGrid/>
      <w:spacing w:before="120" w:after="120"/>
    </w:pPr>
    <w:rPr>
      <w:rFonts w:ascii="宋体" w:hAnsi="宋体"/>
      <w:bCs w:val="0"/>
      <w:sz w:val="24"/>
      <w:szCs w:val="24"/>
    </w:rPr>
  </w:style>
  <w:style w:type="paragraph" w:customStyle="1" w:styleId="814">
    <w:name w:val="样式8"/>
    <w:basedOn w:val="1"/>
    <w:qFormat/>
    <w:uiPriority w:val="0"/>
    <w:pPr>
      <w:tabs>
        <w:tab w:val="center" w:pos="4153"/>
        <w:tab w:val="right" w:pos="8306"/>
      </w:tabs>
      <w:snapToGrid w:val="0"/>
      <w:ind w:firstLine="296" w:firstLineChars="200"/>
    </w:pPr>
    <w:rPr>
      <w:rFonts w:hAnsi="宋体"/>
      <w:spacing w:val="-16"/>
      <w:sz w:val="18"/>
    </w:rPr>
  </w:style>
  <w:style w:type="paragraph" w:customStyle="1" w:styleId="815">
    <w:name w:val="封面"/>
    <w:basedOn w:val="16"/>
    <w:qFormat/>
    <w:uiPriority w:val="0"/>
    <w:pPr>
      <w:adjustRightInd w:val="0"/>
      <w:snapToGrid w:val="0"/>
      <w:spacing w:line="300" w:lineRule="auto"/>
      <w:ind w:left="560" w:firstLine="480"/>
      <w:jc w:val="center"/>
    </w:pPr>
    <w:rPr>
      <w:rFonts w:eastAsia="黑体"/>
      <w:color w:val="000000"/>
      <w:sz w:val="36"/>
      <w:szCs w:val="20"/>
    </w:rPr>
  </w:style>
  <w:style w:type="paragraph" w:customStyle="1" w:styleId="816">
    <w:name w:val="xl61"/>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817">
    <w:name w:val="xl57"/>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818">
    <w:name w:val="xl73"/>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819">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820">
    <w:name w:val="xl74"/>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821">
    <w:name w:val="14"/>
    <w:basedOn w:val="1"/>
    <w:next w:val="65"/>
    <w:qFormat/>
    <w:uiPriority w:val="0"/>
    <w:pPr>
      <w:adjustRightInd w:val="0"/>
      <w:spacing w:before="240" w:after="60" w:line="312" w:lineRule="atLeast"/>
      <w:jc w:val="center"/>
      <w:textAlignment w:val="baseline"/>
      <w:outlineLvl w:val="1"/>
    </w:pPr>
    <w:rPr>
      <w:rFonts w:ascii="Arial" w:hAnsi="Arial" w:cs="Arial"/>
      <w:b/>
      <w:bCs/>
      <w:kern w:val="28"/>
      <w:sz w:val="32"/>
      <w:szCs w:val="32"/>
    </w:rPr>
  </w:style>
  <w:style w:type="paragraph" w:customStyle="1" w:styleId="822">
    <w:name w:val="关键词"/>
    <w:basedOn w:val="1"/>
    <w:qFormat/>
    <w:uiPriority w:val="0"/>
    <w:pPr>
      <w:adjustRightInd w:val="0"/>
      <w:spacing w:line="312" w:lineRule="atLeast"/>
      <w:textAlignment w:val="baseline"/>
    </w:pPr>
    <w:rPr>
      <w:rFonts w:eastAsia="黑体"/>
      <w:kern w:val="0"/>
      <w:sz w:val="18"/>
      <w:szCs w:val="20"/>
    </w:rPr>
  </w:style>
  <w:style w:type="paragraph" w:customStyle="1" w:styleId="823">
    <w:name w:val="样式 标题 + (西文) 宋体"/>
    <w:basedOn w:val="85"/>
    <w:qFormat/>
    <w:uiPriority w:val="0"/>
    <w:pPr>
      <w:widowControl/>
    </w:pPr>
    <w:rPr>
      <w:rFonts w:ascii="宋体" w:hAnsi="宋体" w:eastAsia="黑体"/>
      <w:b w:val="0"/>
      <w:bCs/>
      <w:color w:val="000000"/>
    </w:rPr>
  </w:style>
  <w:style w:type="paragraph" w:customStyle="1" w:styleId="824">
    <w:name w:val="标题 12"/>
    <w:basedOn w:val="1"/>
    <w:next w:val="790"/>
    <w:qFormat/>
    <w:uiPriority w:val="0"/>
    <w:pPr>
      <w:widowControl/>
      <w:spacing w:before="391" w:after="153" w:line="788" w:lineRule="atLeast"/>
      <w:jc w:val="center"/>
      <w:textAlignment w:val="baseline"/>
    </w:pPr>
    <w:rPr>
      <w:rFonts w:ascii="Arial" w:eastAsia="黑体"/>
      <w:color w:val="000000"/>
      <w:kern w:val="0"/>
      <w:sz w:val="31"/>
      <w:szCs w:val="20"/>
    </w:rPr>
  </w:style>
  <w:style w:type="paragraph" w:customStyle="1" w:styleId="825">
    <w:name w:val="正文缩进（自定义） Char"/>
    <w:basedOn w:val="1"/>
    <w:qFormat/>
    <w:uiPriority w:val="0"/>
    <w:pPr>
      <w:spacing w:before="120" w:after="120" w:line="360" w:lineRule="auto"/>
      <w:ind w:firstLine="480" w:firstLineChars="200"/>
    </w:pPr>
    <w:rPr>
      <w:rFonts w:ascii="Century Gothic" w:hAnsi="Century Gothic" w:cs="宋体"/>
      <w:kern w:val="0"/>
      <w:sz w:val="24"/>
    </w:rPr>
  </w:style>
  <w:style w:type="paragraph" w:customStyle="1" w:styleId="826">
    <w:name w:val="样式 标题 6标题 6 Char Char Char Char Char Char Char Char Char + 加粗 Char Char Char Char Char Char Char Char Char Char Char Char Char Char Char Char Char Char Char Char Char Char Char Char Char Char Char Char Char Char Char Char Char Char Char Char Char1"/>
    <w:basedOn w:val="9"/>
    <w:qFormat/>
    <w:uiPriority w:val="0"/>
    <w:pPr>
      <w:keepNext w:val="0"/>
      <w:keepLines w:val="0"/>
      <w:tabs>
        <w:tab w:val="clear" w:pos="1152"/>
      </w:tabs>
      <w:adjustRightInd w:val="0"/>
      <w:snapToGrid w:val="0"/>
      <w:ind w:firstLine="482"/>
    </w:pPr>
    <w:rPr>
      <w:rFonts w:ascii="宋体" w:hAnsi="宋体" w:eastAsia="仿宋_GB2312"/>
      <w:b w:val="0"/>
      <w:bCs/>
      <w:kern w:val="0"/>
      <w:sz w:val="24"/>
      <w:szCs w:val="24"/>
    </w:rPr>
  </w:style>
  <w:style w:type="paragraph" w:customStyle="1" w:styleId="827">
    <w:name w:val="Char Char Char1"/>
    <w:basedOn w:val="1"/>
    <w:qFormat/>
    <w:uiPriority w:val="0"/>
    <w:pPr>
      <w:spacing w:line="360" w:lineRule="auto"/>
      <w:ind w:firstLine="200" w:firstLineChars="200"/>
    </w:pPr>
    <w:rPr>
      <w:rFonts w:ascii="宋体" w:hAnsi="宋体"/>
      <w:sz w:val="24"/>
    </w:rPr>
  </w:style>
  <w:style w:type="paragraph" w:customStyle="1" w:styleId="828">
    <w:name w:val="xl2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0"/>
      <w:szCs w:val="20"/>
    </w:rPr>
  </w:style>
  <w:style w:type="paragraph" w:customStyle="1" w:styleId="829">
    <w:name w:val="5"/>
    <w:basedOn w:val="1"/>
    <w:next w:val="22"/>
    <w:qFormat/>
    <w:uiPriority w:val="0"/>
    <w:pPr>
      <w:ind w:firstLine="420"/>
    </w:pPr>
    <w:rPr>
      <w:sz w:val="17"/>
      <w:szCs w:val="20"/>
    </w:rPr>
  </w:style>
  <w:style w:type="paragraph" w:customStyle="1" w:styleId="830">
    <w:name w:val="11"/>
    <w:basedOn w:val="1"/>
    <w:next w:val="40"/>
    <w:qFormat/>
    <w:uiPriority w:val="0"/>
    <w:pPr>
      <w:ind w:left="113" w:right="113"/>
    </w:pPr>
    <w:rPr>
      <w:rFonts w:ascii="宋体" w:hAnsi="宋体" w:cs="Arial Unicode MS"/>
      <w:color w:val="0000FF"/>
    </w:rPr>
  </w:style>
  <w:style w:type="paragraph" w:customStyle="1" w:styleId="831">
    <w:name w:val="正文缩进（自定义） Char Char Char"/>
    <w:basedOn w:val="1"/>
    <w:qFormat/>
    <w:uiPriority w:val="0"/>
    <w:pPr>
      <w:spacing w:before="120" w:after="120" w:line="360" w:lineRule="auto"/>
      <w:ind w:firstLine="480" w:firstLineChars="200"/>
    </w:pPr>
    <w:rPr>
      <w:rFonts w:ascii="Century Gothic" w:hAnsi="Century Gothic"/>
      <w:kern w:val="0"/>
      <w:sz w:val="24"/>
    </w:rPr>
  </w:style>
  <w:style w:type="paragraph" w:customStyle="1" w:styleId="832">
    <w:name w:val="Char Char6"/>
    <w:basedOn w:val="1"/>
    <w:next w:val="2"/>
    <w:qFormat/>
    <w:uiPriority w:val="0"/>
    <w:rPr>
      <w:sz w:val="28"/>
      <w:szCs w:val="28"/>
    </w:rPr>
  </w:style>
  <w:style w:type="paragraph" w:customStyle="1" w:styleId="833">
    <w:name w:val="小标题 1"/>
    <w:basedOn w:val="3"/>
    <w:qFormat/>
    <w:uiPriority w:val="0"/>
    <w:pPr>
      <w:keepLines/>
      <w:overflowPunct/>
      <w:snapToGrid/>
      <w:spacing w:beforeLines="50" w:after="0" w:line="360" w:lineRule="auto"/>
      <w:ind w:left="0" w:firstLine="0"/>
    </w:pPr>
    <w:rPr>
      <w:rFonts w:eastAsia="宋体" w:cs="宋体"/>
      <w:b w:val="0"/>
      <w:color w:val="auto"/>
      <w:sz w:val="32"/>
      <w:szCs w:val="20"/>
    </w:rPr>
  </w:style>
  <w:style w:type="paragraph" w:customStyle="1" w:styleId="834">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835">
    <w:name w:val="已访问的超级链接"/>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6">
    <w:name w:val="表附注"/>
    <w:next w:val="194"/>
    <w:qFormat/>
    <w:uiPriority w:val="0"/>
    <w:pPr>
      <w:ind w:firstLine="400" w:firstLineChars="200"/>
    </w:pPr>
    <w:rPr>
      <w:rFonts w:ascii="Times New Roman" w:hAnsi="Times New Roman" w:eastAsia="宋体" w:cs="Times New Roman"/>
      <w:spacing w:val="10"/>
      <w:kern w:val="2"/>
      <w:sz w:val="18"/>
      <w:szCs w:val="18"/>
      <w:lang w:val="en-US" w:eastAsia="zh-CN" w:bidi="ar-SA"/>
    </w:rPr>
  </w:style>
  <w:style w:type="paragraph" w:customStyle="1" w:styleId="837">
    <w:name w:val="!表格(alt+t)"/>
    <w:next w:val="1"/>
    <w:qFormat/>
    <w:uiPriority w:val="0"/>
    <w:pPr>
      <w:adjustRightInd w:val="0"/>
      <w:spacing w:line="320" w:lineRule="exact"/>
      <w:jc w:val="center"/>
      <w:textAlignment w:val="center"/>
    </w:pPr>
    <w:rPr>
      <w:rFonts w:ascii="Times New Roman" w:hAnsi="Times New Roman" w:eastAsia="宋体" w:cs="Times New Roman"/>
      <w:sz w:val="21"/>
      <w:szCs w:val="21"/>
      <w:lang w:val="en-US" w:eastAsia="zh-CN" w:bidi="ar-SA"/>
    </w:rPr>
  </w:style>
  <w:style w:type="paragraph" w:customStyle="1" w:styleId="838">
    <w:name w:val="样式1 Char Char Char Char Char Char"/>
    <w:basedOn w:val="1"/>
    <w:qFormat/>
    <w:uiPriority w:val="0"/>
    <w:pPr>
      <w:spacing w:line="560" w:lineRule="atLeast"/>
      <w:ind w:firstLine="480" w:firstLineChars="200"/>
    </w:pPr>
    <w:rPr>
      <w:rFonts w:ascii="宋体" w:hAnsi="宋体"/>
      <w:sz w:val="24"/>
    </w:rPr>
  </w:style>
  <w:style w:type="paragraph" w:customStyle="1" w:styleId="839">
    <w:name w:val="Char Char Char Char6"/>
    <w:basedOn w:val="1"/>
    <w:qFormat/>
    <w:uiPriority w:val="0"/>
    <w:pPr>
      <w:widowControl/>
      <w:spacing w:after="160" w:line="240" w:lineRule="exact"/>
      <w:ind w:firstLine="480" w:firstLineChars="200"/>
      <w:jc w:val="left"/>
    </w:pPr>
    <w:rPr>
      <w:rFonts w:ascii="宋体" w:hAnsi="宋体"/>
      <w:spacing w:val="14"/>
      <w:kern w:val="0"/>
      <w:sz w:val="24"/>
    </w:rPr>
  </w:style>
  <w:style w:type="paragraph" w:customStyle="1" w:styleId="840">
    <w:name w:val="样式 标题 3 + 段前: 0.5 行 段后: 0.5 行"/>
    <w:basedOn w:val="5"/>
    <w:qFormat/>
    <w:uiPriority w:val="0"/>
    <w:pPr>
      <w:adjustRightInd/>
      <w:snapToGrid/>
      <w:spacing w:before="260" w:beforeLines="50" w:after="260" w:afterLines="50" w:line="440" w:lineRule="exact"/>
    </w:pPr>
    <w:rPr>
      <w:rFonts w:eastAsia="黑体" w:cs="宋体"/>
      <w:bCs w:val="0"/>
      <w:kern w:val="0"/>
      <w:sz w:val="28"/>
      <w:szCs w:val="28"/>
    </w:rPr>
  </w:style>
  <w:style w:type="paragraph" w:customStyle="1" w:styleId="841">
    <w:name w:val="xl2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842">
    <w:name w:val="默认段落字体 Para Char Char Char Char Char Char Char Char Char Char"/>
    <w:basedOn w:val="1"/>
    <w:qFormat/>
    <w:uiPriority w:val="0"/>
  </w:style>
  <w:style w:type="paragraph" w:customStyle="1" w:styleId="843">
    <w:name w:val="样式 样式 样式 标题 3标题 33 + 段前: 0.5 行 + 段前: 0.5 行 + 段前: 6 磅 段后: 6 磅"/>
    <w:basedOn w:val="596"/>
    <w:qFormat/>
    <w:uiPriority w:val="0"/>
    <w:rPr>
      <w:color w:val="auto"/>
    </w:rPr>
  </w:style>
  <w:style w:type="paragraph" w:customStyle="1" w:styleId="844">
    <w:name w:val="表1"/>
    <w:basedOn w:val="1"/>
    <w:qFormat/>
    <w:uiPriority w:val="0"/>
    <w:pPr>
      <w:tabs>
        <w:tab w:val="left" w:pos="420"/>
      </w:tabs>
      <w:overflowPunct w:val="0"/>
      <w:autoSpaceDE w:val="0"/>
      <w:autoSpaceDN w:val="0"/>
      <w:adjustRightInd w:val="0"/>
      <w:spacing w:before="200" w:line="320" w:lineRule="atLeast"/>
      <w:textAlignment w:val="baseline"/>
    </w:pPr>
    <w:rPr>
      <w:kern w:val="0"/>
      <w:sz w:val="24"/>
      <w:szCs w:val="20"/>
    </w:rPr>
  </w:style>
  <w:style w:type="paragraph" w:customStyle="1" w:styleId="845">
    <w:name w:val="xl83"/>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846">
    <w:name w:val="表文LA"/>
    <w:qFormat/>
    <w:uiPriority w:val="0"/>
    <w:pPr>
      <w:tabs>
        <w:tab w:val="left" w:pos="0"/>
      </w:tabs>
      <w:adjustRightInd w:val="0"/>
      <w:snapToGrid w:val="0"/>
      <w:spacing w:before="31" w:after="31"/>
      <w:jc w:val="center"/>
    </w:pPr>
    <w:rPr>
      <w:rFonts w:ascii="宋体" w:hAnsi="Times New Roman" w:eastAsia="宋体" w:cs="Times New Roman"/>
      <w:sz w:val="21"/>
      <w:lang w:val="en-US" w:eastAsia="zh-CN" w:bidi="ar-SA"/>
    </w:rPr>
  </w:style>
  <w:style w:type="paragraph" w:customStyle="1" w:styleId="847">
    <w:name w:val="样式 列表 2 + 首行缩进:  2 字符"/>
    <w:basedOn w:val="38"/>
    <w:qFormat/>
    <w:uiPriority w:val="0"/>
    <w:pPr>
      <w:spacing w:line="280" w:lineRule="exact"/>
      <w:ind w:left="0" w:leftChars="0" w:firstLine="0" w:firstLineChars="0"/>
    </w:pPr>
    <w:rPr>
      <w:rFonts w:cs="宋体"/>
      <w:spacing w:val="0"/>
      <w:kern w:val="0"/>
      <w:sz w:val="21"/>
      <w:szCs w:val="20"/>
    </w:rPr>
  </w:style>
  <w:style w:type="paragraph" w:customStyle="1" w:styleId="848">
    <w:name w:val="样式 表格 32 + 首行缩进:  2 字符"/>
    <w:basedOn w:val="1"/>
    <w:qFormat/>
    <w:uiPriority w:val="0"/>
    <w:pPr>
      <w:autoSpaceDE w:val="0"/>
      <w:autoSpaceDN w:val="0"/>
      <w:adjustRightInd w:val="0"/>
      <w:spacing w:line="240" w:lineRule="atLeast"/>
      <w:jc w:val="center"/>
      <w:textAlignment w:val="baseline"/>
    </w:pPr>
    <w:rPr>
      <w:kern w:val="0"/>
      <w:szCs w:val="21"/>
    </w:rPr>
  </w:style>
  <w:style w:type="paragraph" w:customStyle="1" w:styleId="849">
    <w:name w:val="样式 标题 4 + 段前: 0.5 行 段后: 0.5 行1"/>
    <w:basedOn w:val="6"/>
    <w:qFormat/>
    <w:uiPriority w:val="0"/>
    <w:pPr>
      <w:spacing w:before="0" w:after="0" w:line="440" w:lineRule="exact"/>
      <w:ind w:firstLine="200" w:firstLineChars="200"/>
    </w:pPr>
    <w:rPr>
      <w:rFonts w:ascii="Times New Roman" w:hAnsi="Times New Roman" w:eastAsia="华文中宋" w:cs="宋体"/>
      <w:kern w:val="0"/>
      <w:sz w:val="24"/>
      <w:szCs w:val="24"/>
    </w:rPr>
  </w:style>
  <w:style w:type="paragraph" w:customStyle="1" w:styleId="850">
    <w:name w:val="样式 标题 3标题 3XW标题 3XW Char标题 3XW Char Char Char Char标题 3XW Cha...2"/>
    <w:basedOn w:val="5"/>
    <w:qFormat/>
    <w:uiPriority w:val="0"/>
    <w:pPr>
      <w:adjustRightInd/>
      <w:snapToGrid/>
      <w:ind w:firstLine="480" w:firstLineChars="200"/>
    </w:pPr>
    <w:rPr>
      <w:rFonts w:ascii="宋体" w:hAnsi="宋体" w:cs="宋体"/>
      <w:bCs w:val="0"/>
      <w:iCs/>
      <w:kern w:val="0"/>
      <w:sz w:val="28"/>
      <w:szCs w:val="20"/>
    </w:rPr>
  </w:style>
  <w:style w:type="paragraph" w:customStyle="1" w:styleId="851">
    <w:name w:val="!标题1(alt+1)"/>
    <w:basedOn w:val="637"/>
    <w:next w:val="1"/>
    <w:qFormat/>
    <w:uiPriority w:val="0"/>
    <w:pPr>
      <w:tabs>
        <w:tab w:val="left" w:pos="482"/>
      </w:tabs>
      <w:spacing w:before="100" w:after="300" w:line="600" w:lineRule="exact"/>
      <w:ind w:left="482"/>
    </w:pPr>
  </w:style>
  <w:style w:type="paragraph" w:customStyle="1" w:styleId="85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853">
    <w:name w:val="样式 标题 1 + 行距: 多倍行距 2.5 字行"/>
    <w:basedOn w:val="3"/>
    <w:qFormat/>
    <w:uiPriority w:val="0"/>
    <w:pPr>
      <w:keepLines/>
      <w:overflowPunct/>
      <w:snapToGrid/>
      <w:spacing w:before="400" w:after="0" w:line="600" w:lineRule="auto"/>
      <w:ind w:left="0" w:firstLine="0"/>
      <w:jc w:val="center"/>
    </w:pPr>
    <w:rPr>
      <w:rFonts w:cs="宋体"/>
      <w:color w:val="auto"/>
      <w:sz w:val="32"/>
      <w:szCs w:val="20"/>
    </w:rPr>
  </w:style>
  <w:style w:type="paragraph" w:customStyle="1" w:styleId="854">
    <w:name w:val="样式9"/>
    <w:basedOn w:val="1"/>
    <w:qFormat/>
    <w:uiPriority w:val="0"/>
    <w:pPr>
      <w:spacing w:beforeLines="50" w:afterLines="50" w:line="460" w:lineRule="exact"/>
      <w:ind w:firstLine="480" w:firstLineChars="200"/>
    </w:pPr>
    <w:rPr>
      <w:sz w:val="24"/>
      <w:szCs w:val="20"/>
    </w:rPr>
  </w:style>
  <w:style w:type="paragraph" w:customStyle="1" w:styleId="855">
    <w:name w:val="xl88"/>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856">
    <w:name w:val="样式 标题 2 + 段前: 0.5 行 段后: 0.5 行1"/>
    <w:basedOn w:val="4"/>
    <w:qFormat/>
    <w:uiPriority w:val="0"/>
    <w:pPr>
      <w:spacing w:before="260" w:beforeLines="50" w:line="440" w:lineRule="exact"/>
    </w:pPr>
    <w:rPr>
      <w:rFonts w:eastAsia="华文中宋" w:cs="宋体"/>
      <w:bCs/>
      <w:sz w:val="30"/>
      <w:szCs w:val="30"/>
    </w:rPr>
  </w:style>
  <w:style w:type="paragraph" w:customStyle="1" w:styleId="857">
    <w:name w:val="标题2"/>
    <w:basedOn w:val="84"/>
    <w:qFormat/>
    <w:uiPriority w:val="0"/>
    <w:pPr>
      <w:overflowPunct w:val="0"/>
      <w:topLinePunct/>
      <w:spacing w:before="100" w:beforeAutospacing="1"/>
      <w:ind w:left="0" w:leftChars="0" w:firstLine="0" w:firstLineChars="0"/>
      <w:outlineLvl w:val="1"/>
    </w:pPr>
    <w:rPr>
      <w:rFonts w:eastAsia="黑体"/>
      <w:b/>
      <w:bCs/>
      <w:sz w:val="30"/>
      <w:szCs w:val="30"/>
    </w:rPr>
  </w:style>
  <w:style w:type="paragraph" w:customStyle="1" w:styleId="858">
    <w:name w:val="报告书正文 Char Char Char Char Char Char Char Char Char Char"/>
    <w:basedOn w:val="1"/>
    <w:qFormat/>
    <w:uiPriority w:val="0"/>
    <w:pPr>
      <w:spacing w:line="300" w:lineRule="auto"/>
      <w:ind w:firstLine="480" w:firstLineChars="200"/>
    </w:pPr>
    <w:rPr>
      <w:color w:val="000000"/>
      <w:sz w:val="24"/>
    </w:rPr>
  </w:style>
  <w:style w:type="paragraph" w:customStyle="1" w:styleId="859">
    <w:name w:val="样式 样式 标题 4 + 段前: 0.5 行 段后: 0.5 行 + 段前: 7.8 磅 段后: 7.8 磅"/>
    <w:basedOn w:val="560"/>
    <w:qFormat/>
    <w:uiPriority w:val="0"/>
    <w:rPr>
      <w:szCs w:val="20"/>
    </w:rPr>
  </w:style>
  <w:style w:type="paragraph" w:customStyle="1" w:styleId="860">
    <w:name w:val="xl45"/>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pPr>
    <w:rPr>
      <w:rFonts w:ascii="Arial Unicode MS" w:hAnsi="Arial Unicode MS" w:eastAsia="Arial Unicode MS" w:cs="黑体"/>
      <w:b/>
      <w:bCs/>
      <w:kern w:val="0"/>
      <w:sz w:val="24"/>
    </w:rPr>
  </w:style>
  <w:style w:type="paragraph" w:customStyle="1" w:styleId="861">
    <w:name w:val="12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862">
    <w:name w:val="目录3"/>
    <w:basedOn w:val="1"/>
    <w:next w:val="1"/>
    <w:qFormat/>
    <w:uiPriority w:val="0"/>
    <w:pPr>
      <w:widowControl/>
      <w:tabs>
        <w:tab w:val="left" w:leader="dot" w:pos="8503"/>
      </w:tabs>
      <w:spacing w:line="317" w:lineRule="atLeast"/>
      <w:ind w:left="419" w:firstLine="419"/>
      <w:textAlignment w:val="baseline"/>
    </w:pPr>
    <w:rPr>
      <w:color w:val="000000"/>
      <w:kern w:val="0"/>
      <w:szCs w:val="20"/>
    </w:rPr>
  </w:style>
  <w:style w:type="paragraph" w:customStyle="1" w:styleId="863">
    <w:name w:val="样式 表号 + 首行缩进:  2 字符"/>
    <w:basedOn w:val="864"/>
    <w:qFormat/>
    <w:uiPriority w:val="0"/>
    <w:rPr>
      <w:rFonts w:cs="宋体"/>
      <w:szCs w:val="20"/>
    </w:rPr>
  </w:style>
  <w:style w:type="paragraph" w:customStyle="1" w:styleId="864">
    <w:name w:val="表号 Char Char"/>
    <w:basedOn w:val="1"/>
    <w:qFormat/>
    <w:uiPriority w:val="0"/>
    <w:pPr>
      <w:overflowPunct w:val="0"/>
      <w:topLinePunct/>
      <w:ind w:firstLine="200" w:firstLineChars="200"/>
      <w:outlineLvl w:val="5"/>
    </w:pPr>
  </w:style>
  <w:style w:type="paragraph" w:customStyle="1" w:styleId="865">
    <w:name w:val="BG5"/>
    <w:basedOn w:val="1"/>
    <w:qFormat/>
    <w:uiPriority w:val="0"/>
    <w:pPr>
      <w:autoSpaceDE w:val="0"/>
      <w:autoSpaceDN w:val="0"/>
      <w:adjustRightInd w:val="0"/>
      <w:spacing w:line="200" w:lineRule="atLeast"/>
      <w:jc w:val="center"/>
    </w:pPr>
    <w:rPr>
      <w:rFonts w:ascii="@宋体"/>
      <w:kern w:val="0"/>
      <w:szCs w:val="20"/>
    </w:rPr>
  </w:style>
  <w:style w:type="paragraph" w:customStyle="1" w:styleId="866">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67">
    <w:name w:val="xl40"/>
    <w:basedOn w:val="1"/>
    <w:qFormat/>
    <w:uiPriority w:val="0"/>
    <w:pPr>
      <w:widowControl/>
      <w:spacing w:before="102" w:after="102" w:line="351" w:lineRule="atLeast"/>
      <w:ind w:firstLine="419"/>
      <w:jc w:val="center"/>
      <w:textAlignment w:val="center"/>
    </w:pPr>
    <w:rPr>
      <w:color w:val="000000"/>
      <w:kern w:val="0"/>
      <w:sz w:val="22"/>
      <w:szCs w:val="20"/>
    </w:rPr>
  </w:style>
  <w:style w:type="paragraph" w:customStyle="1" w:styleId="868">
    <w:name w:val="表号 Char"/>
    <w:basedOn w:val="1"/>
    <w:qFormat/>
    <w:uiPriority w:val="0"/>
    <w:pPr>
      <w:overflowPunct w:val="0"/>
      <w:topLinePunct/>
      <w:ind w:firstLine="200" w:firstLineChars="200"/>
      <w:outlineLvl w:val="5"/>
    </w:pPr>
  </w:style>
  <w:style w:type="paragraph" w:customStyle="1" w:styleId="869">
    <w:name w:val="表名图名"/>
    <w:qFormat/>
    <w:uiPriority w:val="0"/>
    <w:pPr>
      <w:adjustRightInd w:val="0"/>
      <w:snapToGrid w:val="0"/>
      <w:spacing w:beforeLines="30" w:afterLines="30"/>
      <w:jc w:val="center"/>
      <w:outlineLvl w:val="4"/>
    </w:pPr>
    <w:rPr>
      <w:rFonts w:ascii="Times New Roman" w:hAnsi="Times New Roman" w:eastAsia="宋体" w:cs="Times New Roman"/>
      <w:sz w:val="24"/>
      <w:szCs w:val="24"/>
      <w:lang w:val="en-US" w:eastAsia="zh-CN" w:bidi="ar-SA"/>
    </w:rPr>
  </w:style>
  <w:style w:type="paragraph" w:customStyle="1" w:styleId="870">
    <w:name w:val="表头编号"/>
    <w:basedOn w:val="1"/>
    <w:qFormat/>
    <w:uiPriority w:val="0"/>
    <w:pPr>
      <w:adjustRightInd w:val="0"/>
      <w:snapToGrid w:val="0"/>
      <w:spacing w:line="240" w:lineRule="atLeast"/>
      <w:jc w:val="center"/>
    </w:pPr>
    <w:rPr>
      <w:rFonts w:ascii="宋体" w:hAnsi="宋体"/>
      <w:color w:val="000000"/>
      <w:kern w:val="0"/>
      <w:szCs w:val="20"/>
    </w:rPr>
  </w:style>
  <w:style w:type="paragraph" w:customStyle="1" w:styleId="871">
    <w:name w:val="Char Char2 Char Char Char Char"/>
    <w:basedOn w:val="1"/>
    <w:qFormat/>
    <w:uiPriority w:val="0"/>
  </w:style>
  <w:style w:type="paragraph" w:customStyle="1" w:styleId="872">
    <w:name w:val="Char2 Char Char Char"/>
    <w:basedOn w:val="1"/>
    <w:qFormat/>
    <w:uiPriority w:val="0"/>
    <w:pPr>
      <w:snapToGrid w:val="0"/>
      <w:spacing w:line="360" w:lineRule="auto"/>
      <w:ind w:firstLine="200" w:firstLineChars="200"/>
    </w:pPr>
    <w:rPr>
      <w:rFonts w:eastAsia="仿宋_GB2312"/>
      <w:sz w:val="24"/>
    </w:rPr>
  </w:style>
  <w:style w:type="paragraph" w:customStyle="1" w:styleId="873">
    <w:name w:val="表格5红"/>
    <w:basedOn w:val="1"/>
    <w:qFormat/>
    <w:uiPriority w:val="0"/>
    <w:pPr>
      <w:autoSpaceDN w:val="0"/>
      <w:adjustRightInd w:val="0"/>
      <w:snapToGrid w:val="0"/>
      <w:spacing w:beforeLines="20" w:afterLines="20"/>
    </w:pPr>
    <w:rPr>
      <w:color w:val="800000"/>
      <w:spacing w:val="14"/>
      <w:kern w:val="0"/>
      <w:szCs w:val="20"/>
    </w:rPr>
  </w:style>
  <w:style w:type="paragraph" w:customStyle="1" w:styleId="874">
    <w:name w:val="样式1 Char Char"/>
    <w:basedOn w:val="1"/>
    <w:qFormat/>
    <w:uiPriority w:val="0"/>
    <w:pPr>
      <w:spacing w:line="560" w:lineRule="atLeast"/>
      <w:ind w:firstLine="480" w:firstLineChars="200"/>
    </w:pPr>
    <w:rPr>
      <w:rFonts w:ascii="宋体" w:hAnsi="宋体"/>
      <w:sz w:val="24"/>
    </w:rPr>
  </w:style>
  <w:style w:type="paragraph" w:customStyle="1" w:styleId="875">
    <w:name w:val="表头文字"/>
    <w:basedOn w:val="1"/>
    <w:qFormat/>
    <w:uiPriority w:val="0"/>
    <w:pPr>
      <w:adjustRightInd w:val="0"/>
      <w:spacing w:after="120" w:line="420" w:lineRule="atLeast"/>
      <w:jc w:val="center"/>
      <w:textAlignment w:val="baseline"/>
    </w:pPr>
    <w:rPr>
      <w:kern w:val="0"/>
      <w:sz w:val="24"/>
      <w:szCs w:val="20"/>
    </w:rPr>
  </w:style>
  <w:style w:type="paragraph" w:customStyle="1" w:styleId="876">
    <w:name w:val="Char Char Char"/>
    <w:basedOn w:val="1"/>
    <w:qFormat/>
    <w:uiPriority w:val="0"/>
  </w:style>
  <w:style w:type="paragraph" w:customStyle="1" w:styleId="877">
    <w:name w:val="正文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78">
    <w:name w:val="Char Char6 Char Char4"/>
    <w:basedOn w:val="1"/>
    <w:next w:val="2"/>
    <w:qFormat/>
    <w:uiPriority w:val="0"/>
    <w:rPr>
      <w:sz w:val="28"/>
      <w:szCs w:val="28"/>
    </w:rPr>
  </w:style>
  <w:style w:type="paragraph" w:customStyle="1" w:styleId="879">
    <w:name w:val="样式 表文居中 + 段前: 0.5 行"/>
    <w:basedOn w:val="1"/>
    <w:qFormat/>
    <w:uiPriority w:val="0"/>
    <w:pPr>
      <w:autoSpaceDE w:val="0"/>
      <w:autoSpaceDN w:val="0"/>
      <w:adjustRightInd w:val="0"/>
      <w:snapToGrid w:val="0"/>
      <w:jc w:val="center"/>
      <w:textAlignment w:val="baseline"/>
    </w:pPr>
    <w:rPr>
      <w:rFonts w:cs="宋体"/>
      <w:kern w:val="0"/>
      <w:szCs w:val="20"/>
    </w:rPr>
  </w:style>
  <w:style w:type="paragraph" w:customStyle="1" w:styleId="880">
    <w:name w:val="Decimal Aligned"/>
    <w:basedOn w:val="1"/>
    <w:qFormat/>
    <w:uiPriority w:val="0"/>
    <w:pPr>
      <w:widowControl/>
      <w:tabs>
        <w:tab w:val="decimal" w:pos="360"/>
      </w:tabs>
      <w:spacing w:after="200" w:line="276" w:lineRule="auto"/>
      <w:jc w:val="left"/>
    </w:pPr>
    <w:rPr>
      <w:rFonts w:ascii="Calibri" w:hAnsi="Calibri"/>
      <w:kern w:val="0"/>
      <w:sz w:val="22"/>
      <w:szCs w:val="22"/>
    </w:rPr>
  </w:style>
  <w:style w:type="paragraph" w:customStyle="1" w:styleId="881">
    <w:name w:val="xl42"/>
    <w:basedOn w:val="1"/>
    <w:qFormat/>
    <w:uiPriority w:val="0"/>
    <w:pPr>
      <w:widowControl/>
      <w:spacing w:before="102" w:after="102" w:line="351" w:lineRule="atLeast"/>
      <w:ind w:firstLine="419"/>
      <w:jc w:val="center"/>
      <w:textAlignment w:val="center"/>
    </w:pPr>
    <w:rPr>
      <w:color w:val="000000"/>
      <w:kern w:val="0"/>
      <w:szCs w:val="20"/>
    </w:rPr>
  </w:style>
  <w:style w:type="paragraph" w:customStyle="1" w:styleId="882">
    <w:name w:val="样式"/>
    <w:basedOn w:val="1"/>
    <w:next w:val="1"/>
    <w:qFormat/>
    <w:uiPriority w:val="0"/>
    <w:pPr>
      <w:keepNext/>
      <w:keepLines/>
      <w:widowControl/>
      <w:spacing w:before="120" w:after="60" w:line="460" w:lineRule="exact"/>
      <w:jc w:val="left"/>
      <w:outlineLvl w:val="1"/>
    </w:pPr>
    <w:rPr>
      <w:rFonts w:ascii="黑体" w:hAnsi="宋体" w:eastAsia="黑体"/>
      <w:sz w:val="28"/>
      <w:szCs w:val="20"/>
    </w:rPr>
  </w:style>
  <w:style w:type="paragraph" w:customStyle="1" w:styleId="883">
    <w:name w:val="图表文字getiao"/>
    <w:basedOn w:val="35"/>
    <w:next w:val="542"/>
    <w:qFormat/>
    <w:uiPriority w:val="0"/>
    <w:pPr>
      <w:framePr w:hSpace="180" w:wrap="around" w:vAnchor="text" w:hAnchor="margin" w:y="158"/>
      <w:widowControl w:val="0"/>
      <w:snapToGrid/>
      <w:spacing w:before="0" w:after="0" w:line="240" w:lineRule="auto"/>
      <w:ind w:right="0"/>
      <w:jc w:val="right"/>
    </w:pPr>
    <w:rPr>
      <w:sz w:val="24"/>
      <w:szCs w:val="21"/>
    </w:rPr>
  </w:style>
  <w:style w:type="paragraph" w:customStyle="1" w:styleId="884">
    <w:name w:val="样式 段前: 2.4 磅 段后: 2.4 磅"/>
    <w:basedOn w:val="1"/>
    <w:qFormat/>
    <w:uiPriority w:val="0"/>
    <w:pPr>
      <w:adjustRightInd w:val="0"/>
      <w:snapToGrid w:val="0"/>
      <w:spacing w:before="168" w:afterLines="20" w:line="360" w:lineRule="auto"/>
      <w:ind w:firstLine="624"/>
    </w:pPr>
    <w:rPr>
      <w:spacing w:val="14"/>
      <w:kern w:val="0"/>
      <w:sz w:val="28"/>
      <w:szCs w:val="20"/>
    </w:rPr>
  </w:style>
  <w:style w:type="paragraph" w:customStyle="1" w:styleId="885">
    <w:name w:val="样式 表格标题 + 字距调整2 磅"/>
    <w:basedOn w:val="1"/>
    <w:qFormat/>
    <w:uiPriority w:val="0"/>
    <w:pPr>
      <w:spacing w:line="360" w:lineRule="auto"/>
      <w:ind w:firstLine="480" w:firstLineChars="200"/>
    </w:pPr>
    <w:rPr>
      <w:b/>
      <w:bCs/>
      <w:kern w:val="4"/>
      <w:sz w:val="44"/>
      <w:szCs w:val="21"/>
    </w:rPr>
  </w:style>
  <w:style w:type="paragraph" w:customStyle="1" w:styleId="886">
    <w:name w:val="! 修改"/>
    <w:basedOn w:val="1"/>
    <w:next w:val="198"/>
    <w:qFormat/>
    <w:uiPriority w:val="0"/>
    <w:pPr>
      <w:snapToGrid w:val="0"/>
      <w:spacing w:before="119" w:after="119" w:line="419" w:lineRule="atLeast"/>
      <w:ind w:firstLine="471"/>
      <w:textAlignment w:val="baseline"/>
      <w:outlineLvl w:val="4"/>
    </w:pPr>
    <w:rPr>
      <w:rFonts w:ascii="宋体"/>
      <w:color w:val="FF0000"/>
      <w:sz w:val="24"/>
      <w:szCs w:val="20"/>
    </w:rPr>
  </w:style>
  <w:style w:type="paragraph" w:customStyle="1" w:styleId="887">
    <w:name w:val="样式 正文缩进正文缩进 Chars4 Chars4标题4表正文正文非缩进特点正文缩进 Char1 Char正文..."/>
    <w:basedOn w:val="22"/>
    <w:qFormat/>
    <w:uiPriority w:val="0"/>
    <w:pPr>
      <w:spacing w:afterLines="20" w:line="400" w:lineRule="exact"/>
      <w:ind w:firstLine="482" w:firstLineChars="0"/>
    </w:pPr>
    <w:rPr>
      <w:rFonts w:cs="宋体"/>
      <w:sz w:val="24"/>
      <w:szCs w:val="20"/>
    </w:rPr>
  </w:style>
  <w:style w:type="paragraph" w:customStyle="1" w:styleId="888">
    <w:name w:val="mqh"/>
    <w:basedOn w:val="1"/>
    <w:qFormat/>
    <w:uiPriority w:val="0"/>
    <w:rPr>
      <w:kern w:val="0"/>
      <w:szCs w:val="20"/>
      <w:lang w:val="en-GB"/>
    </w:rPr>
  </w:style>
  <w:style w:type="paragraph" w:customStyle="1" w:styleId="889">
    <w:name w:val="Char Char Char Char9"/>
    <w:basedOn w:val="1"/>
    <w:qFormat/>
    <w:uiPriority w:val="0"/>
    <w:pPr>
      <w:widowControl/>
      <w:spacing w:after="160" w:line="240" w:lineRule="exact"/>
      <w:jc w:val="left"/>
    </w:pPr>
    <w:rPr>
      <w:rFonts w:ascii="宋体" w:hAnsi="宋体"/>
      <w:color w:val="000000"/>
      <w:spacing w:val="14"/>
      <w:kern w:val="0"/>
    </w:rPr>
  </w:style>
  <w:style w:type="paragraph" w:customStyle="1" w:styleId="890">
    <w:name w:val="正文文字缩进1"/>
    <w:basedOn w:val="1"/>
    <w:qFormat/>
    <w:uiPriority w:val="0"/>
    <w:pPr>
      <w:ind w:firstLine="556"/>
    </w:pPr>
    <w:rPr>
      <w:rFonts w:eastAsia="仿宋_GB2312"/>
      <w:sz w:val="28"/>
      <w:szCs w:val="28"/>
    </w:rPr>
  </w:style>
  <w:style w:type="paragraph" w:customStyle="1" w:styleId="891">
    <w:name w:val="表格小五"/>
    <w:basedOn w:val="1"/>
    <w:qFormat/>
    <w:uiPriority w:val="0"/>
    <w:pPr>
      <w:jc w:val="center"/>
    </w:pPr>
    <w:rPr>
      <w:rFonts w:ascii="宋体"/>
      <w:kern w:val="0"/>
      <w:sz w:val="18"/>
      <w:szCs w:val="20"/>
    </w:rPr>
  </w:style>
  <w:style w:type="paragraph" w:customStyle="1" w:styleId="892">
    <w:name w:val="表格3"/>
    <w:basedOn w:val="1"/>
    <w:qFormat/>
    <w:uiPriority w:val="0"/>
    <w:pPr>
      <w:spacing w:line="320" w:lineRule="exact"/>
      <w:jc w:val="center"/>
    </w:pPr>
    <w:rPr>
      <w:rFonts w:cs="宋体"/>
      <w:sz w:val="18"/>
      <w:szCs w:val="20"/>
    </w:rPr>
  </w:style>
  <w:style w:type="paragraph" w:customStyle="1" w:styleId="893">
    <w:name w:val="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894">
    <w:name w:val="表中文字左对齐"/>
    <w:next w:val="1"/>
    <w:qFormat/>
    <w:uiPriority w:val="0"/>
    <w:pPr>
      <w:widowControl w:val="0"/>
      <w:ind w:left="170"/>
    </w:pPr>
    <w:rPr>
      <w:rFonts w:ascii="Times New Roman" w:hAnsi="Times New Roman" w:eastAsia="宋体" w:cs="Arial"/>
      <w:color w:val="000000"/>
      <w:kern w:val="2"/>
      <w:sz w:val="24"/>
      <w:szCs w:val="28"/>
      <w:lang w:val="en-US" w:eastAsia="zh-CN" w:bidi="ar-SA"/>
    </w:rPr>
  </w:style>
  <w:style w:type="paragraph" w:customStyle="1" w:styleId="895">
    <w:name w:val="自定义正文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896">
    <w:name w:val="三标"/>
    <w:basedOn w:val="897"/>
    <w:qFormat/>
    <w:uiPriority w:val="0"/>
    <w:pPr>
      <w:spacing w:line="360" w:lineRule="auto"/>
      <w:ind w:firstLine="602" w:firstLineChars="200"/>
      <w:outlineLvl w:val="2"/>
    </w:pPr>
    <w:rPr>
      <w:bCs/>
      <w:sz w:val="30"/>
      <w:szCs w:val="20"/>
    </w:rPr>
  </w:style>
  <w:style w:type="paragraph" w:customStyle="1" w:styleId="897">
    <w:name w:val="二标"/>
    <w:basedOn w:val="1"/>
    <w:qFormat/>
    <w:uiPriority w:val="0"/>
    <w:pPr>
      <w:widowControl/>
      <w:spacing w:line="480" w:lineRule="auto"/>
      <w:jc w:val="center"/>
      <w:outlineLvl w:val="1"/>
    </w:pPr>
    <w:rPr>
      <w:rFonts w:ascii="宋体" w:hAnsi="宋体" w:cs="宋体"/>
      <w:b/>
      <w:kern w:val="0"/>
      <w:sz w:val="32"/>
      <w:szCs w:val="32"/>
    </w:rPr>
  </w:style>
  <w:style w:type="paragraph" w:customStyle="1" w:styleId="898">
    <w:name w:val="表芯"/>
    <w:basedOn w:val="1"/>
    <w:next w:val="1"/>
    <w:qFormat/>
    <w:uiPriority w:val="0"/>
    <w:pPr>
      <w:keepNext/>
      <w:adjustRightInd w:val="0"/>
      <w:spacing w:before="20" w:line="240" w:lineRule="atLeast"/>
      <w:jc w:val="center"/>
      <w:textAlignment w:val="baseline"/>
    </w:pPr>
    <w:rPr>
      <w:rFonts w:ascii="宋体" w:hAnsi="宋体"/>
      <w:bCs/>
      <w:kern w:val="21"/>
      <w:szCs w:val="20"/>
    </w:rPr>
  </w:style>
  <w:style w:type="paragraph" w:customStyle="1" w:styleId="899">
    <w:name w:val="名录"/>
    <w:basedOn w:val="1"/>
    <w:qFormat/>
    <w:uiPriority w:val="0"/>
    <w:pPr>
      <w:spacing w:line="360" w:lineRule="auto"/>
      <w:jc w:val="center"/>
    </w:pPr>
    <w:rPr>
      <w:spacing w:val="6"/>
    </w:rPr>
  </w:style>
  <w:style w:type="paragraph" w:customStyle="1" w:styleId="900">
    <w:name w:val="标题1（getiao）"/>
    <w:basedOn w:val="85"/>
    <w:next w:val="35"/>
    <w:qFormat/>
    <w:uiPriority w:val="0"/>
    <w:pPr>
      <w:ind w:firstLine="602" w:firstLineChars="200"/>
      <w:jc w:val="both"/>
    </w:pPr>
    <w:rPr>
      <w:sz w:val="30"/>
      <w:szCs w:val="28"/>
    </w:rPr>
  </w:style>
  <w:style w:type="paragraph" w:customStyle="1" w:styleId="901">
    <w:name w:val="正文sun"/>
    <w:basedOn w:val="35"/>
    <w:qFormat/>
    <w:uiPriority w:val="0"/>
    <w:pPr>
      <w:widowControl w:val="0"/>
      <w:snapToGrid/>
      <w:spacing w:before="0" w:after="0" w:line="360" w:lineRule="auto"/>
      <w:ind w:right="0" w:firstLine="200" w:firstLineChars="200"/>
    </w:pPr>
    <w:rPr>
      <w:sz w:val="24"/>
      <w:szCs w:val="20"/>
    </w:rPr>
  </w:style>
  <w:style w:type="paragraph" w:customStyle="1" w:styleId="902">
    <w:name w:val="辅助"/>
    <w:basedOn w:val="1"/>
    <w:qFormat/>
    <w:uiPriority w:val="0"/>
    <w:pPr>
      <w:spacing w:line="460" w:lineRule="exact"/>
      <w:ind w:firstLine="480" w:firstLineChars="200"/>
      <w:jc w:val="left"/>
    </w:pPr>
    <w:rPr>
      <w:rFonts w:ascii="宋体" w:hAnsi="宋体" w:eastAsia="楷体_GB2312"/>
      <w:i/>
      <w:vanish/>
      <w:color w:val="808080"/>
      <w:kern w:val="0"/>
      <w:sz w:val="18"/>
    </w:rPr>
  </w:style>
  <w:style w:type="paragraph" w:customStyle="1" w:styleId="903">
    <w:name w:val="reader-word-layer reader-word-s38-6"/>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04">
    <w:name w:val="Char Char Char3 Char"/>
    <w:basedOn w:val="1"/>
    <w:qFormat/>
    <w:uiPriority w:val="0"/>
    <w:pPr>
      <w:spacing w:line="360" w:lineRule="auto"/>
      <w:ind w:firstLine="200" w:firstLineChars="200"/>
    </w:pPr>
    <w:rPr>
      <w:rFonts w:ascii="宋体" w:hAnsi="宋体" w:cs="宋体"/>
      <w:sz w:val="24"/>
    </w:rPr>
  </w:style>
  <w:style w:type="paragraph" w:customStyle="1" w:styleId="905">
    <w:name w:val="Char Char Char Char Char Char Char Char Char Char"/>
    <w:basedOn w:val="1"/>
    <w:qFormat/>
    <w:uiPriority w:val="0"/>
  </w:style>
  <w:style w:type="paragraph" w:customStyle="1" w:styleId="906">
    <w:name w:val="二级标题（getiao）"/>
    <w:basedOn w:val="4"/>
    <w:next w:val="542"/>
    <w:qFormat/>
    <w:uiPriority w:val="0"/>
    <w:pPr>
      <w:keepNext w:val="0"/>
      <w:keepLines w:val="0"/>
      <w:adjustRightInd w:val="0"/>
      <w:spacing w:before="240" w:after="120" w:line="360" w:lineRule="auto"/>
      <w:jc w:val="left"/>
      <w:textAlignment w:val="baseline"/>
    </w:pPr>
    <w:rPr>
      <w:rFonts w:ascii="宋体" w:hAnsi="宋体"/>
      <w:bCs/>
      <w:szCs w:val="28"/>
    </w:rPr>
  </w:style>
  <w:style w:type="paragraph" w:customStyle="1" w:styleId="907">
    <w:name w:val="封面4"/>
    <w:basedOn w:val="1"/>
    <w:qFormat/>
    <w:uiPriority w:val="0"/>
    <w:pPr>
      <w:adjustRightInd w:val="0"/>
      <w:snapToGrid w:val="0"/>
      <w:spacing w:line="240" w:lineRule="atLeast"/>
      <w:ind w:firstLine="480" w:firstLineChars="200"/>
      <w:jc w:val="center"/>
    </w:pPr>
    <w:rPr>
      <w:rFonts w:ascii="华文中宋" w:hAnsi="华文中宋" w:eastAsia="华文中宋"/>
      <w:color w:val="000000"/>
      <w:spacing w:val="40"/>
      <w:kern w:val="0"/>
      <w:sz w:val="32"/>
      <w:szCs w:val="20"/>
    </w:rPr>
  </w:style>
  <w:style w:type="paragraph" w:customStyle="1" w:styleId="908">
    <w:name w:val="样式 标题 2 + 段前: 0.5 行 段后: 0.5 行"/>
    <w:qFormat/>
    <w:uiPriority w:val="0"/>
    <w:pPr>
      <w:spacing w:before="215" w:after="147" w:line="867" w:lineRule="atLeast"/>
      <w:ind w:firstLine="419"/>
      <w:textAlignment w:val="baseline"/>
    </w:pPr>
    <w:rPr>
      <w:rFonts w:ascii="宋体" w:hAnsi="Times New Roman" w:eastAsia="宋体" w:cs="Times New Roman"/>
      <w:color w:val="000000"/>
      <w:sz w:val="30"/>
      <w:lang w:val="en-US" w:eastAsia="zh-CN" w:bidi="ar-SA"/>
    </w:rPr>
  </w:style>
  <w:style w:type="paragraph" w:customStyle="1" w:styleId="909">
    <w:name w:val="图表文字"/>
    <w:basedOn w:val="35"/>
    <w:next w:val="542"/>
    <w:qFormat/>
    <w:uiPriority w:val="0"/>
    <w:pPr>
      <w:widowControl w:val="0"/>
      <w:snapToGrid/>
      <w:spacing w:before="0" w:after="120" w:line="240" w:lineRule="auto"/>
      <w:ind w:right="420"/>
      <w:jc w:val="right"/>
    </w:pPr>
    <w:rPr>
      <w:rFonts w:ascii="宋体" w:hAnsi="宋体"/>
      <w:b/>
      <w:sz w:val="24"/>
      <w:szCs w:val="21"/>
    </w:rPr>
  </w:style>
  <w:style w:type="paragraph" w:customStyle="1" w:styleId="910">
    <w:name w:val="下划线"/>
    <w:basedOn w:val="1"/>
    <w:next w:val="1"/>
    <w:qFormat/>
    <w:uiPriority w:val="0"/>
    <w:pPr>
      <w:spacing w:afterLines="20" w:line="400" w:lineRule="exact"/>
      <w:ind w:firstLine="480" w:firstLineChars="200"/>
    </w:pPr>
    <w:rPr>
      <w:kern w:val="0"/>
      <w:sz w:val="24"/>
      <w:lang w:val="zh-CN"/>
    </w:rPr>
  </w:style>
  <w:style w:type="paragraph" w:customStyle="1" w:styleId="911">
    <w:name w:val="1级"/>
    <w:basedOn w:val="1"/>
    <w:qFormat/>
    <w:uiPriority w:val="0"/>
    <w:pPr>
      <w:keepNext/>
      <w:keepLines/>
      <w:tabs>
        <w:tab w:val="left" w:pos="327"/>
      </w:tabs>
      <w:adjustRightInd w:val="0"/>
      <w:snapToGrid w:val="0"/>
      <w:spacing w:before="300" w:line="360" w:lineRule="auto"/>
      <w:ind w:left="431" w:hanging="431"/>
      <w:jc w:val="left"/>
      <w:outlineLvl w:val="0"/>
    </w:pPr>
    <w:rPr>
      <w:rFonts w:eastAsia="黑体"/>
      <w:bCs/>
      <w:color w:val="000000"/>
      <w:spacing w:val="12"/>
      <w:kern w:val="44"/>
      <w:sz w:val="30"/>
      <w:szCs w:val="30"/>
    </w:rPr>
  </w:style>
  <w:style w:type="paragraph" w:customStyle="1" w:styleId="912">
    <w:name w:val="样式 报告插图 + 首行缩进:  0 字符"/>
    <w:basedOn w:val="913"/>
    <w:qFormat/>
    <w:uiPriority w:val="0"/>
    <w:pPr>
      <w:ind w:firstLine="0" w:firstLineChars="0"/>
    </w:pPr>
    <w:rPr>
      <w:rFonts w:cs="宋体"/>
      <w:bCs/>
      <w:sz w:val="24"/>
      <w:szCs w:val="20"/>
    </w:rPr>
  </w:style>
  <w:style w:type="paragraph" w:customStyle="1" w:styleId="913">
    <w:name w:val="报告插图"/>
    <w:basedOn w:val="194"/>
    <w:next w:val="194"/>
    <w:qFormat/>
    <w:uiPriority w:val="0"/>
    <w:pPr>
      <w:ind w:firstLine="617"/>
      <w:jc w:val="center"/>
    </w:pPr>
    <w:rPr>
      <w:rFonts w:cs="Times New Roman"/>
      <w:b/>
      <w:color w:val="000000"/>
      <w:spacing w:val="0"/>
      <w:kern w:val="0"/>
      <w:sz w:val="28"/>
      <w:szCs w:val="28"/>
      <w:lang w:val="zh-CN"/>
    </w:rPr>
  </w:style>
  <w:style w:type="paragraph" w:customStyle="1" w:styleId="914">
    <w:name w:val="表中文字（左对齐）"/>
    <w:basedOn w:val="35"/>
    <w:qFormat/>
    <w:uiPriority w:val="0"/>
    <w:pPr>
      <w:snapToGrid/>
      <w:spacing w:before="0" w:after="0" w:line="240" w:lineRule="auto"/>
      <w:ind w:right="0"/>
      <w:jc w:val="left"/>
    </w:pPr>
    <w:rPr>
      <w:sz w:val="24"/>
      <w:szCs w:val="20"/>
    </w:rPr>
  </w:style>
  <w:style w:type="paragraph" w:customStyle="1" w:styleId="915">
    <w:name w:val="样式 标题 2 + Times New Roman 段前: 12 磅 段后: 0 磅1"/>
    <w:basedOn w:val="4"/>
    <w:qFormat/>
    <w:uiPriority w:val="0"/>
    <w:pPr>
      <w:adjustRightInd w:val="0"/>
      <w:spacing w:before="240" w:after="260" w:afterLines="50" w:line="300" w:lineRule="auto"/>
      <w:textAlignment w:val="baseline"/>
    </w:pPr>
    <w:rPr>
      <w:rFonts w:cs="宋体"/>
      <w:bCs/>
    </w:rPr>
  </w:style>
  <w:style w:type="paragraph" w:customStyle="1" w:styleId="916">
    <w:name w:val="水泥厂正文"/>
    <w:basedOn w:val="1"/>
    <w:qFormat/>
    <w:uiPriority w:val="0"/>
    <w:pPr>
      <w:snapToGrid w:val="0"/>
      <w:spacing w:line="460" w:lineRule="exact"/>
      <w:ind w:firstLine="480" w:firstLineChars="200"/>
      <w:jc w:val="left"/>
    </w:pPr>
    <w:rPr>
      <w:rFonts w:ascii="宋体" w:hAnsi="宋体"/>
      <w:sz w:val="24"/>
    </w:rPr>
  </w:style>
  <w:style w:type="paragraph" w:customStyle="1" w:styleId="917">
    <w:name w:val="课题号"/>
    <w:basedOn w:val="1"/>
    <w:qFormat/>
    <w:uiPriority w:val="0"/>
    <w:pPr>
      <w:widowControl/>
      <w:tabs>
        <w:tab w:val="left" w:pos="-24"/>
      </w:tabs>
      <w:spacing w:line="460" w:lineRule="exact"/>
      <w:ind w:firstLine="436"/>
      <w:jc w:val="left"/>
      <w:textAlignment w:val="baseline"/>
    </w:pPr>
    <w:rPr>
      <w:rFonts w:ascii="宋体" w:hAnsi="宋体"/>
      <w:b/>
      <w:bCs/>
      <w:color w:val="000000"/>
      <w:kern w:val="0"/>
      <w:sz w:val="30"/>
      <w:szCs w:val="20"/>
    </w:rPr>
  </w:style>
  <w:style w:type="paragraph" w:customStyle="1" w:styleId="918">
    <w:name w:val="样式 表名 + 段前: 0.5 行 段后: 0.5 行"/>
    <w:basedOn w:val="245"/>
    <w:qFormat/>
    <w:uiPriority w:val="0"/>
    <w:pPr>
      <w:topLinePunct/>
      <w:spacing w:beforeLines="50" w:line="440" w:lineRule="exact"/>
      <w:jc w:val="center"/>
      <w:textAlignment w:val="auto"/>
      <w:outlineLvl w:val="4"/>
    </w:pPr>
    <w:rPr>
      <w:rFonts w:ascii="宋体" w:hAnsi="华文楷体" w:eastAsia="宋体" w:cs="宋体"/>
      <w:b/>
      <w:bCs/>
      <w:sz w:val="24"/>
    </w:rPr>
  </w:style>
  <w:style w:type="paragraph" w:customStyle="1" w:styleId="919">
    <w:name w:val="表格样式1"/>
    <w:qFormat/>
    <w:uiPriority w:val="0"/>
    <w:pPr>
      <w:adjustRightInd w:val="0"/>
      <w:snapToGrid w:val="0"/>
      <w:spacing w:line="20" w:lineRule="atLeast"/>
      <w:ind w:firstLine="200"/>
      <w:jc w:val="center"/>
      <w:textAlignment w:val="baseline"/>
    </w:pPr>
    <w:rPr>
      <w:rFonts w:ascii="Times New Roman" w:hAnsi="Times New Roman" w:eastAsia="宋体" w:cs="Times New Roman"/>
      <w:sz w:val="24"/>
      <w:lang w:val="en-US" w:eastAsia="zh-CN" w:bidi="ar-SA"/>
    </w:rPr>
  </w:style>
  <w:style w:type="paragraph" w:customStyle="1" w:styleId="920">
    <w:name w:val="表格1"/>
    <w:basedOn w:val="1"/>
    <w:next w:val="1"/>
    <w:qFormat/>
    <w:uiPriority w:val="0"/>
    <w:pPr>
      <w:snapToGrid w:val="0"/>
      <w:ind w:right="-84" w:rightChars="-40"/>
      <w:jc w:val="center"/>
    </w:pPr>
    <w:rPr>
      <w:rFonts w:ascii="宋体" w:hAnsi="宋体"/>
      <w:kern w:val="0"/>
      <w:szCs w:val="21"/>
    </w:rPr>
  </w:style>
  <w:style w:type="paragraph" w:customStyle="1" w:styleId="921">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922">
    <w:name w:val="font7"/>
    <w:basedOn w:val="1"/>
    <w:qFormat/>
    <w:uiPriority w:val="0"/>
    <w:pPr>
      <w:widowControl/>
      <w:spacing w:before="100" w:beforeAutospacing="1" w:after="100" w:afterAutospacing="1"/>
      <w:jc w:val="left"/>
    </w:pPr>
    <w:rPr>
      <w:kern w:val="0"/>
      <w:sz w:val="20"/>
      <w:szCs w:val="20"/>
    </w:rPr>
  </w:style>
  <w:style w:type="paragraph" w:customStyle="1" w:styleId="923">
    <w:name w:val="报告书正文 Char Char Char Char Char Char Char Char Char1"/>
    <w:basedOn w:val="1"/>
    <w:qFormat/>
    <w:uiPriority w:val="0"/>
    <w:pPr>
      <w:spacing w:line="300" w:lineRule="auto"/>
      <w:ind w:firstLine="480" w:firstLineChars="200"/>
    </w:pPr>
    <w:rPr>
      <w:color w:val="000000"/>
      <w:sz w:val="24"/>
    </w:rPr>
  </w:style>
  <w:style w:type="paragraph" w:customStyle="1" w:styleId="924">
    <w:name w:val="表格文字1"/>
    <w:basedOn w:val="1"/>
    <w:qFormat/>
    <w:uiPriority w:val="0"/>
    <w:pPr>
      <w:adjustRightInd w:val="0"/>
      <w:snapToGrid w:val="0"/>
      <w:spacing w:line="360" w:lineRule="atLeast"/>
      <w:jc w:val="center"/>
    </w:pPr>
    <w:rPr>
      <w:rFonts w:ascii="宋体" w:hAnsi="宋体"/>
      <w:sz w:val="24"/>
    </w:rPr>
  </w:style>
  <w:style w:type="paragraph" w:customStyle="1" w:styleId="925">
    <w:name w:val="xl81"/>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926">
    <w:name w:val="样式 !标题3(alt+3) + 首行缩进:  1 字符5"/>
    <w:basedOn w:val="633"/>
    <w:qFormat/>
    <w:uiPriority w:val="0"/>
    <w:pPr>
      <w:spacing w:before="120" w:after="80" w:line="360" w:lineRule="auto"/>
    </w:pPr>
    <w:rPr>
      <w:rFonts w:ascii="黑体"/>
    </w:rPr>
  </w:style>
  <w:style w:type="paragraph" w:customStyle="1" w:styleId="927">
    <w:name w:val="图表正文加粗"/>
    <w:basedOn w:val="194"/>
    <w:next w:val="631"/>
    <w:qFormat/>
    <w:uiPriority w:val="0"/>
    <w:pPr>
      <w:spacing w:line="240" w:lineRule="auto"/>
      <w:ind w:firstLine="0" w:firstLineChars="0"/>
    </w:pPr>
    <w:rPr>
      <w:rFonts w:cs="Times New Roman"/>
      <w:b/>
      <w:color w:val="000000"/>
      <w:spacing w:val="0"/>
      <w:kern w:val="0"/>
      <w:sz w:val="20"/>
      <w:szCs w:val="24"/>
      <w:lang w:val="zh-CN"/>
    </w:rPr>
  </w:style>
  <w:style w:type="paragraph" w:customStyle="1" w:styleId="928">
    <w:name w:val="Char Char Char Char1"/>
    <w:basedOn w:val="1"/>
    <w:qFormat/>
    <w:uiPriority w:val="0"/>
    <w:rPr>
      <w:sz w:val="24"/>
    </w:rPr>
  </w:style>
  <w:style w:type="paragraph" w:customStyle="1" w:styleId="929">
    <w:name w:val="一标"/>
    <w:basedOn w:val="1"/>
    <w:qFormat/>
    <w:uiPriority w:val="0"/>
    <w:pPr>
      <w:widowControl/>
      <w:spacing w:line="720" w:lineRule="auto"/>
      <w:jc w:val="center"/>
      <w:outlineLvl w:val="0"/>
    </w:pPr>
    <w:rPr>
      <w:rFonts w:hAnsi="宋体"/>
      <w:b/>
      <w:kern w:val="0"/>
      <w:sz w:val="36"/>
      <w:szCs w:val="36"/>
    </w:rPr>
  </w:style>
  <w:style w:type="paragraph" w:customStyle="1" w:styleId="930">
    <w:name w:val="协作单位"/>
    <w:basedOn w:val="1"/>
    <w:qFormat/>
    <w:uiPriority w:val="0"/>
    <w:pPr>
      <w:spacing w:line="312" w:lineRule="auto"/>
      <w:ind w:firstLine="1260"/>
    </w:pPr>
    <w:rPr>
      <w:rFonts w:eastAsia="黑体"/>
      <w:color w:val="000000"/>
      <w:kern w:val="0"/>
      <w:sz w:val="28"/>
      <w:szCs w:val="20"/>
    </w:rPr>
  </w:style>
  <w:style w:type="paragraph" w:customStyle="1" w:styleId="931">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32">
    <w:name w:val="分述"/>
    <w:basedOn w:val="349"/>
    <w:qFormat/>
    <w:uiPriority w:val="0"/>
    <w:pPr>
      <w:tabs>
        <w:tab w:val="left" w:pos="587"/>
        <w:tab w:val="left" w:pos="811"/>
        <w:tab w:val="left" w:pos="840"/>
        <w:tab w:val="left" w:pos="900"/>
      </w:tabs>
      <w:ind w:left="984" w:hanging="264" w:firstLineChars="0"/>
    </w:pPr>
  </w:style>
  <w:style w:type="paragraph" w:customStyle="1" w:styleId="933">
    <w:name w:val="样式 三标 + 首行缩进:  2 字符"/>
    <w:basedOn w:val="1"/>
    <w:qFormat/>
    <w:uiPriority w:val="0"/>
    <w:pPr>
      <w:widowControl/>
      <w:spacing w:line="360" w:lineRule="auto"/>
      <w:ind w:firstLine="602" w:firstLineChars="200"/>
      <w:jc w:val="left"/>
      <w:outlineLvl w:val="2"/>
    </w:pPr>
    <w:rPr>
      <w:b/>
      <w:bCs/>
      <w:kern w:val="0"/>
      <w:sz w:val="30"/>
      <w:szCs w:val="30"/>
    </w:rPr>
  </w:style>
  <w:style w:type="paragraph" w:customStyle="1" w:styleId="934">
    <w:name w:val="表格项目"/>
    <w:basedOn w:val="35"/>
    <w:next w:val="88"/>
    <w:qFormat/>
    <w:uiPriority w:val="0"/>
    <w:pPr>
      <w:widowControl w:val="0"/>
      <w:snapToGrid/>
      <w:spacing w:before="40" w:after="40" w:line="240" w:lineRule="auto"/>
      <w:ind w:right="0"/>
      <w:jc w:val="center"/>
    </w:pPr>
    <w:rPr>
      <w:rFonts w:cs="Arial"/>
      <w:kern w:val="2"/>
      <w:sz w:val="24"/>
      <w:szCs w:val="20"/>
    </w:rPr>
  </w:style>
  <w:style w:type="paragraph" w:customStyle="1" w:styleId="935">
    <w:name w:val="Char Char Char Char Char Char Char Char Char"/>
    <w:basedOn w:val="5"/>
    <w:qFormat/>
    <w:uiPriority w:val="0"/>
    <w:pPr>
      <w:tabs>
        <w:tab w:val="left" w:pos="360"/>
        <w:tab w:val="left" w:pos="900"/>
      </w:tabs>
      <w:adjustRightInd/>
      <w:spacing w:before="120" w:after="120"/>
      <w:ind w:left="542" w:leftChars="-12" w:firstLine="200" w:firstLineChars="200"/>
      <w:jc w:val="left"/>
    </w:pPr>
    <w:rPr>
      <w:rFonts w:ascii="宋体" w:hAnsi="宋体"/>
      <w:bCs w:val="0"/>
      <w:iCs/>
      <w:color w:val="0000FF"/>
      <w:kern w:val="0"/>
      <w:sz w:val="24"/>
      <w:szCs w:val="24"/>
    </w:rPr>
  </w:style>
  <w:style w:type="paragraph" w:customStyle="1" w:styleId="936">
    <w:name w:val="style11"/>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937">
    <w:name w:val="wj样式 + 首行缩进:  2 字符"/>
    <w:basedOn w:val="1"/>
    <w:next w:val="1"/>
    <w:qFormat/>
    <w:uiPriority w:val="0"/>
    <w:pPr>
      <w:spacing w:line="360" w:lineRule="auto"/>
      <w:ind w:firstLine="536" w:firstLineChars="200"/>
    </w:pPr>
    <w:rPr>
      <w:rFonts w:cs="宋体"/>
      <w:spacing w:val="14"/>
      <w:sz w:val="24"/>
      <w:szCs w:val="20"/>
    </w:rPr>
  </w:style>
  <w:style w:type="paragraph" w:customStyle="1" w:styleId="938">
    <w:name w:val="分布型"/>
    <w:basedOn w:val="349"/>
    <w:qFormat/>
    <w:uiPriority w:val="0"/>
    <w:pPr>
      <w:tabs>
        <w:tab w:val="left" w:pos="840"/>
      </w:tabs>
      <w:ind w:left="840" w:firstLine="0" w:firstLineChars="0"/>
    </w:pPr>
  </w:style>
  <w:style w:type="paragraph" w:customStyle="1" w:styleId="939">
    <w:name w:val="黑宋体"/>
    <w:basedOn w:val="6"/>
    <w:qFormat/>
    <w:uiPriority w:val="0"/>
    <w:pPr>
      <w:spacing w:before="0" w:after="0" w:line="360" w:lineRule="auto"/>
      <w:ind w:firstLine="200" w:firstLineChars="200"/>
      <w:textAlignment w:val="baseline"/>
      <w:outlineLvl w:val="9"/>
    </w:pPr>
    <w:rPr>
      <w:rFonts w:ascii="宋体" w:hAnsi="宋体"/>
      <w:b w:val="0"/>
      <w:color w:val="000000"/>
      <w:kern w:val="0"/>
      <w:sz w:val="24"/>
    </w:rPr>
  </w:style>
  <w:style w:type="paragraph" w:customStyle="1" w:styleId="940">
    <w:name w:val="样式 标题 3 + 左侧:  2 字符"/>
    <w:basedOn w:val="5"/>
    <w:qFormat/>
    <w:uiPriority w:val="0"/>
    <w:pPr>
      <w:widowControl/>
      <w:adjustRightInd/>
      <w:snapToGrid/>
      <w:ind w:left="200" w:leftChars="200"/>
      <w:jc w:val="left"/>
    </w:pPr>
    <w:rPr>
      <w:rFonts w:ascii="宋体" w:hAnsi="宋体" w:cs="宋体"/>
      <w:bCs w:val="0"/>
      <w:kern w:val="0"/>
      <w:szCs w:val="20"/>
    </w:rPr>
  </w:style>
  <w:style w:type="paragraph" w:customStyle="1" w:styleId="941">
    <w:name w:val="参"/>
    <w:basedOn w:val="1"/>
    <w:qFormat/>
    <w:uiPriority w:val="0"/>
    <w:pPr>
      <w:widowControl/>
      <w:autoSpaceDE w:val="0"/>
      <w:autoSpaceDN w:val="0"/>
      <w:adjustRightInd w:val="0"/>
      <w:ind w:left="482" w:hanging="482"/>
      <w:jc w:val="left"/>
    </w:pPr>
    <w:rPr>
      <w:rFonts w:ascii="宋体" w:hAnsi="宋体" w:cs="AdobeHeitiStd-Regular"/>
      <w:bCs/>
      <w:kern w:val="0"/>
      <w:szCs w:val="21"/>
    </w:rPr>
  </w:style>
  <w:style w:type="paragraph" w:customStyle="1" w:styleId="942">
    <w:name w:val="报告"/>
    <w:basedOn w:val="1"/>
    <w:qFormat/>
    <w:uiPriority w:val="0"/>
    <w:pPr>
      <w:spacing w:line="300" w:lineRule="auto"/>
      <w:ind w:firstLine="539"/>
    </w:pPr>
    <w:rPr>
      <w:sz w:val="24"/>
    </w:rPr>
  </w:style>
  <w:style w:type="paragraph" w:customStyle="1" w:styleId="943">
    <w:name w:val="Char Char Char Char Char Char2"/>
    <w:basedOn w:val="1"/>
    <w:qFormat/>
    <w:uiPriority w:val="0"/>
  </w:style>
  <w:style w:type="paragraph" w:customStyle="1" w:styleId="944">
    <w:name w:val="矿化度0.2"/>
    <w:basedOn w:val="1"/>
    <w:qFormat/>
    <w:uiPriority w:val="0"/>
    <w:pPr>
      <w:ind w:firstLine="420" w:firstLineChars="200"/>
    </w:pPr>
  </w:style>
  <w:style w:type="paragraph" w:customStyle="1" w:styleId="945">
    <w:name w:val="xl71"/>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946">
    <w:name w:val="标题3（自定义）"/>
    <w:basedOn w:val="1"/>
    <w:next w:val="612"/>
    <w:qFormat/>
    <w:uiPriority w:val="0"/>
    <w:pPr>
      <w:keepNext/>
      <w:keepLines/>
      <w:widowControl/>
      <w:spacing w:beforeLines="100" w:afterLines="100" w:line="360" w:lineRule="auto"/>
      <w:ind w:firstLine="200" w:firstLineChars="200"/>
      <w:outlineLvl w:val="2"/>
    </w:pPr>
    <w:rPr>
      <w:rFonts w:ascii="Century Gothic" w:hAnsi="Century Gothic" w:eastAsia="黑体"/>
      <w:b/>
      <w:kern w:val="0"/>
      <w:sz w:val="24"/>
    </w:rPr>
  </w:style>
  <w:style w:type="paragraph" w:customStyle="1" w:styleId="947">
    <w:name w:val="Char Char Char Char Char Char Char Char Char Char11"/>
    <w:basedOn w:val="1"/>
    <w:qFormat/>
    <w:uiPriority w:val="0"/>
    <w:rPr>
      <w:rFonts w:ascii="黑体" w:hAnsi="黑体" w:eastAsia="黑体"/>
      <w:b/>
      <w:spacing w:val="10"/>
      <w:sz w:val="28"/>
      <w:szCs w:val="20"/>
    </w:rPr>
  </w:style>
  <w:style w:type="paragraph" w:customStyle="1" w:styleId="948">
    <w:name w:val="样式 样式 正文首行缩进 2 + 首行缩进:  2 字符 + 首行缩进:  2 字符"/>
    <w:basedOn w:val="1"/>
    <w:qFormat/>
    <w:uiPriority w:val="0"/>
    <w:pPr>
      <w:adjustRightInd w:val="0"/>
      <w:spacing w:line="360" w:lineRule="auto"/>
      <w:ind w:right="23" w:rightChars="11" w:firstLine="436" w:firstLineChars="200"/>
      <w:jc w:val="left"/>
      <w:textAlignment w:val="baseline"/>
    </w:pPr>
    <w:rPr>
      <w:spacing w:val="4"/>
      <w:szCs w:val="21"/>
    </w:rPr>
  </w:style>
  <w:style w:type="paragraph" w:customStyle="1" w:styleId="949">
    <w:name w:val="xl3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kern w:val="0"/>
      <w:sz w:val="20"/>
      <w:szCs w:val="20"/>
    </w:rPr>
  </w:style>
  <w:style w:type="paragraph" w:customStyle="1" w:styleId="950">
    <w:name w:val="Char Char Char Char Char Char1 Char2"/>
    <w:basedOn w:val="1"/>
    <w:qFormat/>
    <w:uiPriority w:val="0"/>
    <w:pPr>
      <w:spacing w:line="360" w:lineRule="auto"/>
    </w:pPr>
    <w:rPr>
      <w:sz w:val="24"/>
    </w:rPr>
  </w:style>
  <w:style w:type="paragraph" w:customStyle="1" w:styleId="951">
    <w:name w:val="Char Char Char Char Char Char1 Char Char Char Char Char Char Char Char Char Char"/>
    <w:basedOn w:val="1"/>
    <w:qFormat/>
    <w:uiPriority w:val="0"/>
    <w:pPr>
      <w:spacing w:line="360" w:lineRule="auto"/>
      <w:ind w:firstLine="200" w:firstLineChars="200"/>
    </w:pPr>
    <w:rPr>
      <w:szCs w:val="20"/>
    </w:rPr>
  </w:style>
  <w:style w:type="paragraph" w:customStyle="1" w:styleId="952">
    <w:name w:val="xl77"/>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953">
    <w:name w:val="16"/>
    <w:qFormat/>
    <w:uiPriority w:val="0"/>
    <w:rPr>
      <w:rFonts w:ascii="Times New Roman" w:hAnsi="Times New Roman" w:eastAsia="宋体" w:cs="Times New Roman"/>
      <w:lang w:val="en-US" w:eastAsia="zh-CN" w:bidi="ar-SA"/>
    </w:rPr>
  </w:style>
  <w:style w:type="paragraph" w:customStyle="1" w:styleId="954">
    <w:name w:val="标题3getiao"/>
    <w:basedOn w:val="85"/>
    <w:next w:val="35"/>
    <w:qFormat/>
    <w:uiPriority w:val="0"/>
    <w:pPr>
      <w:widowControl/>
      <w:spacing w:before="60" w:line="360" w:lineRule="auto"/>
      <w:jc w:val="left"/>
      <w:outlineLvl w:val="2"/>
    </w:pPr>
    <w:rPr>
      <w:color w:val="000000"/>
      <w:sz w:val="24"/>
      <w:szCs w:val="24"/>
    </w:rPr>
  </w:style>
  <w:style w:type="paragraph" w:customStyle="1" w:styleId="955">
    <w:name w:val="正文居中"/>
    <w:basedOn w:val="1"/>
    <w:qFormat/>
    <w:uiPriority w:val="0"/>
    <w:pPr>
      <w:jc w:val="center"/>
    </w:pPr>
  </w:style>
  <w:style w:type="paragraph" w:customStyle="1" w:styleId="956">
    <w:name w:val="xl86"/>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957">
    <w:name w:val="正文居中粗"/>
    <w:basedOn w:val="1"/>
    <w:qFormat/>
    <w:uiPriority w:val="0"/>
    <w:pPr>
      <w:jc w:val="center"/>
    </w:pPr>
    <w:rPr>
      <w:rFonts w:ascii="宋体"/>
      <w:b/>
      <w:bCs/>
      <w:color w:val="000000"/>
      <w:spacing w:val="4"/>
    </w:rPr>
  </w:style>
  <w:style w:type="paragraph" w:customStyle="1" w:styleId="958">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959">
    <w:name w:val="图表1"/>
    <w:basedOn w:val="67"/>
    <w:qFormat/>
    <w:uiPriority w:val="0"/>
    <w:pPr>
      <w:snapToGrid w:val="0"/>
      <w:spacing w:line="360" w:lineRule="exact"/>
      <w:ind w:left="0" w:firstLine="0" w:firstLineChars="0"/>
      <w:jc w:val="center"/>
    </w:pPr>
    <w:rPr>
      <w:rFonts w:ascii="宋体" w:hAnsi="宋体"/>
      <w:spacing w:val="6"/>
      <w:sz w:val="24"/>
    </w:rPr>
  </w:style>
  <w:style w:type="paragraph" w:customStyle="1" w:styleId="960">
    <w:name w:val="标题四"/>
    <w:basedOn w:val="1"/>
    <w:qFormat/>
    <w:uiPriority w:val="0"/>
    <w:pPr>
      <w:snapToGrid w:val="0"/>
      <w:spacing w:line="400" w:lineRule="atLeast"/>
      <w:jc w:val="center"/>
    </w:pPr>
    <w:rPr>
      <w:rFonts w:ascii="宋体" w:hAnsi="宋体"/>
      <w:b/>
      <w:color w:val="000000"/>
      <w:sz w:val="24"/>
      <w:szCs w:val="20"/>
    </w:rPr>
  </w:style>
  <w:style w:type="paragraph" w:customStyle="1" w:styleId="961">
    <w:name w:val="样式 标题 3 + 段前: 10 磅 段后: 10 磅"/>
    <w:basedOn w:val="5"/>
    <w:qFormat/>
    <w:uiPriority w:val="0"/>
    <w:pPr>
      <w:snapToGrid/>
      <w:spacing w:before="260" w:beforeLines="25" w:after="260" w:afterLines="25"/>
      <w:ind w:firstLine="480" w:firstLineChars="200"/>
      <w:textAlignment w:val="baseline"/>
    </w:pPr>
    <w:rPr>
      <w:rFonts w:ascii="黑体" w:hAnsi="宋体"/>
      <w:b/>
      <w:bCs w:val="0"/>
      <w:iCs/>
      <w:color w:val="0000FF"/>
      <w:kern w:val="0"/>
      <w:sz w:val="24"/>
      <w:szCs w:val="20"/>
    </w:rPr>
  </w:style>
  <w:style w:type="paragraph" w:customStyle="1" w:styleId="962">
    <w:name w:val="样式 表格 +"/>
    <w:basedOn w:val="152"/>
    <w:qFormat/>
    <w:uiPriority w:val="0"/>
    <w:pPr>
      <w:autoSpaceDE w:val="0"/>
      <w:autoSpaceDN w:val="0"/>
      <w:snapToGrid/>
      <w:spacing w:beforeLines="0" w:afterLines="0" w:line="320" w:lineRule="exact"/>
      <w:jc w:val="both"/>
    </w:pPr>
    <w:rPr>
      <w:spacing w:val="6"/>
      <w:sz w:val="21"/>
      <w:lang w:val="zh-CN"/>
    </w:rPr>
  </w:style>
  <w:style w:type="paragraph" w:customStyle="1" w:styleId="963">
    <w:name w:val="xl48"/>
    <w:basedOn w:val="1"/>
    <w:qFormat/>
    <w:uiPriority w:val="0"/>
    <w:pPr>
      <w:widowControl/>
      <w:spacing w:before="102" w:after="102" w:line="351" w:lineRule="atLeast"/>
      <w:ind w:firstLine="419"/>
      <w:jc w:val="center"/>
      <w:textAlignment w:val="baseline"/>
    </w:pPr>
    <w:rPr>
      <w:rFonts w:ascii="Arial Unicode MS"/>
      <w:color w:val="000000"/>
      <w:kern w:val="0"/>
      <w:szCs w:val="20"/>
    </w:rPr>
  </w:style>
  <w:style w:type="paragraph" w:customStyle="1" w:styleId="964">
    <w:name w:val="abc"/>
    <w:basedOn w:val="87"/>
    <w:qFormat/>
    <w:uiPriority w:val="0"/>
    <w:pPr>
      <w:tabs>
        <w:tab w:val="left" w:pos="1440"/>
        <w:tab w:val="left" w:pos="1680"/>
      </w:tabs>
      <w:adjustRightInd w:val="0"/>
      <w:snapToGrid w:val="0"/>
      <w:spacing w:line="360" w:lineRule="atLeast"/>
      <w:ind w:firstLine="624" w:firstLineChars="0"/>
      <w:jc w:val="left"/>
      <w:textAlignment w:val="baseline"/>
    </w:pPr>
    <w:rPr>
      <w:w w:val="110"/>
      <w:kern w:val="0"/>
      <w:sz w:val="24"/>
      <w:szCs w:val="20"/>
    </w:rPr>
  </w:style>
  <w:style w:type="paragraph" w:customStyle="1" w:styleId="965">
    <w:name w:val="样式 表名 + Times New Roman 段前: 0.5 行 段后: 0.5 行1"/>
    <w:basedOn w:val="245"/>
    <w:qFormat/>
    <w:uiPriority w:val="0"/>
    <w:pPr>
      <w:topLinePunct/>
      <w:spacing w:beforeLines="50" w:line="440" w:lineRule="exact"/>
      <w:jc w:val="center"/>
      <w:textAlignment w:val="auto"/>
      <w:outlineLvl w:val="4"/>
    </w:pPr>
    <w:rPr>
      <w:rFonts w:eastAsia="宋体" w:cs="宋体"/>
      <w:b/>
      <w:bCs/>
      <w:sz w:val="24"/>
    </w:rPr>
  </w:style>
  <w:style w:type="paragraph" w:customStyle="1" w:styleId="966">
    <w:name w:val="样式 备注 + 宋体 首行缩进:  2 字符"/>
    <w:basedOn w:val="967"/>
    <w:qFormat/>
    <w:uiPriority w:val="0"/>
    <w:pPr>
      <w:overflowPunct/>
      <w:topLinePunct w:val="0"/>
      <w:ind w:firstLine="420" w:firstLineChars="200"/>
    </w:pPr>
    <w:rPr>
      <w:rFonts w:ascii="宋体" w:cs="宋体"/>
      <w:spacing w:val="6"/>
      <w:kern w:val="2"/>
      <w:sz w:val="18"/>
      <w:szCs w:val="20"/>
    </w:rPr>
  </w:style>
  <w:style w:type="paragraph" w:customStyle="1" w:styleId="967">
    <w:name w:val="备注"/>
    <w:basedOn w:val="194"/>
    <w:qFormat/>
    <w:uiPriority w:val="0"/>
    <w:pPr>
      <w:overflowPunct w:val="0"/>
      <w:topLinePunct/>
      <w:ind w:firstLine="0" w:firstLineChars="0"/>
    </w:pPr>
    <w:rPr>
      <w:rFonts w:cs="Times New Roman"/>
      <w:spacing w:val="14"/>
      <w:kern w:val="0"/>
      <w:sz w:val="21"/>
      <w:szCs w:val="21"/>
    </w:rPr>
  </w:style>
  <w:style w:type="paragraph" w:customStyle="1" w:styleId="968">
    <w:name w:val="样式 标题 1式样b标题 1 Char Char标题 1XW章h11st levelSection Headl1..."/>
    <w:basedOn w:val="3"/>
    <w:qFormat/>
    <w:uiPriority w:val="0"/>
    <w:pPr>
      <w:keepLines/>
      <w:overflowPunct/>
      <w:snapToGrid/>
      <w:spacing w:before="100" w:beforeAutospacing="1" w:after="100" w:afterAutospacing="1" w:line="360" w:lineRule="auto"/>
      <w:ind w:left="0" w:firstLine="0"/>
      <w:jc w:val="left"/>
    </w:pPr>
    <w:rPr>
      <w:rFonts w:ascii="Arial" w:hAnsi="Arial" w:cs="宋体"/>
      <w:b w:val="0"/>
      <w:bCs w:val="0"/>
      <w:color w:val="auto"/>
      <w:szCs w:val="20"/>
    </w:rPr>
  </w:style>
  <w:style w:type="paragraph" w:customStyle="1" w:styleId="969">
    <w:name w:val="Char22"/>
    <w:basedOn w:val="1"/>
    <w:qFormat/>
    <w:uiPriority w:val="0"/>
    <w:rPr>
      <w:rFonts w:ascii="Tahoma" w:hAnsi="Tahoma"/>
      <w:sz w:val="24"/>
      <w:szCs w:val="20"/>
    </w:rPr>
  </w:style>
  <w:style w:type="paragraph" w:customStyle="1" w:styleId="970">
    <w:name w:val="样式 报告正文 + 首行缩进:  2 字符"/>
    <w:basedOn w:val="1"/>
    <w:qFormat/>
    <w:uiPriority w:val="0"/>
    <w:pPr>
      <w:keepNext/>
      <w:spacing w:line="500" w:lineRule="exact"/>
      <w:ind w:firstLine="560" w:firstLineChars="200"/>
      <w:jc w:val="left"/>
      <w:outlineLvl w:val="1"/>
    </w:pPr>
    <w:rPr>
      <w:rFonts w:eastAsia="楷体_GB2312" w:cs="宋体"/>
      <w:sz w:val="28"/>
      <w:szCs w:val="20"/>
    </w:rPr>
  </w:style>
  <w:style w:type="paragraph" w:customStyle="1" w:styleId="971">
    <w:name w:val="样式 首行缩进:  1.04 厘米"/>
    <w:basedOn w:val="1"/>
    <w:qFormat/>
    <w:uiPriority w:val="0"/>
    <w:pPr>
      <w:adjustRightInd w:val="0"/>
      <w:spacing w:line="400" w:lineRule="exact"/>
      <w:ind w:firstLine="480" w:firstLineChars="200"/>
      <w:textAlignment w:val="baseline"/>
    </w:pPr>
    <w:rPr>
      <w:kern w:val="0"/>
      <w:sz w:val="24"/>
    </w:rPr>
  </w:style>
  <w:style w:type="paragraph" w:customStyle="1" w:styleId="972">
    <w:name w:val="xyb自建表格名称 Char"/>
    <w:basedOn w:val="1"/>
    <w:qFormat/>
    <w:uiPriority w:val="0"/>
    <w:pPr>
      <w:spacing w:line="360" w:lineRule="auto"/>
      <w:jc w:val="center"/>
    </w:pPr>
    <w:rPr>
      <w:rFonts w:ascii="宋体" w:hAnsi="宋体"/>
      <w:sz w:val="24"/>
    </w:rPr>
  </w:style>
  <w:style w:type="paragraph" w:customStyle="1" w:styleId="973">
    <w:name w:val="报告书三级标题"/>
    <w:basedOn w:val="5"/>
    <w:qFormat/>
    <w:uiPriority w:val="0"/>
    <w:pPr>
      <w:adjustRightInd/>
      <w:snapToGrid/>
      <w:spacing w:line="300" w:lineRule="auto"/>
    </w:pPr>
    <w:rPr>
      <w:rFonts w:ascii="宋体" w:hAnsi="宋体"/>
      <w:kern w:val="0"/>
      <w:sz w:val="24"/>
      <w:szCs w:val="24"/>
    </w:rPr>
  </w:style>
  <w:style w:type="paragraph" w:customStyle="1" w:styleId="974">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97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976">
    <w:name w:val="文件"/>
    <w:basedOn w:val="1"/>
    <w:qFormat/>
    <w:uiPriority w:val="0"/>
    <w:pPr>
      <w:tabs>
        <w:tab w:val="left" w:pos="1440"/>
        <w:tab w:val="left" w:pos="1680"/>
      </w:tabs>
      <w:adjustRightInd w:val="0"/>
      <w:snapToGrid w:val="0"/>
      <w:spacing w:before="120" w:after="120" w:line="360" w:lineRule="auto"/>
    </w:pPr>
    <w:rPr>
      <w:rFonts w:ascii="黑体" w:eastAsia="黑体"/>
      <w:w w:val="110"/>
      <w:kern w:val="0"/>
      <w:sz w:val="24"/>
      <w:szCs w:val="20"/>
    </w:rPr>
  </w:style>
  <w:style w:type="paragraph" w:customStyle="1" w:styleId="977">
    <w:name w:val="Char Char Char Char Char Char Char Char Char1"/>
    <w:basedOn w:val="1"/>
    <w:next w:val="2"/>
    <w:qFormat/>
    <w:uiPriority w:val="0"/>
    <w:rPr>
      <w:sz w:val="28"/>
      <w:szCs w:val="28"/>
    </w:rPr>
  </w:style>
  <w:style w:type="paragraph" w:customStyle="1" w:styleId="978">
    <w:name w:val="文本框"/>
    <w:basedOn w:val="1"/>
    <w:qFormat/>
    <w:uiPriority w:val="0"/>
    <w:pPr>
      <w:spacing w:line="240" w:lineRule="atLeast"/>
      <w:jc w:val="center"/>
    </w:pPr>
    <w:rPr>
      <w:rFonts w:eastAsia="仿宋_GB2312"/>
      <w:sz w:val="24"/>
      <w:szCs w:val="21"/>
    </w:rPr>
  </w:style>
  <w:style w:type="paragraph" w:customStyle="1" w:styleId="979">
    <w:name w:val="三级标题光"/>
    <w:basedOn w:val="1"/>
    <w:qFormat/>
    <w:uiPriority w:val="0"/>
    <w:pPr>
      <w:spacing w:beforeLines="25" w:afterLines="25" w:line="460" w:lineRule="exact"/>
      <w:outlineLvl w:val="2"/>
    </w:pPr>
    <w:rPr>
      <w:rFonts w:ascii="黑体" w:hAnsi="宋体" w:eastAsia="黑体"/>
      <w:b/>
      <w:sz w:val="24"/>
      <w:szCs w:val="28"/>
    </w:rPr>
  </w:style>
  <w:style w:type="paragraph" w:customStyle="1" w:styleId="980">
    <w:name w:val="封面6"/>
    <w:basedOn w:val="981"/>
    <w:next w:val="1"/>
    <w:qFormat/>
    <w:uiPriority w:val="0"/>
    <w:pPr>
      <w:spacing w:beforeLines="0" w:afterLines="0" w:line="240" w:lineRule="auto"/>
    </w:pPr>
    <w:rPr>
      <w:rFonts w:ascii="华文新魏" w:eastAsia="华文新魏"/>
      <w:color w:val="auto"/>
      <w:sz w:val="32"/>
      <w:szCs w:val="20"/>
    </w:rPr>
  </w:style>
  <w:style w:type="paragraph" w:customStyle="1" w:styleId="981">
    <w:name w:val="封面1"/>
    <w:basedOn w:val="1"/>
    <w:qFormat/>
    <w:uiPriority w:val="0"/>
    <w:pPr>
      <w:adjustRightInd w:val="0"/>
      <w:snapToGrid w:val="0"/>
      <w:spacing w:beforeLines="50" w:afterLines="50" w:line="360" w:lineRule="auto"/>
      <w:ind w:firstLine="480" w:firstLineChars="200"/>
    </w:pPr>
    <w:rPr>
      <w:rFonts w:eastAsia="黑体"/>
      <w:color w:val="CC3300"/>
      <w:kern w:val="0"/>
      <w:sz w:val="28"/>
    </w:rPr>
  </w:style>
  <w:style w:type="paragraph" w:customStyle="1" w:styleId="982">
    <w:name w:val="四标"/>
    <w:basedOn w:val="6"/>
    <w:qFormat/>
    <w:uiPriority w:val="0"/>
    <w:pPr>
      <w:widowControl/>
      <w:spacing w:before="0" w:after="0" w:line="360" w:lineRule="auto"/>
      <w:ind w:firstLine="482" w:firstLineChars="200"/>
      <w:jc w:val="left"/>
    </w:pPr>
    <w:rPr>
      <w:rFonts w:ascii="Times New Roman" w:hAnsi="Times New Roman"/>
      <w:kern w:val="0"/>
      <w:sz w:val="24"/>
      <w:szCs w:val="24"/>
    </w:rPr>
  </w:style>
  <w:style w:type="paragraph" w:customStyle="1" w:styleId="983">
    <w:name w:val="标题 43"/>
    <w:basedOn w:val="1"/>
    <w:next w:val="1"/>
    <w:qFormat/>
    <w:uiPriority w:val="0"/>
    <w:pPr>
      <w:adjustRightInd w:val="0"/>
      <w:snapToGrid w:val="0"/>
      <w:spacing w:beforeLines="50" w:line="360" w:lineRule="auto"/>
      <w:ind w:firstLine="540" w:firstLineChars="192"/>
      <w:jc w:val="left"/>
    </w:pPr>
    <w:rPr>
      <w:rFonts w:ascii="宋体" w:hAnsi="宋体"/>
      <w:b/>
      <w:sz w:val="28"/>
      <w:szCs w:val="28"/>
    </w:rPr>
  </w:style>
  <w:style w:type="paragraph" w:customStyle="1" w:styleId="984">
    <w:name w:val="表头居中"/>
    <w:basedOn w:val="1"/>
    <w:qFormat/>
    <w:uiPriority w:val="0"/>
    <w:pPr>
      <w:overflowPunct w:val="0"/>
      <w:spacing w:line="240" w:lineRule="exact"/>
      <w:ind w:left="-1" w:leftChars="-1" w:hanging="2" w:hangingChars="1"/>
      <w:jc w:val="center"/>
    </w:pPr>
    <w:rPr>
      <w:rFonts w:eastAsia="楷体_GB2312"/>
      <w:kern w:val="0"/>
      <w:sz w:val="18"/>
      <w:szCs w:val="18"/>
    </w:rPr>
  </w:style>
  <w:style w:type="paragraph" w:customStyle="1" w:styleId="985">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986">
    <w:name w:val="页眉头"/>
    <w:basedOn w:val="58"/>
    <w:qFormat/>
    <w:uiPriority w:val="0"/>
    <w:pPr>
      <w:pBdr>
        <w:bottom w:val="none" w:color="auto" w:sz="0" w:space="0"/>
      </w:pBdr>
      <w:adjustRightInd w:val="0"/>
      <w:spacing w:beforeLines="50" w:afterLines="50"/>
      <w:ind w:left="476" w:right="476" w:firstLine="454"/>
    </w:pPr>
    <w:rPr>
      <w:color w:val="000000"/>
      <w:kern w:val="0"/>
      <w:szCs w:val="20"/>
    </w:rPr>
  </w:style>
  <w:style w:type="paragraph" w:customStyle="1" w:styleId="987">
    <w:name w:val="样式 样式 正文文本（getiao） + 首行缩进:  2 字符 + 左  0.57 字符"/>
    <w:basedOn w:val="534"/>
    <w:qFormat/>
    <w:uiPriority w:val="0"/>
    <w:pPr>
      <w:ind w:left="120" w:leftChars="57" w:firstLine="360" w:firstLineChars="150"/>
    </w:pPr>
  </w:style>
  <w:style w:type="paragraph" w:customStyle="1" w:styleId="988">
    <w:name w:val="样式 表格1 + (符号) 宋体 黑色"/>
    <w:basedOn w:val="1"/>
    <w:qFormat/>
    <w:uiPriority w:val="0"/>
    <w:pPr>
      <w:tabs>
        <w:tab w:val="left" w:pos="1440"/>
        <w:tab w:val="left" w:pos="1680"/>
      </w:tabs>
      <w:adjustRightInd w:val="0"/>
      <w:jc w:val="center"/>
    </w:pPr>
    <w:rPr>
      <w:color w:val="000000"/>
      <w:spacing w:val="-8"/>
      <w:szCs w:val="21"/>
    </w:rPr>
  </w:style>
  <w:style w:type="paragraph" w:customStyle="1" w:styleId="989">
    <w:name w:val="xl2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990">
    <w:name w:val="图框文字"/>
    <w:basedOn w:val="161"/>
    <w:qFormat/>
    <w:uiPriority w:val="0"/>
    <w:pPr>
      <w:framePr w:wrap="around" w:vAnchor="margin" w:hAnchor="text" w:y="1"/>
      <w:tabs>
        <w:tab w:val="left" w:pos="-24"/>
      </w:tabs>
      <w:adjustRightInd/>
      <w:snapToGrid/>
      <w:spacing w:before="0" w:line="240" w:lineRule="atLeast"/>
      <w:ind w:right="0"/>
      <w:textAlignment w:val="baseline"/>
    </w:pPr>
    <w:rPr>
      <w:rFonts w:ascii="宋体" w:hAnsi="宋体"/>
      <w:snapToGrid/>
      <w:color w:val="000000"/>
      <w:sz w:val="24"/>
      <w:szCs w:val="20"/>
    </w:rPr>
  </w:style>
  <w:style w:type="paragraph" w:customStyle="1" w:styleId="991">
    <w:name w:val="font1"/>
    <w:basedOn w:val="1"/>
    <w:qFormat/>
    <w:uiPriority w:val="0"/>
    <w:pPr>
      <w:widowControl/>
      <w:spacing w:before="100" w:beforeAutospacing="1" w:after="100" w:afterAutospacing="1"/>
      <w:jc w:val="left"/>
    </w:pPr>
    <w:rPr>
      <w:rFonts w:ascii="宋体" w:hAnsi="宋体"/>
      <w:kern w:val="0"/>
      <w:sz w:val="24"/>
    </w:rPr>
  </w:style>
  <w:style w:type="paragraph" w:customStyle="1" w:styleId="992">
    <w:name w:val="报告书正文"/>
    <w:basedOn w:val="1"/>
    <w:qFormat/>
    <w:uiPriority w:val="0"/>
    <w:pPr>
      <w:adjustRightInd w:val="0"/>
      <w:ind w:left="-17" w:leftChars="-19" w:hanging="23" w:hangingChars="11"/>
    </w:pPr>
    <w:rPr>
      <w:rFonts w:ascii="宋体" w:hAnsi="宋体"/>
      <w:kern w:val="0"/>
      <w:szCs w:val="21"/>
    </w:rPr>
  </w:style>
  <w:style w:type="paragraph" w:customStyle="1" w:styleId="993">
    <w:name w:val="Char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94">
    <w:name w:val="xl63"/>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995">
    <w:name w:val="表格+小五"/>
    <w:basedOn w:val="1"/>
    <w:next w:val="1"/>
    <w:qFormat/>
    <w:uiPriority w:val="0"/>
    <w:pPr>
      <w:spacing w:line="280" w:lineRule="exact"/>
      <w:jc w:val="center"/>
    </w:pPr>
    <w:rPr>
      <w:kern w:val="0"/>
      <w:sz w:val="18"/>
      <w:szCs w:val="18"/>
    </w:rPr>
  </w:style>
  <w:style w:type="paragraph" w:customStyle="1" w:styleId="996">
    <w:name w:val="样式 表名 + Times New Roman 段前: 0.5 行 段后: 0.5 行"/>
    <w:basedOn w:val="245"/>
    <w:qFormat/>
    <w:uiPriority w:val="0"/>
    <w:pPr>
      <w:topLinePunct/>
      <w:spacing w:beforeLines="50" w:line="440" w:lineRule="exact"/>
      <w:jc w:val="center"/>
      <w:textAlignment w:val="auto"/>
      <w:outlineLvl w:val="4"/>
    </w:pPr>
    <w:rPr>
      <w:rFonts w:hAnsi="华文楷体" w:eastAsia="宋体" w:cs="宋体"/>
      <w:b/>
      <w:bCs/>
      <w:sz w:val="24"/>
    </w:rPr>
  </w:style>
  <w:style w:type="paragraph" w:customStyle="1" w:styleId="997">
    <w:name w:val="Char Char6 Char Char3"/>
    <w:basedOn w:val="1"/>
    <w:next w:val="2"/>
    <w:qFormat/>
    <w:uiPriority w:val="0"/>
    <w:rPr>
      <w:sz w:val="28"/>
      <w:szCs w:val="28"/>
    </w:rPr>
  </w:style>
  <w:style w:type="paragraph" w:customStyle="1" w:styleId="998">
    <w:name w:val="Char Char6 Char Char2"/>
    <w:basedOn w:val="1"/>
    <w:next w:val="2"/>
    <w:qFormat/>
    <w:uiPriority w:val="0"/>
    <w:rPr>
      <w:sz w:val="28"/>
      <w:szCs w:val="28"/>
    </w:rPr>
  </w:style>
  <w:style w:type="paragraph" w:customStyle="1" w:styleId="999">
    <w:name w:val="默认段落字体 Para Char Char Char Char"/>
    <w:basedOn w:val="1"/>
    <w:qFormat/>
    <w:uiPriority w:val="0"/>
    <w:rPr>
      <w:sz w:val="24"/>
    </w:rPr>
  </w:style>
  <w:style w:type="paragraph" w:customStyle="1" w:styleId="1000">
    <w:name w:val="正文（首行缩进两字）m"/>
    <w:basedOn w:val="22"/>
    <w:qFormat/>
    <w:uiPriority w:val="0"/>
    <w:pPr>
      <w:tabs>
        <w:tab w:val="left" w:pos="1848"/>
        <w:tab w:val="left" w:pos="6061"/>
        <w:tab w:val="left" w:pos="8665"/>
      </w:tabs>
      <w:adjustRightInd w:val="0"/>
      <w:snapToGrid w:val="0"/>
      <w:spacing w:beforeLines="50" w:line="460" w:lineRule="exact"/>
      <w:ind w:firstLine="480"/>
    </w:pPr>
    <w:rPr>
      <w:color w:val="339966"/>
      <w:sz w:val="24"/>
      <w:szCs w:val="20"/>
    </w:rPr>
  </w:style>
  <w:style w:type="paragraph" w:customStyle="1" w:styleId="1001">
    <w:name w:val="Char Char6 Char Char1"/>
    <w:basedOn w:val="1"/>
    <w:next w:val="2"/>
    <w:qFormat/>
    <w:uiPriority w:val="0"/>
    <w:rPr>
      <w:sz w:val="28"/>
      <w:szCs w:val="28"/>
    </w:rPr>
  </w:style>
  <w:style w:type="paragraph" w:customStyle="1" w:styleId="1002">
    <w:name w:val="标准"/>
    <w:basedOn w:val="1"/>
    <w:qFormat/>
    <w:uiPriority w:val="0"/>
    <w:pPr>
      <w:tabs>
        <w:tab w:val="left" w:pos="5040"/>
      </w:tabs>
      <w:autoSpaceDE w:val="0"/>
      <w:autoSpaceDN w:val="0"/>
      <w:adjustRightInd w:val="0"/>
      <w:jc w:val="left"/>
      <w:textAlignment w:val="baseline"/>
    </w:pPr>
    <w:rPr>
      <w:rFonts w:ascii="宋体"/>
      <w:kern w:val="0"/>
      <w:sz w:val="31"/>
      <w:szCs w:val="20"/>
    </w:rPr>
  </w:style>
  <w:style w:type="paragraph" w:customStyle="1" w:styleId="1003">
    <w:name w:val="xl60"/>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1004">
    <w:name w:val="样式 (中文) 黑体 小四 首行缩进:  0.95 厘米 段前: 6 磅 行距: 1.5 倍行距"/>
    <w:basedOn w:val="1"/>
    <w:qFormat/>
    <w:uiPriority w:val="0"/>
    <w:pPr>
      <w:adjustRightInd w:val="0"/>
      <w:spacing w:before="120" w:line="360" w:lineRule="auto"/>
      <w:ind w:firstLine="539"/>
      <w:textAlignment w:val="baseline"/>
    </w:pPr>
    <w:rPr>
      <w:rFonts w:cs="宋体"/>
      <w:spacing w:val="5"/>
      <w:kern w:val="0"/>
      <w:sz w:val="24"/>
      <w:szCs w:val="20"/>
    </w:rPr>
  </w:style>
  <w:style w:type="paragraph" w:customStyle="1" w:styleId="1005">
    <w:name w:val="正文文字缩进"/>
    <w:basedOn w:val="1"/>
    <w:qFormat/>
    <w:uiPriority w:val="0"/>
    <w:pPr>
      <w:widowControl/>
      <w:spacing w:line="708" w:lineRule="atLeast"/>
      <w:ind w:firstLine="481"/>
      <w:textAlignment w:val="baseline"/>
    </w:pPr>
    <w:rPr>
      <w:color w:val="000000"/>
      <w:kern w:val="0"/>
      <w:sz w:val="24"/>
      <w:szCs w:val="20"/>
    </w:rPr>
  </w:style>
  <w:style w:type="paragraph" w:customStyle="1" w:styleId="1006">
    <w:name w:val="表格体"/>
    <w:qFormat/>
    <w:uiPriority w:val="0"/>
    <w:pPr>
      <w:adjustRightInd w:val="0"/>
      <w:snapToGrid w:val="0"/>
      <w:jc w:val="center"/>
    </w:pPr>
    <w:rPr>
      <w:rFonts w:ascii="Times New Roman" w:hAnsi="Times New Roman" w:eastAsia="宋体" w:cs="Times New Roman"/>
      <w:bCs/>
      <w:kern w:val="2"/>
      <w:sz w:val="21"/>
      <w:szCs w:val="24"/>
      <w:lang w:val="en-US" w:eastAsia="zh-CN" w:bidi="ar-SA"/>
    </w:rPr>
  </w:style>
  <w:style w:type="paragraph" w:customStyle="1" w:styleId="1007">
    <w:name w:val="新标题1"/>
    <w:qFormat/>
    <w:uiPriority w:val="0"/>
    <w:pPr>
      <w:outlineLvl w:val="0"/>
    </w:pPr>
    <w:rPr>
      <w:rFonts w:ascii="Times New Roman" w:hAnsi="Times New Roman" w:eastAsia="宋体" w:cs="Times New Roman"/>
      <w:b/>
      <w:color w:val="000000"/>
      <w:kern w:val="2"/>
      <w:sz w:val="28"/>
      <w:szCs w:val="52"/>
      <w:lang w:val="en-US" w:eastAsia="zh-CN" w:bidi="ar-SA"/>
    </w:rPr>
  </w:style>
  <w:style w:type="paragraph" w:customStyle="1" w:styleId="1008">
    <w:name w:val="xl50"/>
    <w:basedOn w:val="1"/>
    <w:qFormat/>
    <w:uiPriority w:val="0"/>
    <w:pPr>
      <w:widowControl/>
      <w:spacing w:before="102" w:after="102" w:line="351" w:lineRule="atLeast"/>
      <w:ind w:firstLine="419"/>
      <w:jc w:val="left"/>
      <w:textAlignment w:val="baseline"/>
    </w:pPr>
    <w:rPr>
      <w:color w:val="00FF00"/>
      <w:kern w:val="0"/>
      <w:sz w:val="24"/>
      <w:szCs w:val="20"/>
    </w:rPr>
  </w:style>
  <w:style w:type="paragraph" w:customStyle="1" w:styleId="1009">
    <w:name w:val="正文文字缩进 2"/>
    <w:basedOn w:val="1"/>
    <w:qFormat/>
    <w:uiPriority w:val="0"/>
    <w:pPr>
      <w:widowControl/>
      <w:spacing w:line="708" w:lineRule="atLeast"/>
      <w:ind w:firstLine="510"/>
      <w:textAlignment w:val="baseline"/>
    </w:pPr>
    <w:rPr>
      <w:color w:val="000000"/>
      <w:kern w:val="0"/>
      <w:sz w:val="24"/>
      <w:szCs w:val="20"/>
    </w:rPr>
  </w:style>
  <w:style w:type="paragraph" w:customStyle="1" w:styleId="1010">
    <w:name w:val="列表延续 5"/>
    <w:basedOn w:val="1"/>
    <w:qFormat/>
    <w:uiPriority w:val="0"/>
    <w:pPr>
      <w:autoSpaceDE w:val="0"/>
      <w:autoSpaceDN w:val="0"/>
      <w:adjustRightInd w:val="0"/>
      <w:spacing w:after="120" w:line="400" w:lineRule="exact"/>
      <w:ind w:left="1260"/>
      <w:jc w:val="left"/>
    </w:pPr>
    <w:rPr>
      <w:rFonts w:ascii="宋体" w:hAnsi="Tms Rmn"/>
      <w:spacing w:val="-5"/>
      <w:kern w:val="0"/>
      <w:sz w:val="26"/>
      <w:szCs w:val="20"/>
    </w:rPr>
  </w:style>
  <w:style w:type="paragraph" w:customStyle="1" w:styleId="1011">
    <w:name w:val="文字块"/>
    <w:basedOn w:val="1"/>
    <w:qFormat/>
    <w:uiPriority w:val="0"/>
    <w:pPr>
      <w:widowControl/>
      <w:spacing w:line="606" w:lineRule="atLeast"/>
      <w:ind w:left="-351" w:right="-147" w:firstLine="538"/>
      <w:textAlignment w:val="baseline"/>
    </w:pPr>
    <w:rPr>
      <w:color w:val="000000"/>
      <w:kern w:val="0"/>
      <w:sz w:val="24"/>
      <w:szCs w:val="20"/>
    </w:rPr>
  </w:style>
  <w:style w:type="paragraph" w:customStyle="1" w:styleId="1012">
    <w:name w:val="样式 标题1 + 行距: 1.5 倍行距"/>
    <w:basedOn w:val="46"/>
    <w:next w:val="3"/>
    <w:qFormat/>
    <w:uiPriority w:val="0"/>
    <w:pPr>
      <w:overflowPunct w:val="0"/>
      <w:topLinePunct/>
      <w:spacing w:line="360" w:lineRule="auto"/>
      <w:jc w:val="center"/>
      <w:outlineLvl w:val="0"/>
    </w:pPr>
    <w:rPr>
      <w:rFonts w:hAnsi="宋体" w:eastAsia="华文中宋" w:cs="宋体"/>
      <w:b/>
      <w:bCs/>
      <w:color w:val="000000"/>
      <w:kern w:val="0"/>
      <w:sz w:val="32"/>
    </w:rPr>
  </w:style>
  <w:style w:type="paragraph" w:customStyle="1" w:styleId="1013">
    <w:name w:val="三级标题"/>
    <w:basedOn w:val="5"/>
    <w:next w:val="542"/>
    <w:qFormat/>
    <w:uiPriority w:val="0"/>
    <w:pPr>
      <w:adjustRightInd/>
      <w:snapToGrid/>
      <w:spacing w:before="120" w:after="120"/>
      <w:jc w:val="left"/>
    </w:pPr>
    <w:rPr>
      <w:rFonts w:ascii="宋体" w:hAnsi="宋体"/>
      <w:bCs w:val="0"/>
      <w:sz w:val="28"/>
      <w:szCs w:val="28"/>
    </w:rPr>
  </w:style>
  <w:style w:type="paragraph" w:customStyle="1" w:styleId="1014">
    <w:name w:val="样式 标题 4款标题1.1.1.1标题 4XW Char标题 4XW Char Char标题 4 Char标题 4XW..."/>
    <w:basedOn w:val="6"/>
    <w:qFormat/>
    <w:uiPriority w:val="0"/>
    <w:pPr>
      <w:adjustRightInd w:val="0"/>
      <w:spacing w:before="0" w:after="0" w:line="360" w:lineRule="auto"/>
      <w:ind w:left="855" w:hanging="360" w:firstLineChars="200"/>
      <w:jc w:val="left"/>
      <w:textAlignment w:val="baseline"/>
    </w:pPr>
    <w:rPr>
      <w:rFonts w:ascii="Times New Roman" w:hAnsi="Times New Roman" w:cs="宋体"/>
      <w:b w:val="0"/>
      <w:spacing w:val="5"/>
      <w:kern w:val="44"/>
      <w:szCs w:val="20"/>
    </w:rPr>
  </w:style>
  <w:style w:type="paragraph" w:customStyle="1" w:styleId="1015">
    <w:name w:val="Char1 Char Char Char Char Char Char Char"/>
    <w:basedOn w:val="1"/>
    <w:qFormat/>
    <w:uiPriority w:val="0"/>
    <w:pPr>
      <w:widowControl/>
      <w:spacing w:before="100" w:beforeAutospacing="1" w:after="100" w:afterAutospacing="1" w:line="360" w:lineRule="auto"/>
      <w:ind w:left="360" w:firstLine="624"/>
      <w:jc w:val="left"/>
    </w:pPr>
    <w:rPr>
      <w:rFonts w:ascii="??" w:hAnsi="??" w:eastAsia="仿宋_GB2312" w:cs="宋体"/>
      <w:color w:val="51585D"/>
      <w:kern w:val="0"/>
      <w:sz w:val="32"/>
      <w:szCs w:val="18"/>
    </w:rPr>
  </w:style>
  <w:style w:type="paragraph" w:customStyle="1" w:styleId="1016">
    <w:name w:val="Char Char Char Char Char Char Char Char Char Char1"/>
    <w:basedOn w:val="1"/>
    <w:qFormat/>
    <w:uiPriority w:val="0"/>
    <w:pPr>
      <w:tabs>
        <w:tab w:val="left" w:pos="425"/>
      </w:tabs>
      <w:ind w:left="425" w:hanging="425"/>
    </w:pPr>
    <w:rPr>
      <w:rFonts w:ascii="Arial" w:hAnsi="Arial" w:eastAsia="黑体" w:cs="宋体"/>
      <w:b/>
      <w:bCs/>
      <w:sz w:val="32"/>
      <w:szCs w:val="32"/>
    </w:rPr>
  </w:style>
  <w:style w:type="paragraph" w:customStyle="1" w:styleId="1017">
    <w:name w:val="表格字体"/>
    <w:basedOn w:val="1"/>
    <w:qFormat/>
    <w:uiPriority w:val="0"/>
    <w:pPr>
      <w:spacing w:line="240" w:lineRule="exact"/>
    </w:pPr>
    <w:rPr>
      <w:szCs w:val="21"/>
    </w:rPr>
  </w:style>
  <w:style w:type="paragraph" w:customStyle="1" w:styleId="1018">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1019">
    <w:name w:val="xl52"/>
    <w:basedOn w:val="1"/>
    <w:qFormat/>
    <w:uiPriority w:val="0"/>
    <w:pPr>
      <w:widowControl/>
      <w:spacing w:before="102" w:after="102" w:line="351" w:lineRule="atLeast"/>
      <w:ind w:firstLine="419"/>
      <w:jc w:val="left"/>
      <w:textAlignment w:val="baseline"/>
    </w:pPr>
    <w:rPr>
      <w:color w:val="000000"/>
      <w:kern w:val="0"/>
      <w:sz w:val="18"/>
      <w:szCs w:val="20"/>
    </w:rPr>
  </w:style>
  <w:style w:type="paragraph" w:customStyle="1" w:styleId="1020">
    <w:name w:val="宋标一"/>
    <w:basedOn w:val="1"/>
    <w:qFormat/>
    <w:uiPriority w:val="0"/>
    <w:pPr>
      <w:spacing w:beforeLines="50" w:line="360" w:lineRule="auto"/>
      <w:ind w:firstLine="200" w:firstLineChars="200"/>
    </w:pPr>
    <w:rPr>
      <w:sz w:val="24"/>
    </w:rPr>
  </w:style>
  <w:style w:type="paragraph" w:customStyle="1" w:styleId="1021">
    <w:name w:val="表格（小）"/>
    <w:basedOn w:val="1"/>
    <w:qFormat/>
    <w:uiPriority w:val="0"/>
    <w:pPr>
      <w:adjustRightInd w:val="0"/>
      <w:snapToGrid w:val="0"/>
    </w:pPr>
    <w:rPr>
      <w:kern w:val="0"/>
      <w:szCs w:val="20"/>
    </w:rPr>
  </w:style>
  <w:style w:type="paragraph" w:customStyle="1" w:styleId="1022">
    <w:name w:val="报告正文-黄登"/>
    <w:qFormat/>
    <w:uiPriority w:val="0"/>
    <w:pPr>
      <w:spacing w:beforeLines="50" w:line="312" w:lineRule="auto"/>
      <w:ind w:firstLine="480" w:firstLineChars="200"/>
    </w:pPr>
    <w:rPr>
      <w:rFonts w:ascii="Times New Roman" w:hAnsi="Times New Roman" w:eastAsia="宋体" w:cs="Times New Roman"/>
      <w:sz w:val="24"/>
      <w:szCs w:val="24"/>
      <w:lang w:val="en-US" w:eastAsia="zh-CN" w:bidi="ar-SA"/>
    </w:rPr>
  </w:style>
  <w:style w:type="paragraph" w:customStyle="1" w:styleId="1023">
    <w:name w:val="xl3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kern w:val="0"/>
      <w:sz w:val="20"/>
      <w:szCs w:val="20"/>
    </w:rPr>
  </w:style>
  <w:style w:type="paragraph" w:customStyle="1" w:styleId="1024">
    <w:name w:val="xl3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25">
    <w:name w:val="标题4getiao"/>
    <w:basedOn w:val="85"/>
    <w:next w:val="35"/>
    <w:qFormat/>
    <w:uiPriority w:val="0"/>
    <w:pPr>
      <w:widowControl/>
      <w:spacing w:before="60" w:line="360" w:lineRule="auto"/>
      <w:jc w:val="left"/>
      <w:outlineLvl w:val="3"/>
    </w:pPr>
    <w:rPr>
      <w:rFonts w:ascii="宋体" w:hAnsi="宋体"/>
      <w:color w:val="000000"/>
      <w:sz w:val="24"/>
      <w:szCs w:val="24"/>
    </w:rPr>
  </w:style>
  <w:style w:type="paragraph" w:customStyle="1" w:styleId="1026">
    <w:name w:val="font11"/>
    <w:basedOn w:val="1"/>
    <w:qFormat/>
    <w:uiPriority w:val="0"/>
    <w:pPr>
      <w:widowControl/>
      <w:spacing w:before="102" w:after="102" w:line="351" w:lineRule="atLeast"/>
      <w:ind w:firstLine="419"/>
      <w:jc w:val="left"/>
      <w:textAlignment w:val="baseline"/>
    </w:pPr>
    <w:rPr>
      <w:rFonts w:ascii="宋体"/>
      <w:color w:val="000000"/>
      <w:kern w:val="0"/>
      <w:sz w:val="22"/>
      <w:szCs w:val="20"/>
    </w:rPr>
  </w:style>
  <w:style w:type="paragraph" w:customStyle="1" w:styleId="1027">
    <w:name w:val="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1028">
    <w:name w:val="制表1 Char"/>
    <w:basedOn w:val="1"/>
    <w:qFormat/>
    <w:uiPriority w:val="0"/>
    <w:pPr>
      <w:keepNext/>
      <w:tabs>
        <w:tab w:val="center" w:pos="4675"/>
        <w:tab w:val="right" w:pos="9350"/>
      </w:tabs>
      <w:jc w:val="left"/>
    </w:pPr>
    <w:rPr>
      <w:rFonts w:ascii="宋体"/>
      <w:kern w:val="28"/>
      <w:sz w:val="24"/>
    </w:rPr>
  </w:style>
  <w:style w:type="paragraph" w:customStyle="1" w:styleId="1029">
    <w:name w:val="表样"/>
    <w:basedOn w:val="1"/>
    <w:qFormat/>
    <w:uiPriority w:val="0"/>
    <w:pPr>
      <w:adjustRightInd w:val="0"/>
      <w:snapToGrid w:val="0"/>
      <w:spacing w:line="360" w:lineRule="auto"/>
      <w:jc w:val="center"/>
      <w:textAlignment w:val="baseline"/>
    </w:pPr>
    <w:rPr>
      <w:kern w:val="0"/>
      <w:szCs w:val="21"/>
    </w:rPr>
  </w:style>
  <w:style w:type="paragraph" w:customStyle="1" w:styleId="1030">
    <w:name w:val="正文内容"/>
    <w:qFormat/>
    <w:uiPriority w:val="0"/>
    <w:pPr>
      <w:adjustRightInd w:val="0"/>
      <w:spacing w:line="360" w:lineRule="auto"/>
      <w:ind w:firstLine="200" w:firstLineChars="200"/>
    </w:pPr>
    <w:rPr>
      <w:rFonts w:ascii="Times New Roman" w:hAnsi="Times New Roman" w:eastAsia="宋体" w:cs="Times New Roman"/>
      <w:spacing w:val="14"/>
      <w:sz w:val="24"/>
      <w:szCs w:val="24"/>
      <w:lang w:val="en-US" w:eastAsia="zh-CN" w:bidi="ar-SA"/>
    </w:rPr>
  </w:style>
  <w:style w:type="paragraph" w:customStyle="1" w:styleId="1031">
    <w:name w:val="!表标题(alt+h)"/>
    <w:next w:val="1"/>
    <w:qFormat/>
    <w:uiPriority w:val="0"/>
    <w:pPr>
      <w:spacing w:before="120" w:after="80" w:line="440" w:lineRule="exact"/>
      <w:jc w:val="center"/>
      <w:outlineLvl w:val="4"/>
    </w:pPr>
    <w:rPr>
      <w:rFonts w:ascii="Times New Roman" w:hAnsi="Times New Roman" w:eastAsia="黑体" w:cs="Times New Roman"/>
      <w:color w:val="000000"/>
      <w:sz w:val="24"/>
      <w:lang w:val="en-US" w:eastAsia="zh-CN" w:bidi="ar-SA"/>
    </w:rPr>
  </w:style>
  <w:style w:type="paragraph" w:customStyle="1" w:styleId="1032">
    <w:name w:val="目录1"/>
    <w:basedOn w:val="1"/>
    <w:next w:val="1"/>
    <w:qFormat/>
    <w:uiPriority w:val="0"/>
    <w:pPr>
      <w:widowControl/>
      <w:tabs>
        <w:tab w:val="left" w:leader="dot" w:pos="8503"/>
      </w:tabs>
      <w:spacing w:after="102" w:line="215" w:lineRule="atLeast"/>
      <w:ind w:firstLine="419"/>
      <w:jc w:val="left"/>
      <w:textAlignment w:val="baseline"/>
    </w:pPr>
    <w:rPr>
      <w:color w:val="000000"/>
      <w:kern w:val="0"/>
      <w:szCs w:val="20"/>
    </w:rPr>
  </w:style>
  <w:style w:type="paragraph" w:customStyle="1" w:styleId="1033">
    <w:name w:val="样式 表名图名 + 段前: 0.3 行 段后: 0.3 行"/>
    <w:basedOn w:val="1"/>
    <w:qFormat/>
    <w:uiPriority w:val="0"/>
    <w:pPr>
      <w:widowControl/>
      <w:adjustRightInd w:val="0"/>
      <w:snapToGrid w:val="0"/>
      <w:spacing w:beforeLines="100" w:afterLines="100" w:line="360" w:lineRule="auto"/>
      <w:jc w:val="center"/>
      <w:outlineLvl w:val="4"/>
    </w:pPr>
    <w:rPr>
      <w:rFonts w:ascii="宋体" w:hAnsi="宋体" w:cs="宋体"/>
      <w:b/>
      <w:bCs/>
      <w:kern w:val="0"/>
      <w:sz w:val="24"/>
      <w:szCs w:val="30"/>
    </w:rPr>
  </w:style>
  <w:style w:type="paragraph" w:customStyle="1" w:styleId="1034">
    <w:name w:val="cardlist-value"/>
    <w:basedOn w:val="1"/>
    <w:qFormat/>
    <w:uiPriority w:val="0"/>
    <w:pPr>
      <w:widowControl/>
      <w:spacing w:before="100" w:beforeAutospacing="1" w:after="100" w:afterAutospacing="1"/>
      <w:jc w:val="left"/>
    </w:pPr>
    <w:rPr>
      <w:rFonts w:ascii="宋体" w:hAnsi="宋体" w:cs="宋体"/>
      <w:kern w:val="0"/>
      <w:sz w:val="24"/>
    </w:rPr>
  </w:style>
  <w:style w:type="paragraph" w:customStyle="1" w:styleId="1035">
    <w:name w:val="图名2"/>
    <w:basedOn w:val="1"/>
    <w:qFormat/>
    <w:uiPriority w:val="0"/>
    <w:pPr>
      <w:widowControl/>
      <w:jc w:val="center"/>
    </w:pPr>
    <w:rPr>
      <w:rFonts w:eastAsia="黑体"/>
      <w:spacing w:val="10"/>
      <w:kern w:val="0"/>
      <w:sz w:val="15"/>
      <w:szCs w:val="15"/>
    </w:rPr>
  </w:style>
  <w:style w:type="paragraph" w:customStyle="1" w:styleId="1036">
    <w:name w:val="reader-word-layer reader-word-s38-9"/>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037">
    <w:name w:val="本文格式"/>
    <w:basedOn w:val="1"/>
    <w:qFormat/>
    <w:uiPriority w:val="0"/>
    <w:pPr>
      <w:adjustRightInd w:val="0"/>
      <w:spacing w:line="360" w:lineRule="exact"/>
      <w:ind w:firstLine="476"/>
      <w:textAlignment w:val="baseline"/>
    </w:pPr>
    <w:rPr>
      <w:rFonts w:cs="宋体"/>
      <w:kern w:val="0"/>
      <w:sz w:val="24"/>
    </w:rPr>
  </w:style>
  <w:style w:type="paragraph" w:customStyle="1" w:styleId="1038">
    <w:name w:val="正文2000"/>
    <w:basedOn w:val="1"/>
    <w:qFormat/>
    <w:uiPriority w:val="0"/>
    <w:pPr>
      <w:widowControl/>
      <w:spacing w:before="102" w:line="606" w:lineRule="atLeast"/>
      <w:ind w:firstLine="357"/>
      <w:jc w:val="left"/>
      <w:textAlignment w:val="baseline"/>
    </w:pPr>
    <w:rPr>
      <w:rFonts w:ascii="宋体"/>
      <w:color w:val="000000"/>
      <w:kern w:val="0"/>
      <w:sz w:val="24"/>
      <w:szCs w:val="20"/>
    </w:rPr>
  </w:style>
  <w:style w:type="paragraph" w:customStyle="1" w:styleId="1039">
    <w:name w:val="xl72"/>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1040">
    <w:name w:val="xl79"/>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1041">
    <w:name w:val="样式 宋体 首行缩进:  2 字符 段前: 0.5 行"/>
    <w:basedOn w:val="1"/>
    <w:qFormat/>
    <w:uiPriority w:val="0"/>
    <w:pPr>
      <w:spacing w:beforeLines="50" w:line="360" w:lineRule="auto"/>
      <w:ind w:firstLine="480" w:firstLineChars="200"/>
    </w:pPr>
    <w:rPr>
      <w:rFonts w:cs="宋体"/>
      <w:sz w:val="24"/>
    </w:rPr>
  </w:style>
  <w:style w:type="paragraph" w:customStyle="1" w:styleId="1042">
    <w:name w:val="Char Char Char Char5"/>
    <w:basedOn w:val="1"/>
    <w:qFormat/>
    <w:uiPriority w:val="0"/>
    <w:rPr>
      <w:sz w:val="24"/>
    </w:rPr>
  </w:style>
  <w:style w:type="paragraph" w:customStyle="1" w:styleId="1043">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1044">
    <w:name w:val="正文 + Times New Roman"/>
    <w:basedOn w:val="1"/>
    <w:qFormat/>
    <w:uiPriority w:val="0"/>
    <w:pPr>
      <w:spacing w:line="480" w:lineRule="exact"/>
      <w:ind w:firstLine="480" w:firstLineChars="200"/>
    </w:pPr>
    <w:rPr>
      <w:color w:val="000000"/>
      <w:sz w:val="24"/>
    </w:rPr>
  </w:style>
  <w:style w:type="paragraph" w:customStyle="1" w:styleId="1045">
    <w:name w:val="样式 正文文字缩进 + (西文) Times New Roman (中文) 黑体 左 首行缩进:  0.99 厘米"/>
    <w:basedOn w:val="36"/>
    <w:qFormat/>
    <w:uiPriority w:val="0"/>
    <w:pPr>
      <w:adjustRightInd w:val="0"/>
      <w:spacing w:after="0" w:line="360" w:lineRule="auto"/>
      <w:ind w:left="0" w:leftChars="0" w:firstLine="561"/>
      <w:jc w:val="left"/>
      <w:textAlignment w:val="baseline"/>
    </w:pPr>
    <w:rPr>
      <w:rFonts w:cs="宋体"/>
      <w:spacing w:val="5"/>
      <w:kern w:val="0"/>
      <w:sz w:val="24"/>
      <w:szCs w:val="20"/>
    </w:rPr>
  </w:style>
  <w:style w:type="paragraph" w:customStyle="1" w:styleId="1046">
    <w:name w:val="报告书"/>
    <w:basedOn w:val="1"/>
    <w:qFormat/>
    <w:uiPriority w:val="0"/>
    <w:pPr>
      <w:spacing w:line="300" w:lineRule="auto"/>
      <w:ind w:firstLine="480" w:firstLineChars="200"/>
    </w:pPr>
    <w:rPr>
      <w:sz w:val="24"/>
    </w:rPr>
  </w:style>
  <w:style w:type="paragraph" w:customStyle="1" w:styleId="1047">
    <w:name w:val="Char Char Char Char Char Char Char Char Char Char Char Char Char Char Char Char Char Char Char Char Char Char Char Char Char Char Char Char Char Char Char Char Char Char Char Char Char"/>
    <w:basedOn w:val="1"/>
    <w:next w:val="2"/>
    <w:qFormat/>
    <w:uiPriority w:val="0"/>
    <w:rPr>
      <w:sz w:val="28"/>
      <w:szCs w:val="28"/>
    </w:rPr>
  </w:style>
  <w:style w:type="paragraph" w:customStyle="1" w:styleId="1048">
    <w:name w:val="正文getiao"/>
    <w:basedOn w:val="243"/>
    <w:qFormat/>
    <w:uiPriority w:val="0"/>
    <w:pPr>
      <w:ind w:firstLine="200"/>
    </w:pPr>
  </w:style>
  <w:style w:type="paragraph" w:customStyle="1" w:styleId="1049">
    <w:name w:val="标题3（getiao）"/>
    <w:basedOn w:val="85"/>
    <w:next w:val="35"/>
    <w:qFormat/>
    <w:uiPriority w:val="0"/>
    <w:pPr>
      <w:ind w:right="210" w:rightChars="100" w:firstLine="482" w:firstLineChars="200"/>
      <w:jc w:val="left"/>
      <w:outlineLvl w:val="2"/>
    </w:pPr>
    <w:rPr>
      <w:kern w:val="0"/>
      <w:sz w:val="28"/>
    </w:rPr>
  </w:style>
  <w:style w:type="paragraph" w:customStyle="1" w:styleId="1050">
    <w:name w:val="P"/>
    <w:basedOn w:val="1"/>
    <w:qFormat/>
    <w:uiPriority w:val="0"/>
    <w:pPr>
      <w:adjustRightInd w:val="0"/>
      <w:spacing w:line="420" w:lineRule="atLeast"/>
      <w:ind w:firstLine="567"/>
      <w:textAlignment w:val="baseline"/>
    </w:pPr>
    <w:rPr>
      <w:rFonts w:ascii="宋体"/>
      <w:spacing w:val="30"/>
      <w:kern w:val="0"/>
      <w:sz w:val="24"/>
      <w:szCs w:val="20"/>
    </w:rPr>
  </w:style>
  <w:style w:type="paragraph" w:customStyle="1" w:styleId="1051">
    <w:name w:val="图表格式"/>
    <w:next w:val="1"/>
    <w:qFormat/>
    <w:uiPriority w:val="0"/>
    <w:pPr>
      <w:spacing w:before="120" w:after="60"/>
      <w:jc w:val="center"/>
    </w:pPr>
    <w:rPr>
      <w:rFonts w:ascii="Times New Roman" w:hAnsi="Times New Roman" w:eastAsia="黑体" w:cs="Times New Roman"/>
      <w:kern w:val="2"/>
      <w:sz w:val="24"/>
      <w:szCs w:val="24"/>
      <w:lang w:val="en-US" w:eastAsia="zh-CN" w:bidi="ar-SA"/>
    </w:rPr>
  </w:style>
  <w:style w:type="paragraph" w:customStyle="1" w:styleId="1052">
    <w:name w:val="样式 表文 + 左  2 字符"/>
    <w:basedOn w:val="307"/>
    <w:qFormat/>
    <w:uiPriority w:val="0"/>
    <w:pPr>
      <w:topLinePunct/>
      <w:spacing w:line="320" w:lineRule="exact"/>
      <w:ind w:left="50" w:leftChars="50"/>
      <w:textAlignment w:val="auto"/>
      <w:outlineLvl w:val="6"/>
    </w:pPr>
    <w:rPr>
      <w:rFonts w:cs="宋体"/>
      <w:kern w:val="0"/>
      <w:sz w:val="18"/>
    </w:rPr>
  </w:style>
  <w:style w:type="paragraph" w:customStyle="1" w:styleId="1053">
    <w:name w:val="封面2"/>
    <w:basedOn w:val="1"/>
    <w:qFormat/>
    <w:uiPriority w:val="0"/>
    <w:pPr>
      <w:adjustRightInd w:val="0"/>
      <w:snapToGrid w:val="0"/>
      <w:spacing w:before="360" w:afterLines="50" w:line="312" w:lineRule="auto"/>
      <w:ind w:firstLine="480" w:firstLineChars="200"/>
      <w:jc w:val="center"/>
    </w:pPr>
    <w:rPr>
      <w:rFonts w:eastAsia="黑体"/>
      <w:color w:val="000000"/>
      <w:kern w:val="0"/>
      <w:sz w:val="48"/>
    </w:rPr>
  </w:style>
  <w:style w:type="paragraph" w:customStyle="1" w:styleId="1054">
    <w:name w:val="表中文字-lxd"/>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paragraph" w:customStyle="1" w:styleId="1055">
    <w:name w:val="样式 标题1 + (西文) Times New Roman (中文) 华文中宋 行距: 1.5 倍行距"/>
    <w:basedOn w:val="1"/>
    <w:qFormat/>
    <w:uiPriority w:val="0"/>
    <w:pPr>
      <w:overflowPunct w:val="0"/>
      <w:topLinePunct/>
      <w:spacing w:line="360" w:lineRule="auto"/>
      <w:jc w:val="center"/>
      <w:outlineLvl w:val="0"/>
    </w:pPr>
    <w:rPr>
      <w:rFonts w:eastAsia="黑体" w:cs="宋体"/>
      <w:b/>
      <w:bCs/>
      <w:color w:val="000000"/>
      <w:sz w:val="32"/>
      <w:szCs w:val="32"/>
    </w:rPr>
  </w:style>
  <w:style w:type="paragraph" w:customStyle="1" w:styleId="1056">
    <w:name w:val="样式 标题 1 + 段前: 7.8 磅 段后: 7.8 磅"/>
    <w:basedOn w:val="3"/>
    <w:qFormat/>
    <w:uiPriority w:val="0"/>
    <w:pPr>
      <w:keepLines/>
      <w:overflowPunct/>
      <w:snapToGrid/>
      <w:spacing w:beforeLines="50" w:afterLines="50" w:line="440" w:lineRule="exact"/>
      <w:ind w:left="0" w:firstLine="0"/>
      <w:jc w:val="center"/>
    </w:pPr>
    <w:rPr>
      <w:rFonts w:cs="宋体"/>
      <w:color w:val="auto"/>
      <w:sz w:val="32"/>
      <w:szCs w:val="20"/>
    </w:rPr>
  </w:style>
  <w:style w:type="paragraph" w:customStyle="1" w:styleId="1057">
    <w:name w:val="表格编号"/>
    <w:basedOn w:val="1"/>
    <w:qFormat/>
    <w:uiPriority w:val="0"/>
    <w:pPr>
      <w:spacing w:line="360" w:lineRule="auto"/>
      <w:jc w:val="center"/>
    </w:pPr>
    <w:rPr>
      <w:rFonts w:ascii="黑体" w:hAnsi="宋体" w:eastAsia="黑体"/>
      <w:sz w:val="24"/>
    </w:rPr>
  </w:style>
  <w:style w:type="paragraph" w:customStyle="1" w:styleId="1058">
    <w:name w:val="文章副标题"/>
    <w:basedOn w:val="1"/>
    <w:next w:val="3"/>
    <w:qFormat/>
    <w:uiPriority w:val="0"/>
    <w:pPr>
      <w:widowControl/>
      <w:spacing w:before="187" w:after="175" w:line="374" w:lineRule="atLeast"/>
      <w:jc w:val="center"/>
      <w:textAlignment w:val="baseline"/>
    </w:pPr>
    <w:rPr>
      <w:color w:val="000000"/>
      <w:kern w:val="0"/>
      <w:sz w:val="36"/>
      <w:szCs w:val="20"/>
    </w:rPr>
  </w:style>
  <w:style w:type="paragraph" w:customStyle="1" w:styleId="1059">
    <w:name w:val="样式 目录 4 +"/>
    <w:basedOn w:val="1"/>
    <w:qFormat/>
    <w:uiPriority w:val="0"/>
    <w:pPr>
      <w:tabs>
        <w:tab w:val="left" w:pos="2415"/>
        <w:tab w:val="right" w:leader="dot" w:pos="9060"/>
      </w:tabs>
      <w:spacing w:line="360" w:lineRule="auto"/>
      <w:ind w:left="300" w:leftChars="300" w:firstLine="480" w:firstLineChars="200"/>
    </w:pPr>
    <w:rPr>
      <w:kern w:val="0"/>
      <w:sz w:val="28"/>
      <w:szCs w:val="20"/>
    </w:rPr>
  </w:style>
  <w:style w:type="paragraph" w:customStyle="1" w:styleId="1060">
    <w:name w:val="15"/>
    <w:basedOn w:val="1"/>
    <w:next w:val="36"/>
    <w:qFormat/>
    <w:uiPriority w:val="0"/>
    <w:pPr>
      <w:spacing w:line="360" w:lineRule="auto"/>
      <w:ind w:firstLine="435"/>
    </w:pPr>
    <w:rPr>
      <w:sz w:val="28"/>
    </w:rPr>
  </w:style>
  <w:style w:type="paragraph" w:customStyle="1" w:styleId="1061">
    <w:name w:val="自定义正文 Char Char Char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1062">
    <w:name w:val="表数字"/>
    <w:qFormat/>
    <w:uiPriority w:val="0"/>
    <w:pPr>
      <w:widowControl w:val="0"/>
      <w:spacing w:line="320" w:lineRule="exact"/>
    </w:pPr>
    <w:rPr>
      <w:rFonts w:ascii="Arial" w:hAnsi="Arial" w:eastAsia="宋体" w:cs="Arial"/>
      <w:color w:val="000000"/>
      <w:sz w:val="21"/>
      <w:szCs w:val="21"/>
      <w:lang w:val="en-US" w:eastAsia="zh-CN" w:bidi="ar-SA"/>
    </w:rPr>
  </w:style>
  <w:style w:type="paragraph" w:customStyle="1" w:styleId="1063">
    <w:name w:val="font12"/>
    <w:basedOn w:val="1"/>
    <w:qFormat/>
    <w:uiPriority w:val="0"/>
    <w:pPr>
      <w:widowControl/>
      <w:spacing w:before="102" w:after="102" w:line="351" w:lineRule="atLeast"/>
      <w:ind w:firstLine="419"/>
      <w:jc w:val="left"/>
      <w:textAlignment w:val="baseline"/>
    </w:pPr>
    <w:rPr>
      <w:color w:val="000000"/>
      <w:kern w:val="0"/>
      <w:sz w:val="22"/>
      <w:szCs w:val="20"/>
    </w:rPr>
  </w:style>
  <w:style w:type="paragraph" w:customStyle="1" w:styleId="1064">
    <w:name w:val="样式 样式 标题 4款标题1.1.1.1标题 4XW Char标题 4XW Char Char标题 4 Char标题 4XW....."/>
    <w:basedOn w:val="1"/>
    <w:qFormat/>
    <w:uiPriority w:val="0"/>
    <w:pPr>
      <w:keepNext/>
      <w:keepLines/>
      <w:spacing w:before="60" w:after="60" w:line="360" w:lineRule="auto"/>
      <w:ind w:left="855" w:hanging="360"/>
      <w:outlineLvl w:val="3"/>
    </w:pPr>
    <w:rPr>
      <w:rFonts w:cs="宋体"/>
      <w:b/>
      <w:bCs/>
      <w:kern w:val="44"/>
      <w:sz w:val="24"/>
      <w:szCs w:val="20"/>
      <w:lang w:val="fr-FR"/>
    </w:rPr>
  </w:style>
  <w:style w:type="paragraph" w:customStyle="1" w:styleId="1065">
    <w:name w:val="NOTE"/>
    <w:basedOn w:val="1"/>
    <w:qFormat/>
    <w:uiPriority w:val="0"/>
    <w:pPr>
      <w:adjustRightInd w:val="0"/>
      <w:spacing w:line="420" w:lineRule="atLeast"/>
      <w:ind w:left="567" w:hanging="567"/>
      <w:textAlignment w:val="baseline"/>
    </w:pPr>
    <w:rPr>
      <w:rFonts w:ascii="宋体"/>
      <w:spacing w:val="30"/>
      <w:kern w:val="0"/>
      <w:szCs w:val="20"/>
    </w:rPr>
  </w:style>
  <w:style w:type="paragraph" w:customStyle="1" w:styleId="1066">
    <w:name w:val="xl85"/>
    <w:basedOn w:val="1"/>
    <w:qFormat/>
    <w:uiPriority w:val="0"/>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1067">
    <w:name w:val="样式 港珠澳正文 + 首行缩进:  2 字符 段前: 1 行 段后: 1 行"/>
    <w:basedOn w:val="1"/>
    <w:qFormat/>
    <w:uiPriority w:val="0"/>
    <w:pPr>
      <w:spacing w:line="360" w:lineRule="auto"/>
      <w:ind w:firstLine="200" w:firstLineChars="200"/>
      <w:jc w:val="left"/>
    </w:pPr>
    <w:rPr>
      <w:rFonts w:cs="宋体"/>
      <w:color w:val="000000"/>
      <w:sz w:val="24"/>
      <w:szCs w:val="20"/>
    </w:rPr>
  </w:style>
  <w:style w:type="paragraph" w:customStyle="1" w:styleId="1068">
    <w:name w:val="报告书正文 Char Char Char Char Char Char Char"/>
    <w:basedOn w:val="1"/>
    <w:qFormat/>
    <w:uiPriority w:val="0"/>
    <w:pPr>
      <w:spacing w:line="300" w:lineRule="auto"/>
      <w:ind w:firstLine="480" w:firstLineChars="200"/>
    </w:pPr>
    <w:rPr>
      <w:color w:val="000000"/>
      <w:sz w:val="24"/>
    </w:rPr>
  </w:style>
  <w:style w:type="paragraph" w:customStyle="1" w:styleId="1069">
    <w:name w:val="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070">
    <w:name w:val="标题 71"/>
    <w:basedOn w:val="1"/>
    <w:next w:val="1"/>
    <w:qFormat/>
    <w:uiPriority w:val="0"/>
    <w:pPr>
      <w:autoSpaceDE w:val="0"/>
      <w:autoSpaceDN w:val="0"/>
      <w:adjustRightInd w:val="0"/>
      <w:jc w:val="left"/>
    </w:pPr>
    <w:rPr>
      <w:rFonts w:ascii="JKIKGP+CenturyGothic" w:eastAsia="JKIKGP+CenturyGothic"/>
      <w:kern w:val="0"/>
      <w:sz w:val="24"/>
    </w:rPr>
  </w:style>
  <w:style w:type="paragraph" w:customStyle="1" w:styleId="1071">
    <w:name w:val="样式 !标题1(alt+1) + 两端对齐"/>
    <w:basedOn w:val="851"/>
    <w:qFormat/>
    <w:uiPriority w:val="0"/>
    <w:pPr>
      <w:tabs>
        <w:tab w:val="clear" w:pos="482"/>
      </w:tabs>
      <w:ind w:left="0"/>
      <w:jc w:val="both"/>
    </w:pPr>
    <w:rPr>
      <w:rFonts w:cs="宋体"/>
    </w:rPr>
  </w:style>
  <w:style w:type="paragraph" w:customStyle="1" w:styleId="1072">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1073">
    <w:name w:val="简单回函地址"/>
    <w:basedOn w:val="1"/>
    <w:qFormat/>
    <w:uiPriority w:val="0"/>
    <w:rPr>
      <w:szCs w:val="20"/>
    </w:rPr>
  </w:style>
  <w:style w:type="paragraph" w:customStyle="1" w:styleId="1074">
    <w:name w:val="表内小五"/>
    <w:qFormat/>
    <w:uiPriority w:val="0"/>
    <w:pPr>
      <w:ind w:firstLine="345"/>
    </w:pPr>
    <w:rPr>
      <w:rFonts w:ascii="Times New Roman" w:hAnsi="Times New Roman" w:eastAsia="宋体" w:cs="Times New Roman"/>
      <w:color w:val="000000"/>
      <w:kern w:val="2"/>
      <w:sz w:val="18"/>
      <w:szCs w:val="18"/>
      <w:lang w:val="zh-CN" w:eastAsia="zh-CN" w:bidi="ar-SA"/>
    </w:rPr>
  </w:style>
  <w:style w:type="paragraph" w:customStyle="1" w:styleId="1075">
    <w:name w:val="样式 haydonli + 首行缩进:  2 字符"/>
    <w:basedOn w:val="1"/>
    <w:qFormat/>
    <w:uiPriority w:val="0"/>
    <w:pPr>
      <w:adjustRightInd w:val="0"/>
      <w:snapToGrid w:val="0"/>
      <w:spacing w:line="400" w:lineRule="exact"/>
      <w:ind w:firstLine="420"/>
    </w:pPr>
    <w:rPr>
      <w:rFonts w:ascii="宋体" w:hAnsi="宋体" w:cs="宋体"/>
      <w:kern w:val="0"/>
      <w:sz w:val="24"/>
    </w:rPr>
  </w:style>
  <w:style w:type="paragraph" w:customStyle="1" w:styleId="1076">
    <w:name w:val="文章总标题"/>
    <w:basedOn w:val="1"/>
    <w:next w:val="1058"/>
    <w:qFormat/>
    <w:uiPriority w:val="0"/>
    <w:pPr>
      <w:widowControl/>
      <w:spacing w:before="566" w:after="544" w:line="566" w:lineRule="atLeast"/>
      <w:jc w:val="center"/>
      <w:textAlignment w:val="baseline"/>
    </w:pPr>
    <w:rPr>
      <w:rFonts w:ascii="Arial" w:eastAsia="黑体"/>
      <w:color w:val="000000"/>
      <w:kern w:val="0"/>
      <w:sz w:val="54"/>
      <w:szCs w:val="20"/>
    </w:rPr>
  </w:style>
  <w:style w:type="paragraph" w:customStyle="1" w:styleId="1077">
    <w:name w:val="目录标题"/>
    <w:basedOn w:val="1"/>
    <w:next w:val="1"/>
    <w:qFormat/>
    <w:uiPriority w:val="0"/>
    <w:pPr>
      <w:widowControl/>
      <w:spacing w:before="215" w:after="419" w:line="436" w:lineRule="atLeast"/>
      <w:ind w:firstLine="419"/>
      <w:jc w:val="center"/>
      <w:textAlignment w:val="baseline"/>
    </w:pPr>
    <w:rPr>
      <w:rFonts w:ascii="Arial" w:eastAsia="黑体"/>
      <w:color w:val="000000"/>
      <w:spacing w:val="283"/>
      <w:kern w:val="0"/>
      <w:sz w:val="42"/>
      <w:szCs w:val="20"/>
    </w:rPr>
  </w:style>
  <w:style w:type="paragraph" w:customStyle="1" w:styleId="1078">
    <w:name w:val="xl37"/>
    <w:basedOn w:val="1"/>
    <w:qFormat/>
    <w:uiPriority w:val="0"/>
    <w:pPr>
      <w:widowControl/>
      <w:spacing w:before="102" w:after="102" w:line="351" w:lineRule="atLeast"/>
      <w:ind w:firstLine="419"/>
      <w:jc w:val="left"/>
      <w:textAlignment w:val="center"/>
    </w:pPr>
    <w:rPr>
      <w:rFonts w:ascii="宋体"/>
      <w:color w:val="000000"/>
      <w:kern w:val="0"/>
      <w:sz w:val="22"/>
      <w:szCs w:val="20"/>
    </w:rPr>
  </w:style>
  <w:style w:type="paragraph" w:customStyle="1" w:styleId="1079">
    <w:name w:val="xl41"/>
    <w:basedOn w:val="1"/>
    <w:qFormat/>
    <w:uiPriority w:val="0"/>
    <w:pPr>
      <w:widowControl/>
      <w:spacing w:before="102" w:after="102" w:line="351" w:lineRule="atLeast"/>
      <w:ind w:firstLine="419"/>
      <w:jc w:val="center"/>
      <w:textAlignment w:val="center"/>
    </w:pPr>
    <w:rPr>
      <w:color w:val="000000"/>
      <w:kern w:val="0"/>
      <w:szCs w:val="20"/>
    </w:rPr>
  </w:style>
  <w:style w:type="paragraph" w:customStyle="1" w:styleId="1080">
    <w:name w:val="gg_body"/>
    <w:basedOn w:val="1"/>
    <w:qFormat/>
    <w:uiPriority w:val="0"/>
    <w:pPr>
      <w:widowControl/>
      <w:spacing w:line="708" w:lineRule="atLeast"/>
      <w:ind w:firstLine="198"/>
      <w:textAlignment w:val="baseline"/>
    </w:pPr>
    <w:rPr>
      <w:rFonts w:ascii="宋体"/>
      <w:color w:val="000000"/>
      <w:kern w:val="0"/>
      <w:sz w:val="24"/>
      <w:szCs w:val="20"/>
    </w:rPr>
  </w:style>
  <w:style w:type="paragraph" w:customStyle="1" w:styleId="1081">
    <w:name w:val="xl44"/>
    <w:basedOn w:val="1"/>
    <w:qFormat/>
    <w:uiPriority w:val="0"/>
    <w:pPr>
      <w:widowControl/>
      <w:spacing w:before="102" w:after="102" w:line="351" w:lineRule="atLeast"/>
      <w:ind w:firstLine="419"/>
      <w:jc w:val="center"/>
      <w:textAlignment w:val="center"/>
    </w:pPr>
    <w:rPr>
      <w:rFonts w:ascii="宋体"/>
      <w:b/>
      <w:color w:val="000000"/>
      <w:kern w:val="0"/>
      <w:sz w:val="22"/>
      <w:szCs w:val="20"/>
    </w:rPr>
  </w:style>
  <w:style w:type="paragraph" w:customStyle="1" w:styleId="1082">
    <w:name w:val="font16"/>
    <w:basedOn w:val="1"/>
    <w:qFormat/>
    <w:uiPriority w:val="0"/>
    <w:pPr>
      <w:widowControl/>
      <w:spacing w:before="102" w:after="102" w:line="351" w:lineRule="atLeast"/>
      <w:ind w:firstLine="419"/>
      <w:jc w:val="left"/>
      <w:textAlignment w:val="baseline"/>
    </w:pPr>
    <w:rPr>
      <w:color w:val="000000"/>
      <w:kern w:val="0"/>
      <w:szCs w:val="20"/>
    </w:rPr>
  </w:style>
  <w:style w:type="paragraph" w:customStyle="1" w:styleId="1083">
    <w:name w:val="样式 样式 样式 标题 3标题 33 + 段前: 0.5 行 + 段前: 0.5 行 + 段前: 6 磅 段后: 0.5 行"/>
    <w:basedOn w:val="596"/>
    <w:qFormat/>
    <w:uiPriority w:val="0"/>
  </w:style>
  <w:style w:type="paragraph" w:customStyle="1" w:styleId="1084">
    <w:name w:val="报告书正文 Char"/>
    <w:basedOn w:val="1"/>
    <w:qFormat/>
    <w:uiPriority w:val="0"/>
    <w:pPr>
      <w:spacing w:line="360" w:lineRule="auto"/>
    </w:pPr>
    <w:rPr>
      <w:sz w:val="24"/>
    </w:rPr>
  </w:style>
  <w:style w:type="paragraph" w:customStyle="1" w:styleId="1085">
    <w:name w:val="xyb自建表格名称"/>
    <w:basedOn w:val="1"/>
    <w:qFormat/>
    <w:uiPriority w:val="0"/>
    <w:pPr>
      <w:spacing w:line="360" w:lineRule="auto"/>
      <w:ind w:firstLine="480" w:firstLineChars="200"/>
    </w:pPr>
    <w:rPr>
      <w:rFonts w:ascii="宋体" w:hAnsi="宋体"/>
      <w:sz w:val="24"/>
    </w:rPr>
  </w:style>
  <w:style w:type="paragraph" w:customStyle="1" w:styleId="1086">
    <w:name w:val="正文文本 31"/>
    <w:basedOn w:val="1"/>
    <w:qFormat/>
    <w:uiPriority w:val="0"/>
    <w:pPr>
      <w:adjustRightInd w:val="0"/>
      <w:spacing w:line="240" w:lineRule="atLeast"/>
      <w:jc w:val="center"/>
      <w:textAlignment w:val="baseline"/>
    </w:pPr>
    <w:rPr>
      <w:rFonts w:ascii="宋体"/>
      <w:kern w:val="0"/>
      <w:sz w:val="18"/>
      <w:szCs w:val="20"/>
    </w:rPr>
  </w:style>
  <w:style w:type="paragraph" w:customStyle="1" w:styleId="1087">
    <w:name w:val="ourfont3"/>
    <w:basedOn w:val="1"/>
    <w:qFormat/>
    <w:uiPriority w:val="0"/>
    <w:pPr>
      <w:widowControl/>
      <w:adjustRightInd w:val="0"/>
      <w:spacing w:before="100" w:beforeAutospacing="1" w:after="100" w:afterAutospacing="1" w:line="340" w:lineRule="atLeast"/>
      <w:jc w:val="left"/>
      <w:textAlignment w:val="baseline"/>
    </w:pPr>
    <w:rPr>
      <w:rFonts w:ascii="宋体" w:hAnsi="宋体" w:cs="宋体"/>
      <w:spacing w:val="20"/>
      <w:kern w:val="0"/>
      <w:szCs w:val="21"/>
    </w:rPr>
  </w:style>
  <w:style w:type="paragraph" w:customStyle="1" w:styleId="1088">
    <w:name w:val="小标题2"/>
    <w:basedOn w:val="1"/>
    <w:qFormat/>
    <w:uiPriority w:val="0"/>
    <w:pPr>
      <w:keepNext/>
      <w:keepLines/>
      <w:spacing w:beforeLines="50" w:afterLines="50"/>
      <w:outlineLvl w:val="0"/>
    </w:pPr>
    <w:rPr>
      <w:rFonts w:cs="宋体"/>
      <w:b/>
      <w:bCs/>
      <w:kern w:val="44"/>
      <w:sz w:val="30"/>
      <w:szCs w:val="30"/>
    </w:rPr>
  </w:style>
  <w:style w:type="paragraph" w:customStyle="1" w:styleId="1089">
    <w:name w:val="图"/>
    <w:basedOn w:val="1"/>
    <w:qFormat/>
    <w:uiPriority w:val="0"/>
    <w:pPr>
      <w:spacing w:after="240"/>
      <w:jc w:val="center"/>
      <w:outlineLvl w:val="0"/>
    </w:pPr>
    <w:rPr>
      <w:sz w:val="36"/>
      <w:szCs w:val="30"/>
    </w:rPr>
  </w:style>
  <w:style w:type="paragraph" w:customStyle="1" w:styleId="1090">
    <w:name w:val="报告书征文"/>
    <w:basedOn w:val="1"/>
    <w:qFormat/>
    <w:uiPriority w:val="0"/>
    <w:pPr>
      <w:spacing w:line="360" w:lineRule="auto"/>
    </w:pPr>
    <w:rPr>
      <w:sz w:val="24"/>
      <w:szCs w:val="21"/>
    </w:rPr>
  </w:style>
  <w:style w:type="paragraph" w:customStyle="1" w:styleId="1091">
    <w:name w:val="样式 haydonli + 首行缩进:  2 字符2"/>
    <w:basedOn w:val="660"/>
    <w:qFormat/>
    <w:uiPriority w:val="0"/>
    <w:rPr>
      <w:rFonts w:cs="宋体"/>
    </w:rPr>
  </w:style>
  <w:style w:type="paragraph" w:customStyle="1" w:styleId="1092">
    <w:name w:val="13"/>
    <w:basedOn w:val="1"/>
    <w:next w:val="36"/>
    <w:qFormat/>
    <w:uiPriority w:val="0"/>
    <w:pPr>
      <w:adjustRightInd w:val="0"/>
      <w:spacing w:line="360" w:lineRule="auto"/>
      <w:ind w:firstLine="540"/>
      <w:textAlignment w:val="baseline"/>
    </w:pPr>
    <w:rPr>
      <w:rFonts w:ascii="宋体"/>
      <w:spacing w:val="5"/>
      <w:kern w:val="0"/>
      <w:sz w:val="24"/>
      <w:szCs w:val="20"/>
    </w:rPr>
  </w:style>
  <w:style w:type="paragraph" w:customStyle="1" w:styleId="1093">
    <w:name w:val="12"/>
    <w:basedOn w:val="1"/>
    <w:next w:val="36"/>
    <w:qFormat/>
    <w:uiPriority w:val="0"/>
    <w:pPr>
      <w:adjustRightInd w:val="0"/>
      <w:spacing w:line="360" w:lineRule="auto"/>
      <w:ind w:firstLine="540"/>
      <w:textAlignment w:val="baseline"/>
    </w:pPr>
    <w:rPr>
      <w:rFonts w:ascii="宋体"/>
      <w:spacing w:val="5"/>
      <w:kern w:val="0"/>
      <w:sz w:val="24"/>
      <w:szCs w:val="20"/>
    </w:rPr>
  </w:style>
  <w:style w:type="paragraph" w:customStyle="1" w:styleId="1094">
    <w:name w:val="1.1.1.1"/>
    <w:basedOn w:val="1"/>
    <w:qFormat/>
    <w:uiPriority w:val="0"/>
    <w:pPr>
      <w:adjustRightInd w:val="0"/>
      <w:snapToGrid w:val="0"/>
      <w:spacing w:beforeLines="50" w:afterLines="50" w:line="300" w:lineRule="auto"/>
      <w:textAlignment w:val="baseline"/>
    </w:pPr>
    <w:rPr>
      <w:rFonts w:ascii="宋体"/>
      <w:b/>
      <w:spacing w:val="10"/>
      <w:kern w:val="0"/>
      <w:sz w:val="24"/>
      <w:szCs w:val="20"/>
    </w:rPr>
  </w:style>
  <w:style w:type="paragraph" w:customStyle="1" w:styleId="1095">
    <w:name w:val="10"/>
    <w:basedOn w:val="1"/>
    <w:next w:val="40"/>
    <w:qFormat/>
    <w:uiPriority w:val="0"/>
    <w:pPr>
      <w:adjustRightInd w:val="0"/>
      <w:spacing w:after="120" w:line="312" w:lineRule="atLeast"/>
      <w:ind w:left="1440" w:leftChars="700" w:right="1440" w:rightChars="700"/>
      <w:textAlignment w:val="baseline"/>
    </w:pPr>
    <w:rPr>
      <w:kern w:val="0"/>
      <w:szCs w:val="20"/>
    </w:rPr>
  </w:style>
  <w:style w:type="paragraph" w:customStyle="1" w:styleId="1096">
    <w:name w:val="样式 正文文字缩进 + (符号) 宋体 首行缩进:  0.95 厘米"/>
    <w:basedOn w:val="36"/>
    <w:qFormat/>
    <w:uiPriority w:val="0"/>
    <w:pPr>
      <w:spacing w:after="0" w:line="300" w:lineRule="auto"/>
      <w:ind w:left="0" w:leftChars="0" w:firstLine="539"/>
    </w:pPr>
    <w:rPr>
      <w:rFonts w:ascii="宋体" w:hAnsi="宋体"/>
      <w:kern w:val="0"/>
      <w:sz w:val="24"/>
      <w:szCs w:val="20"/>
    </w:rPr>
  </w:style>
  <w:style w:type="paragraph" w:customStyle="1" w:styleId="1097">
    <w:name w:val="9"/>
    <w:basedOn w:val="1"/>
    <w:next w:val="40"/>
    <w:qFormat/>
    <w:uiPriority w:val="0"/>
    <w:pPr>
      <w:adjustRightInd w:val="0"/>
      <w:spacing w:after="120" w:line="312" w:lineRule="atLeast"/>
      <w:ind w:left="1440" w:leftChars="700" w:right="1440" w:rightChars="700"/>
      <w:textAlignment w:val="baseline"/>
    </w:pPr>
    <w:rPr>
      <w:kern w:val="0"/>
      <w:szCs w:val="20"/>
    </w:rPr>
  </w:style>
  <w:style w:type="paragraph" w:customStyle="1" w:styleId="1098">
    <w:name w:val="样式 标题 2 + Times New Roman 段前: 0 磅 段后: 0 磅"/>
    <w:basedOn w:val="4"/>
    <w:qFormat/>
    <w:uiPriority w:val="0"/>
    <w:pPr>
      <w:adjustRightInd w:val="0"/>
      <w:spacing w:line="300" w:lineRule="auto"/>
      <w:textAlignment w:val="baseline"/>
    </w:pPr>
    <w:rPr>
      <w:rFonts w:cs="宋体"/>
      <w:bCs/>
    </w:rPr>
  </w:style>
  <w:style w:type="paragraph" w:customStyle="1" w:styleId="1099">
    <w:name w:val="8"/>
    <w:basedOn w:val="1"/>
    <w:next w:val="46"/>
    <w:qFormat/>
    <w:uiPriority w:val="0"/>
    <w:rPr>
      <w:rFonts w:ascii="宋体" w:hAnsi="Courier New"/>
      <w:szCs w:val="20"/>
    </w:rPr>
  </w:style>
  <w:style w:type="paragraph" w:customStyle="1" w:styleId="1100">
    <w:name w:val="表格标题1"/>
    <w:basedOn w:val="67"/>
    <w:qFormat/>
    <w:uiPriority w:val="0"/>
    <w:pPr>
      <w:ind w:left="0" w:firstLine="0" w:firstLineChars="0"/>
      <w:jc w:val="center"/>
    </w:pPr>
  </w:style>
  <w:style w:type="paragraph" w:customStyle="1" w:styleId="1101">
    <w:name w:val="表格正文 Char Char Char Char"/>
    <w:basedOn w:val="1"/>
    <w:qFormat/>
    <w:uiPriority w:val="0"/>
    <w:rPr>
      <w:szCs w:val="20"/>
    </w:rPr>
  </w:style>
  <w:style w:type="paragraph" w:customStyle="1" w:styleId="1102">
    <w:name w:val="段落1"/>
    <w:basedOn w:val="36"/>
    <w:qFormat/>
    <w:uiPriority w:val="0"/>
    <w:pPr>
      <w:adjustRightInd w:val="0"/>
      <w:spacing w:after="0" w:line="360" w:lineRule="auto"/>
      <w:ind w:left="0" w:leftChars="0" w:firstLine="525"/>
      <w:textAlignment w:val="baseline"/>
    </w:pPr>
    <w:rPr>
      <w:rFonts w:ascii="宋体"/>
      <w:kern w:val="0"/>
      <w:sz w:val="24"/>
      <w:szCs w:val="20"/>
    </w:rPr>
  </w:style>
  <w:style w:type="paragraph" w:customStyle="1" w:styleId="1103">
    <w:name w:val="表中文字5"/>
    <w:basedOn w:val="1"/>
    <w:qFormat/>
    <w:uiPriority w:val="0"/>
    <w:pPr>
      <w:spacing w:before="100" w:after="100"/>
      <w:ind w:right="-32"/>
      <w:jc w:val="center"/>
    </w:pPr>
    <w:rPr>
      <w:rFonts w:ascii="宋体"/>
      <w:color w:val="000000"/>
      <w:szCs w:val="20"/>
    </w:rPr>
  </w:style>
  <w:style w:type="paragraph" w:customStyle="1" w:styleId="1104">
    <w:name w:val="征文"/>
    <w:basedOn w:val="1"/>
    <w:qFormat/>
    <w:uiPriority w:val="0"/>
    <w:pPr>
      <w:adjustRightInd w:val="0"/>
      <w:snapToGrid w:val="0"/>
      <w:spacing w:line="312" w:lineRule="auto"/>
      <w:jc w:val="center"/>
      <w:textAlignment w:val="baseline"/>
    </w:pPr>
    <w:rPr>
      <w:rFonts w:ascii="宋体" w:hAnsi="宋体"/>
      <w:kern w:val="0"/>
      <w:szCs w:val="20"/>
    </w:rPr>
  </w:style>
  <w:style w:type="paragraph" w:customStyle="1" w:styleId="1105">
    <w:name w:val="报告无缩进"/>
    <w:basedOn w:val="1046"/>
    <w:qFormat/>
    <w:uiPriority w:val="0"/>
    <w:pPr>
      <w:ind w:firstLine="0" w:firstLineChars="0"/>
    </w:pPr>
  </w:style>
  <w:style w:type="paragraph" w:customStyle="1" w:styleId="1106">
    <w:name w:val="样式1 Char Char Char Char1"/>
    <w:basedOn w:val="1"/>
    <w:qFormat/>
    <w:uiPriority w:val="0"/>
    <w:pPr>
      <w:spacing w:line="560" w:lineRule="atLeast"/>
      <w:ind w:firstLine="480" w:firstLineChars="200"/>
    </w:pPr>
    <w:rPr>
      <w:rFonts w:ascii="宋体" w:hAnsi="宋体"/>
      <w:sz w:val="24"/>
    </w:rPr>
  </w:style>
  <w:style w:type="paragraph" w:customStyle="1" w:styleId="1107">
    <w:name w:val="报告书正文 Char Char Char Char Char Char Char Char"/>
    <w:basedOn w:val="1"/>
    <w:qFormat/>
    <w:uiPriority w:val="0"/>
    <w:pPr>
      <w:spacing w:line="300" w:lineRule="auto"/>
      <w:ind w:firstLine="480" w:firstLineChars="200"/>
    </w:pPr>
    <w:rPr>
      <w:color w:val="000000"/>
      <w:sz w:val="24"/>
    </w:rPr>
  </w:style>
  <w:style w:type="paragraph" w:customStyle="1" w:styleId="1108">
    <w:name w:val="样式 标题 1 + 段前: 0.5 行 段后: 0.5 行"/>
    <w:basedOn w:val="3"/>
    <w:qFormat/>
    <w:uiPriority w:val="0"/>
    <w:pPr>
      <w:keepLines/>
      <w:overflowPunct/>
      <w:snapToGrid/>
      <w:spacing w:beforeLines="50" w:afterLines="50" w:line="440" w:lineRule="exact"/>
      <w:ind w:left="0" w:firstLine="0"/>
      <w:jc w:val="center"/>
    </w:pPr>
    <w:rPr>
      <w:rFonts w:cs="宋体"/>
      <w:color w:val="auto"/>
      <w:sz w:val="32"/>
      <w:szCs w:val="32"/>
    </w:rPr>
  </w:style>
  <w:style w:type="paragraph" w:customStyle="1" w:styleId="1109">
    <w:name w:val="样式 样式 标题 2 + 段前: 0.5 行 段后: 0.5 行 + 段前: 0.5 行 段后: 0.5 行"/>
    <w:basedOn w:val="908"/>
    <w:qFormat/>
    <w:uiPriority w:val="0"/>
    <w:pPr>
      <w:keepNext/>
      <w:keepLines/>
      <w:widowControl w:val="0"/>
      <w:spacing w:beforeLines="50" w:after="0" w:line="440" w:lineRule="exact"/>
      <w:ind w:firstLine="0"/>
      <w:jc w:val="both"/>
      <w:textAlignment w:val="auto"/>
      <w:outlineLvl w:val="1"/>
    </w:pPr>
    <w:rPr>
      <w:rFonts w:ascii="Times New Roman" w:eastAsia="华文中宋" w:cs="宋体"/>
      <w:b/>
      <w:bCs/>
      <w:color w:val="auto"/>
      <w:kern w:val="2"/>
      <w:szCs w:val="30"/>
    </w:rPr>
  </w:style>
  <w:style w:type="paragraph" w:customStyle="1" w:styleId="1110">
    <w:name w:val="样式 标题 3 + 段前: 0.5 行 段后: 0.5 行1"/>
    <w:basedOn w:val="5"/>
    <w:qFormat/>
    <w:uiPriority w:val="0"/>
    <w:pPr>
      <w:adjustRightInd/>
      <w:snapToGrid/>
      <w:spacing w:line="440" w:lineRule="exact"/>
    </w:pPr>
    <w:rPr>
      <w:rFonts w:eastAsia="华文中宋" w:cs="宋体"/>
      <w:bCs w:val="0"/>
      <w:kern w:val="0"/>
      <w:sz w:val="28"/>
      <w:szCs w:val="20"/>
    </w:rPr>
  </w:style>
  <w:style w:type="paragraph" w:customStyle="1" w:styleId="1111">
    <w:name w:val="批注框文本 Char Char"/>
    <w:basedOn w:val="1"/>
    <w:qFormat/>
    <w:uiPriority w:val="0"/>
    <w:rPr>
      <w:sz w:val="18"/>
      <w:szCs w:val="20"/>
    </w:rPr>
  </w:style>
  <w:style w:type="paragraph" w:customStyle="1" w:styleId="1112">
    <w:name w:val="样式 样式 表文 + 左 段后: 6 磅 + 段后: 6 磅"/>
    <w:basedOn w:val="1"/>
    <w:qFormat/>
    <w:uiPriority w:val="0"/>
    <w:pPr>
      <w:overflowPunct w:val="0"/>
      <w:topLinePunct/>
      <w:spacing w:line="320" w:lineRule="exact"/>
      <w:jc w:val="left"/>
      <w:outlineLvl w:val="6"/>
    </w:pPr>
    <w:rPr>
      <w:rFonts w:cs="宋体"/>
      <w:sz w:val="18"/>
      <w:szCs w:val="20"/>
    </w:rPr>
  </w:style>
  <w:style w:type="paragraph" w:customStyle="1" w:styleId="1113">
    <w:name w:val="样式13"/>
    <w:basedOn w:val="1"/>
    <w:qFormat/>
    <w:uiPriority w:val="0"/>
    <w:pPr>
      <w:ind w:firstLine="475" w:firstLineChars="200"/>
    </w:pPr>
    <w:rPr>
      <w:rFonts w:eastAsia="华文中宋"/>
      <w:color w:val="000000"/>
      <w:sz w:val="24"/>
    </w:rPr>
  </w:style>
  <w:style w:type="paragraph" w:customStyle="1" w:styleId="111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115">
    <w:name w:val="正文 + 四号"/>
    <w:basedOn w:val="22"/>
    <w:qFormat/>
    <w:uiPriority w:val="0"/>
    <w:pPr>
      <w:ind w:firstLine="560"/>
    </w:pPr>
    <w:rPr>
      <w:kern w:val="0"/>
      <w:sz w:val="28"/>
      <w:szCs w:val="28"/>
    </w:rPr>
  </w:style>
  <w:style w:type="paragraph" w:customStyle="1" w:styleId="1116">
    <w:name w:val="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117">
    <w:name w:val="样式 标题 2节名节H22nd levelh2Header 2标题 1.1编号标题2head:2#2 hea..."/>
    <w:basedOn w:val="4"/>
    <w:qFormat/>
    <w:uiPriority w:val="0"/>
    <w:pPr>
      <w:tabs>
        <w:tab w:val="left" w:pos="460"/>
        <w:tab w:val="left" w:pos="576"/>
      </w:tabs>
      <w:spacing w:before="260" w:beforeLines="25" w:after="260" w:afterLines="25" w:line="500" w:lineRule="exact"/>
      <w:ind w:left="576" w:hanging="576"/>
      <w:jc w:val="left"/>
    </w:pPr>
    <w:rPr>
      <w:rFonts w:ascii="Arial" w:hAnsi="宋体" w:cs="宋体"/>
      <w:bCs/>
      <w:sz w:val="32"/>
    </w:rPr>
  </w:style>
  <w:style w:type="paragraph" w:customStyle="1" w:styleId="1118">
    <w:name w:val="正文2002"/>
    <w:basedOn w:val="1"/>
    <w:qFormat/>
    <w:uiPriority w:val="0"/>
    <w:pPr>
      <w:spacing w:line="240" w:lineRule="exact"/>
      <w:jc w:val="center"/>
    </w:pPr>
    <w:rPr>
      <w:szCs w:val="20"/>
    </w:rPr>
  </w:style>
  <w:style w:type="paragraph" w:customStyle="1" w:styleId="1119">
    <w:name w:val="Char Char Char Char Char Char1"/>
    <w:basedOn w:val="1"/>
    <w:qFormat/>
    <w:uiPriority w:val="0"/>
    <w:pPr>
      <w:spacing w:line="360" w:lineRule="auto"/>
      <w:ind w:firstLine="200" w:firstLineChars="200"/>
    </w:pPr>
    <w:rPr>
      <w:rFonts w:ascii="宋体" w:hAnsi="宋体" w:cs="宋体"/>
      <w:sz w:val="24"/>
    </w:rPr>
  </w:style>
  <w:style w:type="paragraph" w:customStyle="1" w:styleId="1120">
    <w:name w:val="排列部分"/>
    <w:basedOn w:val="1"/>
    <w:qFormat/>
    <w:uiPriority w:val="0"/>
    <w:pPr>
      <w:autoSpaceDE w:val="0"/>
      <w:autoSpaceDN w:val="0"/>
      <w:adjustRightInd w:val="0"/>
      <w:spacing w:after="36" w:line="400" w:lineRule="exact"/>
      <w:jc w:val="center"/>
    </w:pPr>
    <w:rPr>
      <w:rFonts w:ascii="宋体" w:hAnsi="宋体"/>
      <w:sz w:val="24"/>
      <w:szCs w:val="20"/>
    </w:rPr>
  </w:style>
  <w:style w:type="paragraph" w:customStyle="1" w:styleId="1121">
    <w:name w:val="body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122">
    <w:name w:val="图片"/>
    <w:basedOn w:val="1"/>
    <w:qFormat/>
    <w:uiPriority w:val="0"/>
    <w:pPr>
      <w:jc w:val="center"/>
    </w:pPr>
  </w:style>
  <w:style w:type="paragraph" w:customStyle="1" w:styleId="1123">
    <w:name w:val="样式 行距: 固定值 25 磅1"/>
    <w:basedOn w:val="1"/>
    <w:qFormat/>
    <w:uiPriority w:val="0"/>
    <w:pPr>
      <w:adjustRightInd w:val="0"/>
      <w:snapToGrid w:val="0"/>
      <w:spacing w:line="300" w:lineRule="auto"/>
      <w:ind w:firstLine="560" w:firstLineChars="200"/>
      <w:jc w:val="left"/>
      <w:textAlignment w:val="baseline"/>
    </w:pPr>
    <w:rPr>
      <w:rFonts w:ascii="宋体" w:hAnsi="宋体"/>
      <w:kern w:val="0"/>
      <w:sz w:val="28"/>
      <w:szCs w:val="20"/>
    </w:rPr>
  </w:style>
  <w:style w:type="paragraph" w:customStyle="1" w:styleId="1124">
    <w:name w:val="样式 !标题3(alt+3) + 首行缩进:  1 字符3"/>
    <w:basedOn w:val="633"/>
    <w:qFormat/>
    <w:uiPriority w:val="0"/>
    <w:pPr>
      <w:spacing w:before="120" w:after="80" w:line="360" w:lineRule="auto"/>
    </w:pPr>
  </w:style>
  <w:style w:type="paragraph" w:customStyle="1" w:styleId="1125">
    <w:name w:val="样式 段后: 3.1 磅 行距: 固定值 20 磅"/>
    <w:basedOn w:val="1"/>
    <w:qFormat/>
    <w:uiPriority w:val="0"/>
    <w:pPr>
      <w:spacing w:after="62" w:line="400" w:lineRule="exact"/>
      <w:ind w:firstLine="482"/>
    </w:pPr>
    <w:rPr>
      <w:rFonts w:cs="宋体"/>
      <w:sz w:val="24"/>
      <w:szCs w:val="20"/>
    </w:rPr>
  </w:style>
  <w:style w:type="paragraph" w:customStyle="1" w:styleId="1126">
    <w:name w:val="样式 正文（首行缩进两字） + 行距: 固定值 20 磅"/>
    <w:basedOn w:val="22"/>
    <w:qFormat/>
    <w:uiPriority w:val="0"/>
    <w:pPr>
      <w:spacing w:afterLines="20" w:line="400" w:lineRule="exact"/>
      <w:ind w:firstLine="480"/>
    </w:pPr>
    <w:rPr>
      <w:sz w:val="24"/>
      <w:szCs w:val="20"/>
    </w:rPr>
  </w:style>
  <w:style w:type="paragraph" w:customStyle="1" w:styleId="1127">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28">
    <w:name w:val="顺序"/>
    <w:basedOn w:val="1"/>
    <w:next w:val="1"/>
    <w:qFormat/>
    <w:uiPriority w:val="0"/>
    <w:pPr>
      <w:jc w:val="left"/>
    </w:pPr>
    <w:rPr>
      <w:rFonts w:ascii="宋体" w:hAnsi="宋体"/>
      <w:kern w:val="0"/>
      <w:sz w:val="24"/>
    </w:rPr>
  </w:style>
  <w:style w:type="paragraph" w:customStyle="1" w:styleId="1129">
    <w:name w:val="报告书副标题"/>
    <w:basedOn w:val="1"/>
    <w:qFormat/>
    <w:uiPriority w:val="0"/>
    <w:pPr>
      <w:widowControl/>
      <w:tabs>
        <w:tab w:val="left" w:pos="-24"/>
      </w:tabs>
      <w:jc w:val="center"/>
      <w:textAlignment w:val="baseline"/>
      <w:outlineLvl w:val="4"/>
    </w:pPr>
    <w:rPr>
      <w:rFonts w:ascii="宋体" w:hAnsi="宋体"/>
      <w:b/>
      <w:bCs/>
      <w:color w:val="000000"/>
      <w:w w:val="83"/>
      <w:kern w:val="0"/>
      <w:sz w:val="48"/>
      <w:szCs w:val="20"/>
    </w:rPr>
  </w:style>
  <w:style w:type="paragraph" w:customStyle="1" w:styleId="1130">
    <w:name w:val="签字页"/>
    <w:basedOn w:val="1"/>
    <w:qFormat/>
    <w:uiPriority w:val="0"/>
    <w:pPr>
      <w:widowControl/>
      <w:tabs>
        <w:tab w:val="left" w:pos="-24"/>
      </w:tabs>
      <w:spacing w:line="240" w:lineRule="atLeast"/>
      <w:jc w:val="center"/>
      <w:textAlignment w:val="baseline"/>
    </w:pPr>
    <w:rPr>
      <w:rFonts w:ascii="宋体" w:hAnsi="宋体"/>
      <w:b/>
      <w:bCs/>
      <w:color w:val="000000"/>
      <w:kern w:val="0"/>
      <w:szCs w:val="20"/>
    </w:rPr>
  </w:style>
  <w:style w:type="paragraph" w:customStyle="1" w:styleId="1131">
    <w:name w:val="样式 !表标题(alt+h) + 段前: 0.2 行 段后: 0.2 行"/>
    <w:basedOn w:val="1031"/>
    <w:qFormat/>
    <w:uiPriority w:val="0"/>
    <w:pPr>
      <w:spacing w:beforeLines="20" w:afterLines="20" w:line="420" w:lineRule="atLeast"/>
      <w:textAlignment w:val="baseline"/>
      <w:outlineLvl w:val="3"/>
    </w:pPr>
    <w:rPr>
      <w:rFonts w:ascii="黑体"/>
    </w:rPr>
  </w:style>
  <w:style w:type="paragraph" w:customStyle="1" w:styleId="1132">
    <w:name w:val="表格 7"/>
    <w:basedOn w:val="1"/>
    <w:next w:val="1"/>
    <w:qFormat/>
    <w:uiPriority w:val="0"/>
    <w:pPr>
      <w:spacing w:line="280" w:lineRule="atLeast"/>
      <w:jc w:val="center"/>
    </w:pPr>
    <w:rPr>
      <w:rFonts w:ascii="Century Gothic" w:hAnsi="Century Gothic"/>
      <w:szCs w:val="21"/>
    </w:rPr>
  </w:style>
  <w:style w:type="paragraph" w:customStyle="1" w:styleId="1133">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134">
    <w:name w:val="表格后空行"/>
    <w:basedOn w:val="1"/>
    <w:next w:val="1"/>
    <w:qFormat/>
    <w:uiPriority w:val="0"/>
    <w:pPr>
      <w:adjustRightInd w:val="0"/>
      <w:spacing w:line="240" w:lineRule="atLeast"/>
    </w:pPr>
    <w:rPr>
      <w:rFonts w:ascii="Garamond" w:hAnsi="Garamond"/>
      <w:spacing w:val="2"/>
      <w:sz w:val="18"/>
      <w:szCs w:val="20"/>
    </w:rPr>
  </w:style>
  <w:style w:type="paragraph" w:customStyle="1" w:styleId="1135">
    <w:name w:val="封面5"/>
    <w:basedOn w:val="1"/>
    <w:next w:val="1"/>
    <w:qFormat/>
    <w:uiPriority w:val="0"/>
    <w:pPr>
      <w:adjustRightInd w:val="0"/>
      <w:snapToGrid w:val="0"/>
      <w:spacing w:beforeLines="200" w:afterLines="200" w:line="240" w:lineRule="atLeast"/>
      <w:ind w:firstLine="480" w:firstLineChars="200"/>
      <w:jc w:val="center"/>
    </w:pPr>
    <w:rPr>
      <w:rFonts w:eastAsia="华文新魏"/>
      <w:b/>
      <w:kern w:val="0"/>
      <w:sz w:val="72"/>
      <w:szCs w:val="20"/>
    </w:rPr>
  </w:style>
  <w:style w:type="paragraph" w:customStyle="1" w:styleId="1136">
    <w:name w:val="图表内文"/>
    <w:basedOn w:val="1"/>
    <w:qFormat/>
    <w:uiPriority w:val="0"/>
    <w:pPr>
      <w:spacing w:line="360" w:lineRule="exact"/>
      <w:jc w:val="center"/>
    </w:pPr>
    <w:rPr>
      <w:sz w:val="24"/>
    </w:rPr>
  </w:style>
  <w:style w:type="paragraph" w:customStyle="1" w:styleId="1137">
    <w:name w:val="Char Char Char Char Char Char"/>
    <w:basedOn w:val="1"/>
    <w:next w:val="2"/>
    <w:qFormat/>
    <w:uiPriority w:val="0"/>
    <w:rPr>
      <w:sz w:val="28"/>
      <w:szCs w:val="28"/>
    </w:rPr>
  </w:style>
  <w:style w:type="paragraph" w:customStyle="1" w:styleId="1138">
    <w:name w:val="参考文献"/>
    <w:basedOn w:val="1"/>
    <w:qFormat/>
    <w:uiPriority w:val="0"/>
    <w:pPr>
      <w:ind w:left="437" w:hanging="437"/>
      <w:outlineLvl w:val="3"/>
    </w:pPr>
    <w:rPr>
      <w:rFonts w:ascii="Arial" w:hAnsi="Arial"/>
      <w:szCs w:val="20"/>
    </w:rPr>
  </w:style>
  <w:style w:type="paragraph" w:customStyle="1" w:styleId="1139">
    <w:name w:val="分种"/>
    <w:basedOn w:val="349"/>
    <w:qFormat/>
    <w:uiPriority w:val="0"/>
    <w:pPr>
      <w:tabs>
        <w:tab w:val="left" w:pos="-333"/>
        <w:tab w:val="left" w:pos="840"/>
      </w:tabs>
      <w:ind w:left="780" w:firstLine="0" w:firstLineChars="0"/>
    </w:pPr>
  </w:style>
  <w:style w:type="paragraph" w:customStyle="1" w:styleId="1140">
    <w:name w:val="样式 段后: 7.8 磅"/>
    <w:basedOn w:val="1"/>
    <w:qFormat/>
    <w:uiPriority w:val="0"/>
    <w:pPr>
      <w:widowControl/>
      <w:spacing w:after="156" w:line="480" w:lineRule="auto"/>
      <w:ind w:firstLine="100" w:firstLineChars="100"/>
      <w:jc w:val="left"/>
    </w:pPr>
    <w:rPr>
      <w:rFonts w:ascii="宋体" w:hAnsi="宋体" w:cs="宋体"/>
      <w:kern w:val="0"/>
      <w:sz w:val="24"/>
      <w:szCs w:val="20"/>
    </w:rPr>
  </w:style>
  <w:style w:type="paragraph" w:customStyle="1" w:styleId="1141">
    <w:name w:val="Char Char Char Char Char Char1 Char Char Char1 Char Char Char1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1142">
    <w:name w:val="Char Char Char Char Char Char1 Char Char Char1 Char Char Char1 Char Char Char Char Char Char Char Char Char Char1"/>
    <w:basedOn w:val="1"/>
    <w:next w:val="1"/>
    <w:qFormat/>
    <w:uiPriority w:val="0"/>
    <w:pPr>
      <w:spacing w:line="360" w:lineRule="auto"/>
      <w:ind w:firstLine="200" w:firstLineChars="200"/>
    </w:pPr>
    <w:rPr>
      <w:rFonts w:ascii="楷体_GB2312" w:hAnsi="宋体" w:eastAsia="楷体_GB2312" w:cs="宋体"/>
      <w:sz w:val="24"/>
    </w:rPr>
  </w:style>
  <w:style w:type="paragraph" w:customStyle="1" w:styleId="1143">
    <w:name w:val="字元 字元 Char Char 字元 字元1"/>
    <w:basedOn w:val="1"/>
    <w:qFormat/>
    <w:uiPriority w:val="0"/>
    <w:rPr>
      <w:sz w:val="24"/>
    </w:rPr>
  </w:style>
  <w:style w:type="paragraph" w:customStyle="1" w:styleId="1144">
    <w:name w:val="斜体正文"/>
    <w:basedOn w:val="1"/>
    <w:qFormat/>
    <w:uiPriority w:val="0"/>
    <w:pPr>
      <w:spacing w:line="360" w:lineRule="auto"/>
      <w:ind w:firstLine="200" w:firstLineChars="200"/>
    </w:pPr>
    <w:rPr>
      <w:b/>
      <w:i/>
      <w:spacing w:val="6"/>
      <w:sz w:val="24"/>
    </w:rPr>
  </w:style>
  <w:style w:type="paragraph" w:customStyle="1" w:styleId="1145">
    <w:name w:val="样式 表格 + 居中"/>
    <w:basedOn w:val="152"/>
    <w:qFormat/>
    <w:uiPriority w:val="0"/>
    <w:pPr>
      <w:pBdr>
        <w:top w:val="single" w:color="auto" w:sz="12" w:space="1"/>
        <w:left w:val="single" w:color="auto" w:sz="12" w:space="4"/>
        <w:bottom w:val="single" w:color="auto" w:sz="12" w:space="1"/>
        <w:right w:val="single" w:color="auto" w:sz="12" w:space="4"/>
        <w:between w:val="single" w:color="auto" w:sz="4" w:space="1"/>
      </w:pBdr>
      <w:autoSpaceDE w:val="0"/>
      <w:autoSpaceDN w:val="0"/>
      <w:snapToGrid/>
      <w:spacing w:beforeLines="0" w:afterLines="0" w:line="320" w:lineRule="exact"/>
    </w:pPr>
    <w:rPr>
      <w:rFonts w:cs="宋体"/>
      <w:spacing w:val="6"/>
      <w:kern w:val="2"/>
      <w:sz w:val="24"/>
      <w:szCs w:val="20"/>
      <w:lang w:val="zh-CN"/>
    </w:rPr>
  </w:style>
  <w:style w:type="paragraph" w:customStyle="1" w:styleId="1146">
    <w:name w:val="表尾"/>
    <w:basedOn w:val="1"/>
    <w:next w:val="1"/>
    <w:qFormat/>
    <w:uiPriority w:val="0"/>
    <w:pPr>
      <w:ind w:right="28"/>
      <w:jc w:val="left"/>
    </w:pPr>
    <w:rPr>
      <w:rFonts w:ascii="宋体" w:hAnsi="宋体"/>
    </w:rPr>
  </w:style>
  <w:style w:type="paragraph" w:customStyle="1" w:styleId="1147">
    <w:name w:val="普通(Web)1"/>
    <w:basedOn w:val="1"/>
    <w:qFormat/>
    <w:uiPriority w:val="0"/>
    <w:pPr>
      <w:widowControl/>
      <w:spacing w:before="90" w:after="90"/>
      <w:ind w:firstLine="420"/>
      <w:jc w:val="left"/>
    </w:pPr>
    <w:rPr>
      <w:rFonts w:ascii="宋体" w:hAnsi="宋体" w:cs="宋体"/>
      <w:kern w:val="0"/>
      <w:sz w:val="24"/>
    </w:rPr>
  </w:style>
  <w:style w:type="paragraph" w:customStyle="1" w:styleId="1148">
    <w:name w:val="样式 样式 目录 4 + + 左侧:  3 字符"/>
    <w:basedOn w:val="1059"/>
    <w:qFormat/>
    <w:uiPriority w:val="0"/>
    <w:pPr>
      <w:ind w:left="714"/>
    </w:pPr>
  </w:style>
  <w:style w:type="paragraph" w:customStyle="1" w:styleId="1149">
    <w:name w:val="CM75"/>
    <w:basedOn w:val="1"/>
    <w:next w:val="1"/>
    <w:qFormat/>
    <w:uiPriority w:val="0"/>
    <w:pPr>
      <w:autoSpaceDE w:val="0"/>
      <w:autoSpaceDN w:val="0"/>
      <w:adjustRightInd w:val="0"/>
      <w:jc w:val="left"/>
    </w:pPr>
    <w:rPr>
      <w:rFonts w:ascii="宋体"/>
      <w:kern w:val="0"/>
      <w:sz w:val="24"/>
    </w:rPr>
  </w:style>
  <w:style w:type="paragraph" w:customStyle="1" w:styleId="1150">
    <w:name w:val="abcd"/>
    <w:basedOn w:val="1"/>
    <w:qFormat/>
    <w:uiPriority w:val="0"/>
    <w:pPr>
      <w:tabs>
        <w:tab w:val="left" w:pos="1440"/>
        <w:tab w:val="left" w:pos="1680"/>
      </w:tabs>
      <w:autoSpaceDN w:val="0"/>
      <w:adjustRightInd w:val="0"/>
      <w:snapToGrid w:val="0"/>
      <w:spacing w:after="120" w:line="264" w:lineRule="auto"/>
      <w:jc w:val="center"/>
    </w:pPr>
    <w:rPr>
      <w:rFonts w:ascii="宋体" w:eastAsia="幼圆"/>
      <w:b/>
      <w:w w:val="110"/>
      <w:kern w:val="0"/>
      <w:sz w:val="52"/>
      <w:szCs w:val="20"/>
    </w:rPr>
  </w:style>
  <w:style w:type="paragraph" w:customStyle="1" w:styleId="1151">
    <w:name w:val="Char Char1 Char"/>
    <w:basedOn w:val="1"/>
    <w:qFormat/>
    <w:uiPriority w:val="0"/>
    <w:pPr>
      <w:spacing w:before="100" w:beforeAutospacing="1" w:after="100" w:afterAutospacing="1" w:line="360" w:lineRule="auto"/>
      <w:ind w:firstLine="480" w:firstLineChars="200"/>
      <w:jc w:val="left"/>
    </w:pPr>
    <w:rPr>
      <w:rFonts w:ascii="Arial" w:hAnsi="Arial"/>
      <w:kern w:val="0"/>
      <w:sz w:val="24"/>
      <w:lang w:eastAsia="en-US"/>
    </w:rPr>
  </w:style>
  <w:style w:type="paragraph" w:customStyle="1" w:styleId="1152">
    <w:name w:val="Char Char6 Char Char"/>
    <w:basedOn w:val="1"/>
    <w:next w:val="2"/>
    <w:qFormat/>
    <w:uiPriority w:val="0"/>
    <w:rPr>
      <w:sz w:val="28"/>
      <w:szCs w:val="28"/>
    </w:rPr>
  </w:style>
  <w:style w:type="paragraph" w:customStyle="1" w:styleId="1153">
    <w:name w:val="Char Char6 Char Char5"/>
    <w:basedOn w:val="1"/>
    <w:next w:val="2"/>
    <w:qFormat/>
    <w:uiPriority w:val="0"/>
    <w:rPr>
      <w:sz w:val="28"/>
      <w:szCs w:val="28"/>
    </w:rPr>
  </w:style>
  <w:style w:type="paragraph" w:customStyle="1" w:styleId="1154">
    <w:name w:val="悬挂缩进"/>
    <w:basedOn w:val="1"/>
    <w:qFormat/>
    <w:uiPriority w:val="0"/>
    <w:pPr>
      <w:spacing w:line="440" w:lineRule="exact"/>
      <w:ind w:firstLine="480" w:firstLineChars="200"/>
    </w:pPr>
    <w:rPr>
      <w:color w:val="000000"/>
      <w:sz w:val="24"/>
    </w:rPr>
  </w:style>
  <w:style w:type="paragraph" w:customStyle="1" w:styleId="1155">
    <w:name w:val="图标题"/>
    <w:basedOn w:val="1"/>
    <w:qFormat/>
    <w:uiPriority w:val="0"/>
    <w:pPr>
      <w:spacing w:line="300" w:lineRule="auto"/>
      <w:ind w:firstLine="420" w:firstLineChars="200"/>
      <w:jc w:val="center"/>
    </w:pPr>
    <w:rPr>
      <w:rFonts w:cs="宋体"/>
      <w:b/>
      <w:szCs w:val="21"/>
    </w:rPr>
  </w:style>
  <w:style w:type="paragraph" w:customStyle="1" w:styleId="1156">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1157">
    <w:name w:val="283"/>
    <w:qFormat/>
    <w:uiPriority w:val="0"/>
    <w:rPr>
      <w:rFonts w:ascii="Times New Roman" w:hAnsi="Times New Roman" w:eastAsia="宋体" w:cs="Times New Roman"/>
      <w:lang w:val="en-US" w:eastAsia="zh-CN" w:bidi="ar-SA"/>
    </w:rPr>
  </w:style>
  <w:style w:type="paragraph" w:customStyle="1" w:styleId="1158">
    <w:name w:val="3"/>
    <w:qFormat/>
    <w:uiPriority w:val="0"/>
    <w:rPr>
      <w:rFonts w:ascii="Times New Roman" w:hAnsi="Times New Roman" w:eastAsia="宋体" w:cs="Times New Roman"/>
      <w:lang w:val="en-US" w:eastAsia="zh-CN" w:bidi="ar-SA"/>
    </w:rPr>
  </w:style>
  <w:style w:type="paragraph" w:customStyle="1" w:styleId="1159">
    <w:name w:val="33"/>
    <w:qFormat/>
    <w:uiPriority w:val="0"/>
    <w:rPr>
      <w:rFonts w:ascii="Times New Roman" w:hAnsi="Times New Roman" w:eastAsia="宋体" w:cs="Times New Roman"/>
      <w:lang w:val="en-US" w:eastAsia="zh-CN" w:bidi="ar-SA"/>
    </w:rPr>
  </w:style>
  <w:style w:type="paragraph" w:customStyle="1" w:styleId="1160">
    <w:name w:val="表格主题1"/>
    <w:qFormat/>
    <w:uiPriority w:val="0"/>
    <w:rPr>
      <w:rFonts w:ascii="Times New Roman" w:hAnsi="Times New Roman" w:eastAsia="宋体" w:cs="Times New Roman"/>
      <w:lang w:val="en-US" w:eastAsia="zh-CN" w:bidi="ar-SA"/>
    </w:rPr>
  </w:style>
  <w:style w:type="paragraph" w:customStyle="1" w:styleId="1161">
    <w:name w:val="282"/>
    <w:qFormat/>
    <w:uiPriority w:val="0"/>
    <w:rPr>
      <w:rFonts w:ascii="Times New Roman" w:hAnsi="Times New Roman" w:eastAsia="宋体" w:cs="Times New Roman"/>
      <w:lang w:val="en-US" w:eastAsia="zh-CN" w:bidi="ar-SA"/>
    </w:rPr>
  </w:style>
  <w:style w:type="paragraph" w:customStyle="1" w:styleId="1162">
    <w:name w:val="32"/>
    <w:qFormat/>
    <w:uiPriority w:val="0"/>
    <w:rPr>
      <w:rFonts w:ascii="Times New Roman" w:hAnsi="Times New Roman" w:eastAsia="宋体" w:cs="Times New Roman"/>
      <w:lang w:val="en-US" w:eastAsia="zh-CN" w:bidi="ar-SA"/>
    </w:rPr>
  </w:style>
  <w:style w:type="paragraph" w:customStyle="1" w:styleId="1163">
    <w:name w:val="31"/>
    <w:qFormat/>
    <w:uiPriority w:val="0"/>
    <w:rPr>
      <w:rFonts w:ascii="Times New Roman" w:hAnsi="Times New Roman" w:eastAsia="宋体" w:cs="Times New Roman"/>
      <w:lang w:val="en-US" w:eastAsia="zh-CN" w:bidi="ar-SA"/>
    </w:rPr>
  </w:style>
  <w:style w:type="paragraph" w:customStyle="1" w:styleId="1164">
    <w:name w:val="表格主题2"/>
    <w:qFormat/>
    <w:uiPriority w:val="0"/>
    <w:rPr>
      <w:rFonts w:ascii="Times New Roman" w:hAnsi="Times New Roman" w:eastAsia="宋体" w:cs="Times New Roman"/>
      <w:lang w:val="en-US" w:eastAsia="zh-CN" w:bidi="ar-SA"/>
    </w:rPr>
  </w:style>
  <w:style w:type="paragraph" w:customStyle="1" w:styleId="1165">
    <w:name w:val="图表文字注释"/>
    <w:qFormat/>
    <w:uiPriority w:val="0"/>
    <w:pPr>
      <w:spacing w:line="360" w:lineRule="auto"/>
      <w:jc w:val="center"/>
      <w:outlineLvl w:val="3"/>
    </w:pPr>
    <w:rPr>
      <w:rFonts w:ascii="Times New Roman" w:hAnsi="Times New Roman" w:eastAsia="宋体" w:cs="Times New Roman"/>
      <w:kern w:val="2"/>
      <w:sz w:val="21"/>
      <w:szCs w:val="24"/>
      <w:lang w:val="en-US" w:eastAsia="zh-CN" w:bidi="ar-SA"/>
    </w:rPr>
  </w:style>
  <w:style w:type="paragraph" w:customStyle="1" w:styleId="1166">
    <w:name w:val="1 Char Char Char Char"/>
    <w:basedOn w:val="1"/>
    <w:qFormat/>
    <w:uiPriority w:val="0"/>
  </w:style>
  <w:style w:type="character" w:customStyle="1" w:styleId="1167">
    <w:name w:val="Char Char Char Char Char1"/>
    <w:link w:val="1168"/>
    <w:qFormat/>
    <w:uiPriority w:val="0"/>
    <w:rPr>
      <w:rFonts w:ascii="宋体" w:hAnsi="宋体" w:cs="宋体"/>
      <w:kern w:val="2"/>
      <w:sz w:val="24"/>
      <w:szCs w:val="24"/>
    </w:rPr>
  </w:style>
  <w:style w:type="paragraph" w:customStyle="1" w:styleId="1168">
    <w:name w:val="Char Char Char Char11"/>
    <w:basedOn w:val="1"/>
    <w:link w:val="1167"/>
    <w:qFormat/>
    <w:uiPriority w:val="0"/>
    <w:pPr>
      <w:spacing w:line="360" w:lineRule="auto"/>
      <w:ind w:firstLine="200" w:firstLineChars="200"/>
    </w:pPr>
    <w:rPr>
      <w:rFonts w:ascii="宋体" w:hAnsi="宋体"/>
      <w:sz w:val="24"/>
    </w:rPr>
  </w:style>
  <w:style w:type="paragraph" w:customStyle="1" w:styleId="1169">
    <w:name w:val="报告表格"/>
    <w:basedOn w:val="1"/>
    <w:qFormat/>
    <w:uiPriority w:val="0"/>
    <w:pPr>
      <w:adjustRightInd w:val="0"/>
      <w:snapToGrid w:val="0"/>
      <w:jc w:val="center"/>
    </w:pPr>
    <w:rPr>
      <w:rFonts w:cs="宋体"/>
      <w:szCs w:val="21"/>
    </w:rPr>
  </w:style>
  <w:style w:type="paragraph" w:customStyle="1" w:styleId="1170">
    <w:name w:val="Char Char2 Char Char Char Char1"/>
    <w:basedOn w:val="1"/>
    <w:qFormat/>
    <w:uiPriority w:val="0"/>
  </w:style>
  <w:style w:type="paragraph" w:customStyle="1" w:styleId="1171">
    <w:name w:val="表格文本样式"/>
    <w:basedOn w:val="1172"/>
    <w:next w:val="1172"/>
    <w:qFormat/>
    <w:uiPriority w:val="0"/>
    <w:pPr>
      <w:spacing w:line="400" w:lineRule="exact"/>
      <w:ind w:firstLine="0" w:firstLineChars="0"/>
      <w:jc w:val="center"/>
    </w:pPr>
    <w:rPr>
      <w:sz w:val="21"/>
    </w:rPr>
  </w:style>
  <w:style w:type="paragraph" w:customStyle="1" w:styleId="1172">
    <w:name w:val="正文文本1"/>
    <w:basedOn w:val="1"/>
    <w:qFormat/>
    <w:uiPriority w:val="0"/>
    <w:pPr>
      <w:spacing w:line="360" w:lineRule="auto"/>
      <w:ind w:firstLine="200" w:firstLineChars="200"/>
    </w:pPr>
    <w:rPr>
      <w:sz w:val="24"/>
      <w:szCs w:val="22"/>
    </w:rPr>
  </w:style>
  <w:style w:type="character" w:customStyle="1" w:styleId="1173">
    <w:name w:val="_Style 1172"/>
    <w:qFormat/>
    <w:uiPriority w:val="0"/>
    <w:rPr>
      <w:i/>
      <w:iCs/>
      <w:color w:val="808080"/>
    </w:rPr>
  </w:style>
  <w:style w:type="character" w:customStyle="1" w:styleId="1174">
    <w:name w:val="_Style 1173"/>
    <w:qFormat/>
    <w:uiPriority w:val="31"/>
    <w:rPr>
      <w:smallCaps/>
      <w:color w:val="C0504D"/>
      <w:u w:val="single"/>
    </w:rPr>
  </w:style>
  <w:style w:type="character" w:customStyle="1" w:styleId="1175">
    <w:name w:val="_Style 1174"/>
    <w:qFormat/>
    <w:uiPriority w:val="0"/>
    <w:rPr>
      <w:b/>
      <w:bCs/>
      <w:smallCaps/>
      <w:spacing w:val="5"/>
    </w:rPr>
  </w:style>
  <w:style w:type="character" w:customStyle="1" w:styleId="1176">
    <w:name w:val="正文文本 Char1"/>
    <w:qFormat/>
    <w:uiPriority w:val="0"/>
    <w:rPr>
      <w:kern w:val="2"/>
      <w:sz w:val="21"/>
      <w:szCs w:val="24"/>
    </w:rPr>
  </w:style>
  <w:style w:type="character" w:customStyle="1" w:styleId="1177">
    <w:name w:val="_Style 1176"/>
    <w:qFormat/>
    <w:uiPriority w:val="0"/>
    <w:rPr>
      <w:b/>
      <w:bCs/>
      <w:i/>
      <w:iCs/>
      <w:color w:val="4F81BD"/>
    </w:rPr>
  </w:style>
  <w:style w:type="character" w:customStyle="1" w:styleId="1178">
    <w:name w:val="_Style 1177"/>
    <w:qFormat/>
    <w:uiPriority w:val="0"/>
    <w:rPr>
      <w:b/>
      <w:bCs/>
      <w:smallCaps/>
      <w:color w:val="C0504D"/>
      <w:spacing w:val="5"/>
      <w:u w:val="single"/>
    </w:rPr>
  </w:style>
  <w:style w:type="character" w:customStyle="1" w:styleId="1179">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uiPriority w:val="0"/>
    <w:rPr>
      <w:rFonts w:ascii="宋体" w:hAnsi="宋体" w:eastAsia="仿宋_GB2312"/>
      <w:b/>
      <w:bCs/>
      <w:kern w:val="2"/>
      <w:sz w:val="24"/>
      <w:szCs w:val="24"/>
      <w:lang w:val="en-US" w:eastAsia="zh-CN" w:bidi="ar-SA"/>
    </w:rPr>
  </w:style>
  <w:style w:type="paragraph" w:styleId="11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181">
    <w:name w:val="正文文本缩进 25"/>
    <w:basedOn w:val="1"/>
    <w:qFormat/>
    <w:uiPriority w:val="0"/>
    <w:pPr>
      <w:adjustRightInd w:val="0"/>
      <w:ind w:left="718" w:firstLine="720"/>
      <w:textAlignment w:val="baseline"/>
    </w:pPr>
    <w:rPr>
      <w:sz w:val="32"/>
      <w:szCs w:val="20"/>
    </w:rPr>
  </w:style>
  <w:style w:type="paragraph" w:styleId="1182">
    <w:name w:val="Quote"/>
    <w:basedOn w:val="1"/>
    <w:next w:val="1"/>
    <w:link w:val="1183"/>
    <w:qFormat/>
    <w:uiPriority w:val="0"/>
    <w:rPr>
      <w:i/>
      <w:iCs/>
      <w:color w:val="000000"/>
    </w:rPr>
  </w:style>
  <w:style w:type="character" w:customStyle="1" w:styleId="1183">
    <w:name w:val="引用 字符1"/>
    <w:link w:val="1182"/>
    <w:qFormat/>
    <w:uiPriority w:val="0"/>
    <w:rPr>
      <w:i/>
      <w:iCs/>
      <w:color w:val="000000"/>
      <w:kern w:val="2"/>
      <w:sz w:val="21"/>
      <w:szCs w:val="24"/>
    </w:rPr>
  </w:style>
  <w:style w:type="character" w:customStyle="1" w:styleId="1184">
    <w:name w:val="引用 字符"/>
    <w:qFormat/>
    <w:uiPriority w:val="29"/>
    <w:rPr>
      <w:i/>
      <w:iCs/>
      <w:color w:val="404040"/>
      <w:kern w:val="2"/>
      <w:sz w:val="21"/>
      <w:szCs w:val="24"/>
    </w:rPr>
  </w:style>
  <w:style w:type="paragraph" w:customStyle="1" w:styleId="1185">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9"/>
    <w:qFormat/>
    <w:uiPriority w:val="0"/>
    <w:pPr>
      <w:keepNext w:val="0"/>
      <w:keepLines w:val="0"/>
      <w:tabs>
        <w:tab w:val="clear" w:pos="1152"/>
      </w:tabs>
      <w:adjustRightInd w:val="0"/>
      <w:snapToGrid w:val="0"/>
      <w:ind w:firstLine="482"/>
    </w:pPr>
    <w:rPr>
      <w:rFonts w:ascii="宋体" w:hAnsi="宋体" w:eastAsia="仿宋_GB2312"/>
      <w:b w:val="0"/>
      <w:bCs/>
      <w:kern w:val="0"/>
      <w:sz w:val="24"/>
      <w:szCs w:val="24"/>
    </w:rPr>
  </w:style>
  <w:style w:type="paragraph" w:styleId="1186">
    <w:name w:val="Intense Quote"/>
    <w:basedOn w:val="1"/>
    <w:next w:val="1"/>
    <w:link w:val="1187"/>
    <w:qFormat/>
    <w:uiPriority w:val="0"/>
    <w:pPr>
      <w:pBdr>
        <w:bottom w:val="single" w:color="4F81BD" w:sz="4" w:space="4"/>
      </w:pBdr>
      <w:spacing w:before="200" w:after="280"/>
      <w:ind w:left="936" w:right="936"/>
    </w:pPr>
    <w:rPr>
      <w:b/>
      <w:bCs/>
      <w:i/>
      <w:iCs/>
      <w:color w:val="4F81BD"/>
    </w:rPr>
  </w:style>
  <w:style w:type="character" w:customStyle="1" w:styleId="1187">
    <w:name w:val="明显引用 字符1"/>
    <w:link w:val="1186"/>
    <w:qFormat/>
    <w:uiPriority w:val="0"/>
    <w:rPr>
      <w:b/>
      <w:bCs/>
      <w:i/>
      <w:iCs/>
      <w:color w:val="4F81BD"/>
      <w:kern w:val="2"/>
      <w:sz w:val="21"/>
      <w:szCs w:val="24"/>
    </w:rPr>
  </w:style>
  <w:style w:type="character" w:customStyle="1" w:styleId="1188">
    <w:name w:val="明显引用 字符"/>
    <w:qFormat/>
    <w:uiPriority w:val="30"/>
    <w:rPr>
      <w:i/>
      <w:iCs/>
      <w:color w:val="4472C4"/>
      <w:kern w:val="2"/>
      <w:sz w:val="21"/>
      <w:szCs w:val="24"/>
    </w:rPr>
  </w:style>
  <w:style w:type="paragraph" w:customStyle="1" w:styleId="1189">
    <w:name w:val="_Style 1188"/>
    <w:basedOn w:val="1"/>
    <w:next w:val="1"/>
    <w:link w:val="1190"/>
    <w:qFormat/>
    <w:uiPriority w:val="0"/>
    <w:pPr>
      <w:widowControl/>
      <w:pBdr>
        <w:top w:val="single" w:color="auto" w:sz="6" w:space="1"/>
      </w:pBdr>
      <w:jc w:val="center"/>
    </w:pPr>
    <w:rPr>
      <w:rFonts w:ascii="Arial" w:hAnsi="Arial"/>
      <w:vanish/>
      <w:color w:val="000000"/>
      <w:kern w:val="0"/>
      <w:sz w:val="16"/>
      <w:szCs w:val="16"/>
    </w:rPr>
  </w:style>
  <w:style w:type="character" w:customStyle="1" w:styleId="1190">
    <w:name w:val="z-窗体底端 字符1"/>
    <w:link w:val="1189"/>
    <w:qFormat/>
    <w:uiPriority w:val="0"/>
    <w:rPr>
      <w:rFonts w:ascii="Arial" w:hAnsi="Arial"/>
      <w:vanish/>
      <w:color w:val="000000"/>
      <w:sz w:val="16"/>
      <w:szCs w:val="16"/>
    </w:rPr>
  </w:style>
  <w:style w:type="character" w:customStyle="1" w:styleId="1191">
    <w:name w:val="z-窗体底端 字符"/>
    <w:semiHidden/>
    <w:qFormat/>
    <w:uiPriority w:val="99"/>
    <w:rPr>
      <w:rFonts w:ascii="Arial" w:hAnsi="Arial" w:cs="Arial"/>
      <w:vanish/>
      <w:kern w:val="2"/>
      <w:sz w:val="16"/>
      <w:szCs w:val="16"/>
    </w:rPr>
  </w:style>
  <w:style w:type="paragraph" w:customStyle="1" w:styleId="1192">
    <w:name w:val="_Style 1191"/>
    <w:basedOn w:val="1"/>
    <w:next w:val="1"/>
    <w:link w:val="1193"/>
    <w:qFormat/>
    <w:uiPriority w:val="0"/>
    <w:pPr>
      <w:widowControl/>
      <w:pBdr>
        <w:bottom w:val="single" w:color="auto" w:sz="6" w:space="1"/>
      </w:pBdr>
      <w:jc w:val="center"/>
    </w:pPr>
    <w:rPr>
      <w:rFonts w:ascii="Arial" w:hAnsi="Arial"/>
      <w:vanish/>
      <w:color w:val="000000"/>
      <w:kern w:val="0"/>
      <w:sz w:val="16"/>
      <w:szCs w:val="16"/>
    </w:rPr>
  </w:style>
  <w:style w:type="character" w:customStyle="1" w:styleId="1193">
    <w:name w:val="z-窗体顶端 字符1"/>
    <w:link w:val="1192"/>
    <w:qFormat/>
    <w:uiPriority w:val="0"/>
    <w:rPr>
      <w:rFonts w:ascii="Arial" w:hAnsi="Arial"/>
      <w:vanish/>
      <w:color w:val="000000"/>
      <w:sz w:val="16"/>
      <w:szCs w:val="16"/>
    </w:rPr>
  </w:style>
  <w:style w:type="character" w:customStyle="1" w:styleId="1194">
    <w:name w:val="z-窗体顶端 字符"/>
    <w:semiHidden/>
    <w:qFormat/>
    <w:uiPriority w:val="99"/>
    <w:rPr>
      <w:rFonts w:ascii="Arial" w:hAnsi="Arial" w:cs="Arial"/>
      <w:vanish/>
      <w:kern w:val="2"/>
      <w:sz w:val="16"/>
      <w:szCs w:val="16"/>
    </w:rPr>
  </w:style>
  <w:style w:type="table" w:customStyle="1" w:styleId="1195">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1196">
    <w:name w:val="表格文字格式"/>
    <w:basedOn w:val="1"/>
    <w:link w:val="1197"/>
    <w:qFormat/>
    <w:uiPriority w:val="0"/>
    <w:pPr>
      <w:widowControl/>
      <w:jc w:val="center"/>
    </w:pPr>
    <w:rPr>
      <w:rFonts w:ascii="Calibri" w:hAnsi="Calibri"/>
      <w:kern w:val="0"/>
      <w:szCs w:val="28"/>
    </w:rPr>
  </w:style>
  <w:style w:type="character" w:customStyle="1" w:styleId="1197">
    <w:name w:val="表格文字格式 Char"/>
    <w:link w:val="1196"/>
    <w:qFormat/>
    <w:uiPriority w:val="0"/>
    <w:rPr>
      <w:rFonts w:ascii="Calibri" w:hAnsi="Calibri"/>
      <w:sz w:val="21"/>
      <w:szCs w:val="28"/>
    </w:rPr>
  </w:style>
  <w:style w:type="character" w:customStyle="1" w:styleId="1198">
    <w:name w:val="正文文本首行缩进 2 字符"/>
    <w:semiHidden/>
    <w:qFormat/>
    <w:uiPriority w:val="99"/>
  </w:style>
  <w:style w:type="paragraph" w:customStyle="1" w:styleId="1199">
    <w:name w:val="JJ正文"/>
    <w:basedOn w:val="1"/>
    <w:qFormat/>
    <w:uiPriority w:val="0"/>
    <w:pPr>
      <w:widowControl w:val="0"/>
      <w:ind w:firstLine="480"/>
    </w:pPr>
    <w:rPr>
      <w:kern w:val="0"/>
    </w:rPr>
  </w:style>
  <w:style w:type="paragraph" w:customStyle="1" w:styleId="1200">
    <w:name w:val="JJ表内"/>
    <w:basedOn w:val="1"/>
    <w:qFormat/>
    <w:uiPriority w:val="0"/>
    <w:pPr>
      <w:widowControl w:val="0"/>
      <w:spacing w:line="0" w:lineRule="atLeast"/>
      <w:ind w:firstLine="0" w:firstLineChars="0"/>
      <w:jc w:val="center"/>
    </w:pPr>
    <w:rPr>
      <w:kern w:val="0"/>
      <w:sz w:val="18"/>
      <w:szCs w:val="20"/>
    </w:rPr>
  </w:style>
  <w:style w:type="paragraph" w:customStyle="1" w:styleId="1201">
    <w:name w:val="样式 首行缩进:  2.25 字符"/>
    <w:basedOn w:val="1"/>
    <w:qFormat/>
    <w:uiPriority w:val="0"/>
    <w:pPr>
      <w:ind w:firstLine="540" w:firstLineChars="225"/>
      <w:jc w:val="left"/>
    </w:pPr>
    <w:rPr>
      <w:rFonts w:ascii="宋体" w:eastAsia="宋体" w:cs="Times New Roman"/>
      <w:kern w:val="0"/>
      <w:szCs w:val="20"/>
    </w:rPr>
  </w:style>
  <w:style w:type="character" w:customStyle="1" w:styleId="1202">
    <w:name w:val="NormalCharacter"/>
    <w:qFormat/>
    <w:uiPriority w:val="0"/>
  </w:style>
  <w:style w:type="character" w:customStyle="1" w:styleId="1203">
    <w:name w:val="font61"/>
    <w:basedOn w:val="91"/>
    <w:qFormat/>
    <w:uiPriority w:val="0"/>
    <w:rPr>
      <w:rFonts w:hint="eastAsia" w:ascii="宋体" w:hAnsi="宋体" w:eastAsia="宋体" w:cs="宋体"/>
      <w:color w:val="000000"/>
      <w:sz w:val="22"/>
      <w:szCs w:val="22"/>
      <w:u w:val="none"/>
    </w:rPr>
  </w:style>
  <w:style w:type="paragraph" w:customStyle="1" w:styleId="1204">
    <w:name w:val="td1"/>
    <w:basedOn w:val="1"/>
    <w:next w:val="1"/>
    <w:qFormat/>
    <w:uiPriority w:val="0"/>
    <w:pPr>
      <w:widowControl/>
      <w:spacing w:before="280" w:after="280" w:line="300" w:lineRule="atLeast"/>
      <w:ind w:firstLine="200"/>
    </w:pPr>
    <w:rPr>
      <w:color w:val="000000"/>
      <w:sz w:val="18"/>
    </w:rPr>
  </w:style>
  <w:style w:type="paragraph" w:customStyle="1" w:styleId="1205">
    <w:name w:val="样式 标题 1 + 四号 段前: 0 磅 段后: 0 磅 行距: 1.5 倍行距"/>
    <w:basedOn w:val="1206"/>
    <w:next w:val="1"/>
    <w:qFormat/>
    <w:uiPriority w:val="0"/>
    <w:pPr>
      <w:keepLines/>
      <w:spacing w:before="340" w:after="330"/>
      <w:jc w:val="center"/>
    </w:pPr>
    <w:rPr>
      <w:rFonts w:ascii="Calibri" w:hAnsi="黑体"/>
      <w:b/>
      <w:kern w:val="44"/>
      <w:sz w:val="21"/>
      <w:szCs w:val="24"/>
    </w:rPr>
  </w:style>
  <w:style w:type="paragraph" w:customStyle="1" w:styleId="1206">
    <w:name w:val="1正文"/>
    <w:basedOn w:val="1"/>
    <w:qFormat/>
    <w:uiPriority w:val="0"/>
    <w:pPr>
      <w:ind w:firstLine="1044"/>
    </w:pPr>
    <w:rPr>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cyMjY2NzAxMDAyIiwKCSJHcm91cElkIiA6ICIxMTkwMjY2NTMiLAoJIkltYWdlIiA6ICJpVkJPUncwS0dnb0FBQUFOU1VoRVVnQUFBdGNBQUFGMUNBWUFBQUFqc3NZbEFBQUFBWE5TUjBJQXJzNGM2UUFBSUFCSlJFRlVlSnpzM1hsOFRGZi9CL0RQblpsc2trZ1FZazB0VldzMG9hZ3FhbW1SYWxYdFMvR2dscWpHMWlkMlNVV29JbXF2b0lzV3RhU1BJRWlwVkJCYkVvUklCRkd4SkVSMk1rbG01djcrNk16OE1wbVpaTEtRTkQ3djE4dExNdmZjZTg1TTdwejd2V2U3Q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ySC93SG9BQkcwdmprc0tnQUFBQUJKUlU1RXJrSmdnZz09IiwKCSJUaGVtZSIgOiAiIiwKCSJUeXBlIiA6ICJmbG93IiwKCSJVc2VySWQiIDogIjIyOTc4MDI2MSIsCgkiVmVyc2lvbiIgOiAiMT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69</Pages>
  <Words>43904</Words>
  <Characters>48439</Characters>
  <Lines>603</Lines>
  <Paragraphs>169</Paragraphs>
  <TotalTime>46</TotalTime>
  <ScaleCrop>false</ScaleCrop>
  <LinksUpToDate>false</LinksUpToDate>
  <CharactersWithSpaces>48931</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2020-12-24T09:42:00Z</dcterms:created>
  <dc:creator>lhj</dc:creator>
  <cp:lastModifiedBy>彭欢</cp:lastModifiedBy>
  <cp:lastPrinted>2022-03-14T18:06:00Z</cp:lastPrinted>
  <dcterms:modified xsi:type="dcterms:W3CDTF">2025-12-04T15:22:03Z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E87696716AA14B7688709BF9EFF98188_13</vt:lpwstr>
  </property>
  <property fmtid="{D5CDD505-2E9C-101B-9397-08002B2CF9AE}" pid="4" name="KSOTemplateDocerSaveRecord">
    <vt:lpwstr>eyJoZGlkIjoiZjIxZDMwMmIzYTg1MDhmMDhhOGZkM2IwNjlkYjU1ZDAiLCJ1c2VySWQiOiIyMjk3ODAyNjEifQ==</vt:lpwstr>
  </property>
</Properties>
</file>