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19F734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嵩明县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2024年上级转移支付情况说明</w:t>
      </w:r>
    </w:p>
    <w:p w14:paraId="22F6C541">
      <w:pP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3FE10E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年我县收支上级转移支付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175269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万元，具体明细如下：</w:t>
      </w:r>
    </w:p>
    <w:p w14:paraId="010FD8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一、一般公共预算转移支付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160044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万元。</w:t>
      </w:r>
    </w:p>
    <w:p w14:paraId="54C0A3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（一）返还性收入</w:t>
      </w:r>
      <w:r>
        <w:rPr>
          <w:rFonts w:hint="default" w:ascii="Times New Roman" w:hAnsi="Times New Roman" w:eastAsia="楷体" w:cs="Times New Roman"/>
          <w:sz w:val="32"/>
          <w:szCs w:val="32"/>
          <w:lang w:val="en-US" w:eastAsia="zh-CN"/>
        </w:rPr>
        <w:t>17262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万元</w:t>
      </w:r>
    </w:p>
    <w:p w14:paraId="6B66F2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1.所得税基数返还942万元</w:t>
      </w:r>
    </w:p>
    <w:p w14:paraId="250F37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2.增值税税收返还收入3233万元</w:t>
      </w:r>
    </w:p>
    <w:p w14:paraId="52C8F9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3.消费税税收返还收入304万元</w:t>
      </w:r>
    </w:p>
    <w:p w14:paraId="65DE24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4.增值税“五五分享”税收返还收入12783万元</w:t>
      </w:r>
    </w:p>
    <w:p w14:paraId="39A729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（二）一般性转移支付</w:t>
      </w:r>
      <w:r>
        <w:rPr>
          <w:rFonts w:hint="default" w:ascii="Times New Roman" w:hAnsi="Times New Roman" w:eastAsia="楷体" w:cs="Times New Roman"/>
          <w:sz w:val="32"/>
          <w:szCs w:val="32"/>
          <w:lang w:val="en-US" w:eastAsia="zh-CN"/>
        </w:rPr>
        <w:t>108807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万元</w:t>
      </w:r>
    </w:p>
    <w:p w14:paraId="71DD6D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1.体制补助收入9007万元</w:t>
      </w:r>
    </w:p>
    <w:p w14:paraId="7F0A71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2.均衡性转移支付收入18876万元</w:t>
      </w:r>
    </w:p>
    <w:p w14:paraId="518AE3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3.巩固脱贫攻坚成果衔接乡村振兴转移支付收入1641万元</w:t>
      </w:r>
    </w:p>
    <w:p w14:paraId="715193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4.县级基本财力保障奖补资金收入3144万元</w:t>
      </w:r>
    </w:p>
    <w:p w14:paraId="534AD1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5.资源枯竭型城市转移支付收入1029万元</w:t>
      </w:r>
    </w:p>
    <w:p w14:paraId="73E3D6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6.重点生态功能区转移支付收入1632万元</w:t>
      </w:r>
    </w:p>
    <w:p w14:paraId="6853A2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7.固定数额补助13450万元</w:t>
      </w:r>
    </w:p>
    <w:p w14:paraId="33E387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8.公共安全共同财政事权转移支付收入1058万元</w:t>
      </w:r>
    </w:p>
    <w:p w14:paraId="7F9AC6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9.教育共同财政事权转移支付收入12867万元</w:t>
      </w:r>
    </w:p>
    <w:p w14:paraId="34A63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10.文化旅游体育与传媒共同财政事权转移支付收入251万元</w:t>
      </w:r>
    </w:p>
    <w:p w14:paraId="31787E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11.社会保障和就业共同财政事权转移支付收入9740万元</w:t>
      </w:r>
    </w:p>
    <w:p w14:paraId="4B0F4C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12.医疗卫生共同财政事权转移支付收入5557万元</w:t>
      </w:r>
    </w:p>
    <w:p w14:paraId="6EBFFA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13.节能环保共同财政事权转移支付收入15万元</w:t>
      </w:r>
    </w:p>
    <w:p w14:paraId="20136F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14.农林水共同财政事权转移支付收入6327万元</w:t>
      </w:r>
    </w:p>
    <w:p w14:paraId="3A7DEC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15.交通运输共同财政事权转移支付收入526万元</w:t>
      </w:r>
    </w:p>
    <w:p w14:paraId="0AC4C3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16.住房保障共同财政事权转移支付收入72万元</w:t>
      </w:r>
    </w:p>
    <w:p w14:paraId="28D11D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17.灾害防治及应急管理共同财政事权转移支付收入130万元</w:t>
      </w:r>
    </w:p>
    <w:p w14:paraId="32AE48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18.其他共同财政事权转移支付收入5万元</w:t>
      </w:r>
    </w:p>
    <w:p w14:paraId="069B87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20.结算补助23480万元</w:t>
      </w:r>
    </w:p>
    <w:p w14:paraId="3C0C2F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（二）专项转移支付</w:t>
      </w:r>
      <w:r>
        <w:rPr>
          <w:rFonts w:hint="default" w:ascii="Times New Roman" w:hAnsi="Times New Roman" w:eastAsia="楷体" w:cs="Times New Roman"/>
          <w:sz w:val="32"/>
          <w:szCs w:val="32"/>
          <w:lang w:val="en-US" w:eastAsia="zh-CN"/>
        </w:rPr>
        <w:t>34371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万元</w:t>
      </w:r>
    </w:p>
    <w:p w14:paraId="502DB1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1.一般公共服务490万元</w:t>
      </w:r>
    </w:p>
    <w:p w14:paraId="5A1BCD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2.公共安全242万元</w:t>
      </w:r>
    </w:p>
    <w:p w14:paraId="52EB64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3.教育3159万元</w:t>
      </w:r>
    </w:p>
    <w:p w14:paraId="343676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4.科学技术20万元</w:t>
      </w:r>
    </w:p>
    <w:p w14:paraId="3C3C8F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5.文化体育与传媒44万元</w:t>
      </w:r>
    </w:p>
    <w:p w14:paraId="6503B9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6.社会保障和就业2312万元</w:t>
      </w:r>
    </w:p>
    <w:p w14:paraId="4E0B79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7.卫生健康1137万元</w:t>
      </w:r>
    </w:p>
    <w:p w14:paraId="69552C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8.节能环保17054万元</w:t>
      </w:r>
    </w:p>
    <w:p w14:paraId="52EBA7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9.城乡社区633万元</w:t>
      </w:r>
    </w:p>
    <w:p w14:paraId="1B48D3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10.农林水4175万元</w:t>
      </w:r>
    </w:p>
    <w:p w14:paraId="5C17E2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11.交通运输866万元</w:t>
      </w:r>
    </w:p>
    <w:p w14:paraId="595095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12.资源勘探工业信息等3369万元</w:t>
      </w:r>
    </w:p>
    <w:p w14:paraId="17A068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13.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商业服务业等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379万元</w:t>
      </w:r>
      <w:bookmarkStart w:id="0" w:name="_GoBack"/>
      <w:bookmarkEnd w:id="0"/>
    </w:p>
    <w:p w14:paraId="0514BE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14.自然资源海洋气象等41万元</w:t>
      </w:r>
    </w:p>
    <w:p w14:paraId="129EB1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15.住房保障385万元</w:t>
      </w:r>
    </w:p>
    <w:p w14:paraId="4E7FD4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16.灾害防治及应急管理65万元</w:t>
      </w:r>
    </w:p>
    <w:p w14:paraId="4C1CDA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320" w:firstLineChars="1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二、政府性基金预算转移支付14798万元</w:t>
      </w:r>
    </w:p>
    <w:p w14:paraId="7B12AD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320" w:firstLineChars="1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三、国有资本经营预算转移支付31万元</w:t>
      </w:r>
    </w:p>
    <w:p w14:paraId="10138F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320" w:firstLineChars="1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四、其他需说明事项</w:t>
      </w:r>
    </w:p>
    <w:p w14:paraId="1F38AC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嵩明县按现行财政管理体制，参照“乡财县管”模式，镇（街道）作为一级预算单位实行“预算统编、集中收支、票据统筹”的预算管理方式。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3726BB"/>
    <w:rsid w:val="03634626"/>
    <w:rsid w:val="1BD85E4D"/>
    <w:rsid w:val="1F3726BB"/>
    <w:rsid w:val="28094EEC"/>
    <w:rsid w:val="46767799"/>
    <w:rsid w:val="516528E4"/>
    <w:rsid w:val="630E5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昆明市嵩明县党政机关单位</Company>
  <Pages>3</Pages>
  <Words>736</Words>
  <Characters>919</Characters>
  <Lines>0</Lines>
  <Paragraphs>0</Paragraphs>
  <TotalTime>93</TotalTime>
  <ScaleCrop>false</ScaleCrop>
  <LinksUpToDate>false</LinksUpToDate>
  <CharactersWithSpaces>919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2025-10-10T10:53:00Z</dcterms:created>
  <dc:creator>Administrator</dc:creator>
  <cp:lastModifiedBy>Administrator</cp:lastModifiedBy>
  <cp:lastPrinted>2025-10-11T01:45:00Z</cp:lastPrinted>
  <dcterms:modified xsi:type="dcterms:W3CDTF">2025-10-11T02:19:19Z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0EF802A195C6422990D988748225F51B_13</vt:lpwstr>
  </property>
  <property fmtid="{D5CDD505-2E9C-101B-9397-08002B2CF9AE}" pid="4" name="KSOTemplateDocerSaveRecord">
    <vt:lpwstr>eyJoZGlkIjoiNTY0OWUyNGQ5ZDFjMmM3ZGRjZDIyNjcyNjQ5OWJhY2IiLCJ1c2VySWQiOiI2OTMyNzc2MTkifQ==</vt:lpwstr>
  </property>
</Properties>
</file>