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A5B8F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举借政府债务情况</w:t>
      </w:r>
    </w:p>
    <w:p w14:paraId="417725F3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年，嵩明县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增加专项债务限额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3.7288亿元，收回一般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债务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限额1亿元，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年末债务限额为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77.7688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亿元，其中一般债务限额4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.07亿元，专项债务限额3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7.6988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亿元。年末政府债务余额为7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6.2059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亿元(其中一般债务余额 39.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亿元，专项债务余额3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6.5434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亿元)，较202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年增加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2.9278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亿元(其中一般债务减少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0.201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亿元，专项债务增加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3.1288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亿元)。</w:t>
      </w:r>
    </w:p>
    <w:p w14:paraId="0BF22B4B">
      <w:pPr>
        <w:rPr>
          <w:rFonts w:hint="eastAsia"/>
          <w:lang w:eastAsia="zh-CN"/>
        </w:rPr>
      </w:pPr>
      <w:bookmarkStart w:id="0" w:name="_GoBack"/>
      <w:bookmarkEnd w:id="0"/>
    </w:p>
    <w:sectPr>
      <w:pgSz w:w="11906" w:h="16838"/>
      <w:pgMar w:top="1984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C73085"/>
    <w:rsid w:val="29E73598"/>
    <w:rsid w:val="678B4B1C"/>
    <w:rsid w:val="6A12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169</Characters>
  <Lines>0</Lines>
  <Paragraphs>0</Paragraphs>
  <TotalTime>9</TotalTime>
  <ScaleCrop>false</ScaleCrop>
  <LinksUpToDate>false</LinksUpToDate>
  <CharactersWithSpaces>171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2023-10-08T03:35:00Z</dcterms:created>
  <dc:creator>Administrator</dc:creator>
  <cp:lastModifiedBy>余露露</cp:lastModifiedBy>
  <dcterms:modified xsi:type="dcterms:W3CDTF">2025-09-15T03:17:34Z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eyJoZGlkIjoiZWRmNTZiMmNmODNlNGM4YzVjZGNjNDFhNTJmZjA2YWEiLCJ1c2VySWQiOiI5Nzg5Nzg5MjcifQ==</vt:lpwstr>
  </property>
  <property fmtid="{D5CDD505-2E9C-101B-9397-08002B2CF9AE}" pid="4" name="ICV">
    <vt:lpwstr>9A040475F10E40A8AAD6F760957E7956_12</vt:lpwstr>
  </property>
</Properties>
</file>