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insoku/>
        <w:spacing w:line="274" w:lineRule="auto"/>
        <w:rPr>
          <w:color w:val="auto"/>
        </w:rPr>
      </w:pPr>
    </w:p>
    <w:p>
      <w:pPr>
        <w:pStyle w:val="8"/>
        <w:kinsoku/>
        <w:spacing w:line="275" w:lineRule="auto"/>
        <w:rPr>
          <w:color w:val="auto"/>
        </w:rPr>
      </w:pPr>
    </w:p>
    <w:p>
      <w:pPr>
        <w:pStyle w:val="8"/>
        <w:kinsoku/>
        <w:spacing w:line="275" w:lineRule="auto"/>
        <w:rPr>
          <w:color w:val="auto"/>
        </w:rPr>
      </w:pPr>
    </w:p>
    <w:p>
      <w:pPr>
        <w:pStyle w:val="8"/>
        <w:kinsoku/>
        <w:spacing w:line="275" w:lineRule="auto"/>
        <w:rPr>
          <w:color w:val="auto"/>
        </w:rPr>
      </w:pPr>
    </w:p>
    <w:p>
      <w:pPr>
        <w:kinsoku/>
        <w:spacing w:before="231" w:line="220" w:lineRule="auto"/>
        <w:ind w:left="572"/>
        <w:outlineLvl w:val="0"/>
        <w:rPr>
          <w:rFonts w:hint="eastAsia" w:ascii="宋体" w:hAnsi="宋体" w:eastAsia="宋体" w:cs="宋体"/>
          <w:color w:val="auto"/>
          <w:sz w:val="71"/>
          <w:szCs w:val="71"/>
          <w:lang w:eastAsia="zh-CN"/>
        </w:rPr>
      </w:pPr>
      <w:bookmarkStart w:id="0" w:name="_Toc13476"/>
      <w:bookmarkStart w:id="1" w:name="_Toc24173"/>
      <w:r>
        <w:rPr>
          <w:rFonts w:ascii="宋体" w:hAnsi="宋体" w:eastAsia="宋体" w:cs="宋体"/>
          <w:b/>
          <w:bCs/>
          <w:color w:val="auto"/>
          <w:spacing w:val="1"/>
          <w:sz w:val="71"/>
          <w:szCs w:val="71"/>
          <w:lang w:eastAsia="zh-CN"/>
        </w:rPr>
        <w:t>建设项目环境影响报告表</w:t>
      </w:r>
      <w:bookmarkEnd w:id="0"/>
      <w:bookmarkEnd w:id="1"/>
    </w:p>
    <w:p>
      <w:pPr>
        <w:kinsoku/>
        <w:spacing w:before="242" w:line="223" w:lineRule="auto"/>
        <w:ind w:left="2859"/>
        <w:outlineLvl w:val="0"/>
        <w:rPr>
          <w:rFonts w:hint="eastAsia" w:ascii="宋体" w:hAnsi="宋体" w:eastAsia="宋体" w:cs="宋体"/>
          <w:color w:val="auto"/>
          <w:sz w:val="47"/>
          <w:szCs w:val="47"/>
          <w:lang w:eastAsia="zh-CN"/>
        </w:rPr>
      </w:pPr>
      <w:bookmarkStart w:id="2" w:name="_Toc21600"/>
      <w:bookmarkStart w:id="3" w:name="_Toc19025"/>
      <w:r>
        <w:rPr>
          <w:rFonts w:ascii="宋体" w:hAnsi="宋体" w:eastAsia="宋体" w:cs="宋体"/>
          <w:b/>
          <w:bCs/>
          <w:color w:val="auto"/>
          <w:spacing w:val="-1"/>
          <w:sz w:val="47"/>
          <w:szCs w:val="47"/>
          <w:lang w:eastAsia="zh-CN"/>
        </w:rPr>
        <w:t>（污染影响类）</w:t>
      </w:r>
      <w:bookmarkEnd w:id="2"/>
      <w:bookmarkEnd w:id="3"/>
    </w:p>
    <w:p>
      <w:pPr>
        <w:pStyle w:val="8"/>
        <w:kinsoku/>
        <w:spacing w:line="248"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pStyle w:val="8"/>
        <w:kinsoku/>
        <w:spacing w:line="249" w:lineRule="auto"/>
        <w:rPr>
          <w:color w:val="auto"/>
          <w:lang w:eastAsia="zh-CN"/>
        </w:rPr>
      </w:pPr>
    </w:p>
    <w:p>
      <w:pPr>
        <w:kinsoku/>
        <w:spacing w:before="113" w:line="417" w:lineRule="auto"/>
        <w:ind w:left="1808" w:hanging="1807"/>
        <w:rPr>
          <w:rFonts w:hint="eastAsia" w:ascii="仿宋" w:hAnsi="仿宋" w:eastAsia="仿宋" w:cs="仿宋"/>
          <w:color w:val="auto"/>
          <w:sz w:val="35"/>
          <w:szCs w:val="35"/>
          <w:lang w:eastAsia="zh-CN"/>
        </w:rPr>
      </w:pPr>
      <w:r>
        <w:rPr>
          <w:rFonts w:ascii="仿宋" w:hAnsi="仿宋" w:eastAsia="仿宋" w:cs="仿宋"/>
          <w:b/>
          <w:bCs/>
          <w:color w:val="auto"/>
          <w:spacing w:val="6"/>
          <w:sz w:val="35"/>
          <w:szCs w:val="35"/>
          <w:lang w:eastAsia="zh-CN"/>
        </w:rPr>
        <w:t>项目名称：</w:t>
      </w:r>
      <w:r>
        <w:rPr>
          <w:rFonts w:hint="eastAsia" w:ascii="仿宋" w:hAnsi="仿宋" w:eastAsia="仿宋" w:cs="仿宋"/>
          <w:b/>
          <w:bCs/>
          <w:color w:val="auto"/>
          <w:spacing w:val="6"/>
          <w:sz w:val="35"/>
          <w:szCs w:val="35"/>
          <w:u w:val="single"/>
          <w:lang w:eastAsia="zh-CN"/>
        </w:rPr>
        <w:t>昆明福伦蒂家具制造有限公司年加工家具板8万平方项目</w:t>
      </w:r>
    </w:p>
    <w:p>
      <w:pPr>
        <w:kinsoku/>
        <w:spacing w:before="113" w:line="417" w:lineRule="auto"/>
        <w:ind w:left="1808" w:hanging="1807"/>
        <w:rPr>
          <w:rFonts w:hint="eastAsia" w:ascii="仿宋" w:hAnsi="仿宋" w:eastAsia="仿宋" w:cs="仿宋"/>
          <w:b/>
          <w:bCs/>
          <w:color w:val="auto"/>
          <w:spacing w:val="6"/>
          <w:sz w:val="35"/>
          <w:szCs w:val="35"/>
          <w:u w:val="single"/>
          <w:lang w:eastAsia="zh-CN"/>
        </w:rPr>
      </w:pPr>
      <w:r>
        <w:rPr>
          <w:rFonts w:hint="eastAsia" w:ascii="仿宋" w:hAnsi="仿宋" w:eastAsia="仿宋" w:cs="仿宋"/>
          <w:b/>
          <w:bCs/>
          <w:color w:val="auto"/>
          <w:spacing w:val="6"/>
          <w:sz w:val="35"/>
          <w:szCs w:val="35"/>
          <w:lang w:eastAsia="zh-CN"/>
        </w:rPr>
        <w:t>建设单位（盖章）：</w:t>
      </w:r>
      <w:r>
        <w:rPr>
          <w:rFonts w:hint="eastAsia" w:ascii="仿宋" w:hAnsi="仿宋" w:eastAsia="仿宋" w:cs="仿宋"/>
          <w:b/>
          <w:bCs/>
          <w:color w:val="auto"/>
          <w:spacing w:val="6"/>
          <w:sz w:val="35"/>
          <w:szCs w:val="35"/>
          <w:u w:val="single"/>
          <w:lang w:eastAsia="zh-CN"/>
        </w:rPr>
        <w:t>昆明福伦蒂家具制造有限公司</w:t>
      </w:r>
    </w:p>
    <w:p>
      <w:pPr>
        <w:tabs>
          <w:tab w:val="left" w:pos="6720"/>
          <w:tab w:val="left" w:pos="7560"/>
          <w:tab w:val="left" w:pos="8620"/>
          <w:tab w:val="left" w:pos="8820"/>
        </w:tabs>
        <w:kinsoku/>
        <w:spacing w:before="59" w:line="417" w:lineRule="auto"/>
        <w:ind w:left="2" w:right="2042" w:hanging="2"/>
        <w:rPr>
          <w:rFonts w:hint="eastAsia" w:ascii="仿宋" w:hAnsi="仿宋" w:eastAsia="仿宋" w:cs="仿宋"/>
          <w:color w:val="auto"/>
          <w:sz w:val="35"/>
          <w:szCs w:val="35"/>
          <w:lang w:eastAsia="zh-CN"/>
        </w:rPr>
      </w:pPr>
      <w:r>
        <w:rPr>
          <w:rFonts w:ascii="仿宋" w:hAnsi="仿宋" w:eastAsia="仿宋" w:cs="仿宋"/>
          <w:b/>
          <w:bCs/>
          <w:color w:val="auto"/>
          <w:spacing w:val="-9"/>
          <w:sz w:val="35"/>
          <w:szCs w:val="35"/>
          <w:lang w:eastAsia="zh-CN"/>
        </w:rPr>
        <w:t>编制日期：</w:t>
      </w:r>
      <w:r>
        <w:rPr>
          <w:rFonts w:ascii="Times New Roman" w:hAnsi="Times New Roman" w:eastAsia="Times New Roman" w:cs="Times New Roman"/>
          <w:b/>
          <w:bCs/>
          <w:color w:val="auto"/>
          <w:spacing w:val="-9"/>
          <w:sz w:val="35"/>
          <w:szCs w:val="35"/>
          <w:u w:val="single"/>
          <w:lang w:eastAsia="zh-CN"/>
        </w:rPr>
        <w:t>202</w:t>
      </w:r>
      <w:r>
        <w:rPr>
          <w:rFonts w:hint="eastAsia" w:ascii="Times New Roman" w:hAnsi="Times New Roman" w:eastAsia="宋体" w:cs="Times New Roman"/>
          <w:b/>
          <w:bCs/>
          <w:color w:val="auto"/>
          <w:spacing w:val="-9"/>
          <w:sz w:val="35"/>
          <w:szCs w:val="35"/>
          <w:u w:val="single"/>
          <w:lang w:eastAsia="zh-CN"/>
        </w:rPr>
        <w:t>5</w:t>
      </w:r>
      <w:r>
        <w:rPr>
          <w:rFonts w:ascii="仿宋" w:hAnsi="仿宋" w:eastAsia="仿宋" w:cs="仿宋"/>
          <w:b/>
          <w:bCs/>
          <w:color w:val="auto"/>
          <w:spacing w:val="-9"/>
          <w:sz w:val="35"/>
          <w:szCs w:val="35"/>
          <w:u w:val="single"/>
          <w:lang w:eastAsia="zh-CN"/>
        </w:rPr>
        <w:t>年</w:t>
      </w:r>
      <w:r>
        <w:rPr>
          <w:rFonts w:hint="eastAsia" w:ascii="Times New Roman" w:hAnsi="Times New Roman" w:eastAsia="宋体" w:cs="Times New Roman"/>
          <w:b/>
          <w:bCs/>
          <w:color w:val="auto"/>
          <w:spacing w:val="-9"/>
          <w:sz w:val="35"/>
          <w:szCs w:val="35"/>
          <w:u w:val="single"/>
          <w:lang w:eastAsia="zh-CN"/>
        </w:rPr>
        <w:t>7</w:t>
      </w:r>
      <w:r>
        <w:rPr>
          <w:rFonts w:ascii="仿宋" w:hAnsi="仿宋" w:eastAsia="仿宋" w:cs="仿宋"/>
          <w:b/>
          <w:bCs/>
          <w:color w:val="auto"/>
          <w:spacing w:val="-9"/>
          <w:sz w:val="35"/>
          <w:szCs w:val="35"/>
          <w:u w:val="single"/>
          <w:lang w:eastAsia="zh-CN"/>
        </w:rPr>
        <w:t>月</w:t>
      </w: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3" w:lineRule="auto"/>
        <w:rPr>
          <w:color w:val="auto"/>
          <w:lang w:eastAsia="zh-CN"/>
        </w:rPr>
      </w:pPr>
    </w:p>
    <w:p>
      <w:pPr>
        <w:pStyle w:val="8"/>
        <w:kinsoku/>
        <w:spacing w:line="244" w:lineRule="auto"/>
        <w:rPr>
          <w:color w:val="auto"/>
          <w:lang w:eastAsia="zh-CN"/>
        </w:rPr>
      </w:pPr>
    </w:p>
    <w:p>
      <w:pPr>
        <w:pStyle w:val="8"/>
        <w:kinsoku/>
        <w:spacing w:line="244" w:lineRule="auto"/>
        <w:rPr>
          <w:color w:val="auto"/>
          <w:lang w:eastAsia="zh-CN"/>
        </w:rPr>
      </w:pPr>
    </w:p>
    <w:p>
      <w:pPr>
        <w:pStyle w:val="8"/>
        <w:kinsoku/>
        <w:spacing w:line="244" w:lineRule="auto"/>
        <w:rPr>
          <w:color w:val="auto"/>
          <w:lang w:eastAsia="zh-CN"/>
        </w:rPr>
      </w:pPr>
    </w:p>
    <w:p>
      <w:pPr>
        <w:pStyle w:val="8"/>
        <w:kinsoku/>
        <w:spacing w:line="244" w:lineRule="auto"/>
        <w:rPr>
          <w:color w:val="auto"/>
          <w:lang w:eastAsia="zh-CN"/>
        </w:rPr>
      </w:pPr>
    </w:p>
    <w:p>
      <w:pPr>
        <w:kinsoku/>
        <w:spacing w:before="113" w:line="230" w:lineRule="auto"/>
        <w:ind w:left="2218"/>
        <w:outlineLvl w:val="0"/>
        <w:rPr>
          <w:rFonts w:hint="eastAsia" w:ascii="楷体" w:hAnsi="楷体" w:eastAsia="楷体" w:cs="楷体"/>
          <w:color w:val="auto"/>
          <w:sz w:val="35"/>
          <w:szCs w:val="35"/>
          <w:lang w:eastAsia="zh-CN"/>
        </w:rPr>
      </w:pPr>
      <w:bookmarkStart w:id="4" w:name="_Toc21723"/>
      <w:bookmarkStart w:id="5" w:name="_Toc3999"/>
      <w:r>
        <w:rPr>
          <w:rFonts w:ascii="楷体" w:hAnsi="楷体" w:eastAsia="楷体" w:cs="楷体"/>
          <w:b/>
          <w:bCs/>
          <w:color w:val="auto"/>
          <w:spacing w:val="3"/>
          <w:sz w:val="35"/>
          <w:szCs w:val="35"/>
          <w:lang w:eastAsia="zh-CN"/>
        </w:rPr>
        <w:t>中华人民共和国生态环境部制</w:t>
      </w:r>
      <w:bookmarkEnd w:id="4"/>
      <w:bookmarkEnd w:id="5"/>
    </w:p>
    <w:p>
      <w:pPr>
        <w:kinsoku/>
        <w:spacing w:line="230" w:lineRule="auto"/>
        <w:rPr>
          <w:rFonts w:hint="eastAsia" w:ascii="楷体" w:hAnsi="楷体" w:eastAsia="楷体" w:cs="楷体"/>
          <w:color w:val="auto"/>
          <w:sz w:val="35"/>
          <w:szCs w:val="35"/>
          <w:lang w:eastAsia="zh-CN"/>
        </w:rPr>
        <w:sectPr>
          <w:pgSz w:w="11906" w:h="16839"/>
          <w:pgMar w:top="1431" w:right="1581" w:bottom="0" w:left="1442" w:header="0" w:footer="0" w:gutter="0"/>
          <w:cols w:space="720" w:num="1"/>
        </w:sectPr>
      </w:pPr>
    </w:p>
    <w:p>
      <w:pPr>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现场照片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spacing w:line="230" w:lineRule="auto"/>
              <w:jc w:val="both"/>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70528" behindDoc="0" locked="0" layoutInCell="1" allowOverlap="1">
                      <wp:simplePos x="0" y="0"/>
                      <wp:positionH relativeFrom="column">
                        <wp:posOffset>1537970</wp:posOffset>
                      </wp:positionH>
                      <wp:positionV relativeFrom="paragraph">
                        <wp:posOffset>1562100</wp:posOffset>
                      </wp:positionV>
                      <wp:extent cx="1190625" cy="2844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123pt;height:22.4pt;width:93.75pt;z-index:251670528;mso-width-relative:page;mso-height-relative:page;" filled="f" stroked="f" coordsize="21600,21600" o:gfxdata="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nYAlf2wAAAAsBAAAPAAAAAAAAAAEAIAAAADgAAABkcnMvZG93&#10;bnJldi54bWxQSwECFAAUAAAACACHTuJA5FFxFSACAAAaBAAADgAAAAAAAAABACAAAABAAQAAZHJz&#10;L2Uyb0RvYy54bWxQSwUGAAAAAAYABgBZAQAA0gU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ascii="楷体" w:hAnsi="楷体" w:eastAsia="楷体" w:cs="楷体"/>
                <w:color w:val="auto"/>
                <w:sz w:val="35"/>
                <w:szCs w:val="35"/>
                <w:lang w:eastAsia="zh-CN"/>
              </w:rPr>
              <w:drawing>
                <wp:inline distT="0" distB="0" distL="114300" distR="114300">
                  <wp:extent cx="2713990" cy="1854200"/>
                  <wp:effectExtent l="0" t="0" r="10160" b="12700"/>
                  <wp:docPr id="6" name="图片 6" descr="IMG_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110"/>
                          <pic:cNvPicPr>
                            <a:picLocks noChangeAspect="1"/>
                          </pic:cNvPicPr>
                        </pic:nvPicPr>
                        <pic:blipFill>
                          <a:blip r:embed="rId11" cstate="print"/>
                          <a:stretch>
                            <a:fillRect/>
                          </a:stretch>
                        </pic:blipFill>
                        <pic:spPr>
                          <a:xfrm>
                            <a:off x="0" y="0"/>
                            <a:ext cx="2713990" cy="1854200"/>
                          </a:xfrm>
                          <a:prstGeom prst="rect">
                            <a:avLst/>
                          </a:prstGeom>
                        </pic:spPr>
                      </pic:pic>
                    </a:graphicData>
                  </a:graphic>
                </wp:inline>
              </w:drawing>
            </w:r>
          </w:p>
        </w:tc>
        <w:tc>
          <w:tcPr>
            <w:tcW w:w="4533" w:type="dxa"/>
          </w:tcPr>
          <w:p>
            <w:pPr>
              <w:widowControl w:val="0"/>
              <w:kinsoku/>
              <w:spacing w:line="230" w:lineRule="auto"/>
              <w:jc w:val="both"/>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71552" behindDoc="0" locked="0" layoutInCell="1" allowOverlap="1">
                      <wp:simplePos x="0" y="0"/>
                      <wp:positionH relativeFrom="column">
                        <wp:posOffset>1525905</wp:posOffset>
                      </wp:positionH>
                      <wp:positionV relativeFrom="paragraph">
                        <wp:posOffset>1524000</wp:posOffset>
                      </wp:positionV>
                      <wp:extent cx="1190625" cy="2844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20pt;height:22.4pt;width:93.75pt;z-index:251671552;mso-width-relative:page;mso-height-relative:page;" filled="f" stroked="f" coordsize="21600,21600" o:gfxdata="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3i86O2gAAAAsBAAAPAAAAAAAAAAEAIAAAADgAAABkcnMvZG93&#10;bnJldi54bWxQSwECFAAUAAAACACHTuJAcSonniECAAAaBAAADgAAAAAAAAABACAAAAA/AQAAZHJz&#10;L2Uyb0RvYy54bWxQSwUGAAAAAAYABgBZAQAA0gU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ascii="楷体" w:hAnsi="楷体" w:eastAsia="楷体" w:cs="楷体"/>
                <w:color w:val="auto"/>
                <w:sz w:val="35"/>
                <w:szCs w:val="35"/>
                <w:lang w:eastAsia="zh-CN"/>
              </w:rPr>
              <w:drawing>
                <wp:inline distT="0" distB="0" distL="114300" distR="114300">
                  <wp:extent cx="2713990" cy="1844675"/>
                  <wp:effectExtent l="0" t="0" r="10160" b="3175"/>
                  <wp:docPr id="7" name="图片 7" descr="IMG_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125"/>
                          <pic:cNvPicPr>
                            <a:picLocks noChangeAspect="1"/>
                          </pic:cNvPicPr>
                        </pic:nvPicPr>
                        <pic:blipFill>
                          <a:blip r:embed="rId12" cstate="print"/>
                          <a:stretch>
                            <a:fillRect/>
                          </a:stretch>
                        </pic:blipFill>
                        <pic:spPr>
                          <a:xfrm>
                            <a:off x="0" y="0"/>
                            <a:ext cx="2713990" cy="1844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项目北侧</w:t>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68480" behindDoc="0" locked="0" layoutInCell="1" allowOverlap="1">
                      <wp:simplePos x="0" y="0"/>
                      <wp:positionH relativeFrom="column">
                        <wp:posOffset>1528445</wp:posOffset>
                      </wp:positionH>
                      <wp:positionV relativeFrom="paragraph">
                        <wp:posOffset>1579880</wp:posOffset>
                      </wp:positionV>
                      <wp:extent cx="1190625" cy="2844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35pt;margin-top:124.4pt;height:22.4pt;width:93.75pt;z-index:251668480;mso-width-relative:page;mso-height-relative:page;" filled="f" stroked="f" coordsize="21600,21600" o:gfxdata="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EWcN52wAAAAsBAAAPAAAAAAAAAAEAIAAAADgAAABkcnMvZG93&#10;bnJldi54bWxQSwECFAAUAAAACACHTuJAj6Cs2CACAAAaBAAADgAAAAAAAAABACAAAABAAQAAZHJz&#10;L2Uyb0RvYy54bWxQSwUGAAAAAAYABgBZAQAA0gU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ascii="楷体" w:hAnsi="楷体" w:eastAsia="楷体" w:cs="楷体"/>
                <w:color w:val="auto"/>
                <w:sz w:val="35"/>
                <w:szCs w:val="35"/>
                <w:lang w:eastAsia="zh-CN"/>
              </w:rPr>
              <w:drawing>
                <wp:inline distT="0" distB="0" distL="114300" distR="114300">
                  <wp:extent cx="2713990" cy="1873250"/>
                  <wp:effectExtent l="0" t="0" r="10160" b="12700"/>
                  <wp:docPr id="12" name="图片 12" descr="IMG_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123"/>
                          <pic:cNvPicPr>
                            <a:picLocks noChangeAspect="1"/>
                          </pic:cNvPicPr>
                        </pic:nvPicPr>
                        <pic:blipFill>
                          <a:blip r:embed="rId13" cstate="print"/>
                          <a:stretch>
                            <a:fillRect/>
                          </a:stretch>
                        </pic:blipFill>
                        <pic:spPr>
                          <a:xfrm>
                            <a:off x="0" y="0"/>
                            <a:ext cx="2713990" cy="1873250"/>
                          </a:xfrm>
                          <a:prstGeom prst="rect">
                            <a:avLst/>
                          </a:prstGeom>
                        </pic:spPr>
                      </pic:pic>
                    </a:graphicData>
                  </a:graphic>
                </wp:inline>
              </w:drawing>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69504" behindDoc="0" locked="0" layoutInCell="1" allowOverlap="1">
                      <wp:simplePos x="0" y="0"/>
                      <wp:positionH relativeFrom="column">
                        <wp:posOffset>1535430</wp:posOffset>
                      </wp:positionH>
                      <wp:positionV relativeFrom="paragraph">
                        <wp:posOffset>1570355</wp:posOffset>
                      </wp:positionV>
                      <wp:extent cx="1190625" cy="28448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9pt;margin-top:123.65pt;height:22.4pt;width:93.75pt;z-index:251669504;mso-width-relative:page;mso-height-relative:page;" filled="f" stroked="f" coordsize="21600,21600" o:gfxdata="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00cMltsAAAALAQAADwAAAAAAAAABACAAAAA4AAAAZHJzL2Rvd25y&#10;ZXYueG1sUEsBAhQAFAAAAAgAh07iQBrb+lMeAgAAGgQAAA4AAAAAAAAAAQAgAAAAQAEAAGRycy9l&#10;Mm9Eb2MueG1sUEsFBgAAAAAGAAYAWQEAANAFA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ascii="楷体" w:hAnsi="楷体" w:eastAsia="楷体" w:cs="楷体"/>
                <w:color w:val="auto"/>
                <w:sz w:val="35"/>
                <w:szCs w:val="35"/>
                <w:lang w:eastAsia="zh-CN"/>
              </w:rPr>
              <w:drawing>
                <wp:inline distT="0" distB="0" distL="114300" distR="114300">
                  <wp:extent cx="2713990" cy="1911985"/>
                  <wp:effectExtent l="0" t="0" r="10160" b="12065"/>
                  <wp:docPr id="8" name="图片 8" descr="IMG_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116"/>
                          <pic:cNvPicPr>
                            <a:picLocks noChangeAspect="1"/>
                          </pic:cNvPicPr>
                        </pic:nvPicPr>
                        <pic:blipFill>
                          <a:blip r:embed="rId14" cstate="print"/>
                          <a:stretch>
                            <a:fillRect/>
                          </a:stretch>
                        </pic:blipFill>
                        <pic:spPr>
                          <a:xfrm>
                            <a:off x="0" y="0"/>
                            <a:ext cx="2713990" cy="1911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项目东侧</w:t>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项目区办公区（依托现有）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jc w:val="both"/>
              <w:rPr>
                <w:color w:val="auto"/>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67456" behindDoc="0" locked="0" layoutInCell="1" allowOverlap="1">
                      <wp:simplePos x="0" y="0"/>
                      <wp:positionH relativeFrom="column">
                        <wp:posOffset>1557020</wp:posOffset>
                      </wp:positionH>
                      <wp:positionV relativeFrom="paragraph">
                        <wp:posOffset>1426845</wp:posOffset>
                      </wp:positionV>
                      <wp:extent cx="1190625" cy="2844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6pt;margin-top:112.35pt;height:22.4pt;width:93.75pt;z-index:251667456;mso-width-relative:page;mso-height-relative:page;" filled="f" stroked="f" coordsize="21600,21600" o:gfxdata="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U0I0ptsAAAALAQAADwAAAAAAAAABACAAAAA4AAAAZHJzL2Rv&#10;d25yZXYueG1sUEsBAhQAFAAAAAgAh07iQObO7d4hAgAAGgQAAA4AAAAAAAAAAQAgAAAAQAEAAGRy&#10;cy9lMm9Eb2MueG1sUEsFBgAAAAAGAAYAWQEAANMFA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color w:val="auto"/>
                <w:lang w:eastAsia="zh-CN"/>
              </w:rPr>
              <w:drawing>
                <wp:inline distT="0" distB="0" distL="114300" distR="114300">
                  <wp:extent cx="2752725" cy="1696085"/>
                  <wp:effectExtent l="0" t="0" r="9525" b="18415"/>
                  <wp:docPr id="15" name="图片 15" descr="微信截图_2025033020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50330205551"/>
                          <pic:cNvPicPr>
                            <a:picLocks noChangeAspect="1"/>
                          </pic:cNvPicPr>
                        </pic:nvPicPr>
                        <pic:blipFill>
                          <a:blip r:embed="rId15"/>
                          <a:stretch>
                            <a:fillRect/>
                          </a:stretch>
                        </pic:blipFill>
                        <pic:spPr>
                          <a:xfrm>
                            <a:off x="0" y="0"/>
                            <a:ext cx="2752725" cy="1696085"/>
                          </a:xfrm>
                          <a:prstGeom prst="rect">
                            <a:avLst/>
                          </a:prstGeom>
                        </pic:spPr>
                      </pic:pic>
                    </a:graphicData>
                  </a:graphic>
                </wp:inline>
              </w:drawing>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66432" behindDoc="0" locked="0" layoutInCell="1" allowOverlap="1">
                      <wp:simplePos x="0" y="0"/>
                      <wp:positionH relativeFrom="column">
                        <wp:posOffset>1525905</wp:posOffset>
                      </wp:positionH>
                      <wp:positionV relativeFrom="paragraph">
                        <wp:posOffset>1379220</wp:posOffset>
                      </wp:positionV>
                      <wp:extent cx="1190625" cy="28448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08.6pt;height:22.4pt;width:93.75pt;z-index:251666432;mso-width-relative:page;mso-height-relative:page;" filled="f" stroked="f" coordsize="21600,21600" o:gfxdata="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I8Zaz2wAAAAsBAAAPAAAAAAAAAAEAIAAAADgAAABkcnMvZG93&#10;bnJldi54bWxQSwECFAAUAAAACACHTuJAc7W7VSACAAAaBAAADgAAAAAAAAABACAAAABAAQAAZHJz&#10;L2Uyb0RvYy54bWxQSwUGAAAAAAYABgBZAQAA0gU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ascii="Times New Roman" w:hAnsi="Times New Roman" w:eastAsia="宋体" w:cs="Times New Roman"/>
                <w:color w:val="auto"/>
                <w:sz w:val="35"/>
                <w:szCs w:val="35"/>
                <w:lang w:eastAsia="zh-CN"/>
              </w:rPr>
              <w:drawing>
                <wp:inline distT="0" distB="0" distL="114300" distR="114300">
                  <wp:extent cx="2724785" cy="1713865"/>
                  <wp:effectExtent l="0" t="0" r="18415" b="635"/>
                  <wp:docPr id="9" name="图片 9" descr="b7cc68bd96845c19877a2d2ca6df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cc68bd96845c19877a2d2ca6df003"/>
                          <pic:cNvPicPr>
                            <a:picLocks noChangeAspect="1"/>
                          </pic:cNvPicPr>
                        </pic:nvPicPr>
                        <pic:blipFill>
                          <a:blip r:embed="rId16"/>
                          <a:stretch>
                            <a:fillRect/>
                          </a:stretch>
                        </pic:blipFill>
                        <pic:spPr>
                          <a:xfrm>
                            <a:off x="0" y="0"/>
                            <a:ext cx="2724785" cy="1713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项目区宿舍</w:t>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公共化粪池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mc:AlternateContent>
                <mc:Choice Requires="wps">
                  <w:drawing>
                    <wp:anchor distT="0" distB="0" distL="114300" distR="114300" simplePos="0" relativeHeight="251672576" behindDoc="0" locked="0" layoutInCell="1" allowOverlap="1">
                      <wp:simplePos x="0" y="0"/>
                      <wp:positionH relativeFrom="column">
                        <wp:posOffset>1576070</wp:posOffset>
                      </wp:positionH>
                      <wp:positionV relativeFrom="paragraph">
                        <wp:posOffset>1747520</wp:posOffset>
                      </wp:positionV>
                      <wp:extent cx="1190625" cy="2844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137.6pt;height:22.4pt;width:93.75pt;z-index:251672576;mso-width-relative:page;mso-height-relative:page;" filled="f" stroked="f" coordsize="21600,21600" o:gfxdata="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jhLHaAAAACwEAAA8AAAAAAAAAAQAgAAAAOAAAAGRycy9kb3du&#10;cmV2LnhtbFBLAQIUABQAAAAIAIdO4kA2jfMZIAIAABoEAAAOAAAAAAAAAAEAIAAAAD8BAABkcnMv&#10;ZTJvRG9jLnhtbFBLBQYAAAAABgAGAFkBAADRBQ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r>
              <w:rPr>
                <w:rFonts w:hint="eastAsia" w:ascii="楷体" w:hAnsi="楷体" w:eastAsia="楷体" w:cs="楷体"/>
                <w:color w:val="auto"/>
                <w:sz w:val="35"/>
                <w:szCs w:val="35"/>
                <w:lang w:eastAsia="zh-CN"/>
              </w:rPr>
              <w:drawing>
                <wp:inline distT="0" distB="0" distL="114300" distR="114300">
                  <wp:extent cx="2747645" cy="2037080"/>
                  <wp:effectExtent l="0" t="0" r="14605" b="1270"/>
                  <wp:docPr id="11" name="图片 11" descr="facb1b12a069f5e3dd56c4b5cf78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cb1b12a069f5e3dd56c4b5cf78b38"/>
                          <pic:cNvPicPr>
                            <a:picLocks noChangeAspect="1"/>
                          </pic:cNvPicPr>
                        </pic:nvPicPr>
                        <pic:blipFill>
                          <a:blip r:embed="rId17" cstate="print"/>
                          <a:srcRect t="22523" b="37246"/>
                          <a:stretch>
                            <a:fillRect/>
                          </a:stretch>
                        </pic:blipFill>
                        <pic:spPr>
                          <a:xfrm>
                            <a:off x="0" y="0"/>
                            <a:ext cx="2747645" cy="2037080"/>
                          </a:xfrm>
                          <a:prstGeom prst="rect">
                            <a:avLst/>
                          </a:prstGeom>
                        </pic:spPr>
                      </pic:pic>
                    </a:graphicData>
                  </a:graphic>
                </wp:inline>
              </w:drawing>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ascii="Times New Roman" w:hAnsi="Times New Roman" w:eastAsia="宋体" w:cs="Times New Roman"/>
                <w:color w:val="auto"/>
                <w:sz w:val="35"/>
                <w:lang w:eastAsia="zh-CN"/>
              </w:rPr>
              <w:drawing>
                <wp:inline distT="0" distB="0" distL="114300" distR="114300">
                  <wp:extent cx="3030220" cy="2021840"/>
                  <wp:effectExtent l="0" t="0" r="17780" b="16510"/>
                  <wp:docPr id="21" name="图片 21" descr="85aaaf03ea3c4e97080917b44291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5aaaf03ea3c4e97080917b4429107c"/>
                          <pic:cNvPicPr>
                            <a:picLocks noChangeAspect="1"/>
                          </pic:cNvPicPr>
                        </pic:nvPicPr>
                        <pic:blipFill>
                          <a:blip r:embed="rId18"/>
                          <a:stretch>
                            <a:fillRect/>
                          </a:stretch>
                        </pic:blipFill>
                        <pic:spPr>
                          <a:xfrm>
                            <a:off x="0" y="0"/>
                            <a:ext cx="3030220" cy="2021840"/>
                          </a:xfrm>
                          <a:prstGeom prst="rect">
                            <a:avLst/>
                          </a:prstGeom>
                        </pic:spPr>
                      </pic:pic>
                    </a:graphicData>
                  </a:graphic>
                </wp:inline>
              </w:drawing>
            </w:r>
            <w:r>
              <w:rPr>
                <w:rFonts w:ascii="Times New Roman" w:hAnsi="Times New Roman" w:eastAsia="宋体" w:cs="Times New Roman"/>
                <w:color w:val="auto"/>
                <w:sz w:val="35"/>
                <w:lang w:eastAsia="zh-CN"/>
              </w:rPr>
              <mc:AlternateContent>
                <mc:Choice Requires="wps">
                  <w:drawing>
                    <wp:anchor distT="0" distB="0" distL="114300" distR="114300" simplePos="0" relativeHeight="251665408" behindDoc="0" locked="0" layoutInCell="1" allowOverlap="1">
                      <wp:simplePos x="0" y="0"/>
                      <wp:positionH relativeFrom="column">
                        <wp:posOffset>1516380</wp:posOffset>
                      </wp:positionH>
                      <wp:positionV relativeFrom="paragraph">
                        <wp:posOffset>1699895</wp:posOffset>
                      </wp:positionV>
                      <wp:extent cx="1190625" cy="28448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90625" cy="284480"/>
                              </a:xfrm>
                              <a:prstGeom prst="rect">
                                <a:avLst/>
                              </a:prstGeom>
                              <a:noFill/>
                              <a:ln w="6350">
                                <a:noFill/>
                              </a:ln>
                            </wps:spPr>
                            <wps:txb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4pt;margin-top:133.85pt;height:22.4pt;width:93.75pt;z-index:251665408;mso-width-relative:page;mso-height-relative:page;" filled="f" stroked="f" coordsize="21600,21600" o:gfxdata="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rnADxtwAAAALAQAADwAAAAAAAAABACAAAAA4AAAAZHJzL2Rv&#10;d25yZXYueG1sUEsBAhQAFAAAAAgAh07iQKP2pZIgAgAAGgQAAA4AAAAAAAAAAQAgAAAAQQEAAGRy&#10;cy9lMm9Eb2MueG1sUEsFBgAAAAAGAAYAWQEAANMFAAAAAA==&#10;">
                      <v:fill on="f" focussize="0,0"/>
                      <v:stroke on="f" weight="0.5pt"/>
                      <v:imagedata o:title=""/>
                      <o:lock v:ext="edit" aspectratio="f"/>
                      <v:textbox>
                        <w:txbxContent>
                          <w:p>
                            <w:pPr>
                              <w:rPr>
                                <w:rFonts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t>2024年12月1日</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6"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项目厂房</w:t>
            </w:r>
          </w:p>
        </w:tc>
        <w:tc>
          <w:tcPr>
            <w:tcW w:w="4533" w:type="dxa"/>
          </w:tcPr>
          <w:p>
            <w:pPr>
              <w:widowControl w:val="0"/>
              <w:kinsoku/>
              <w:spacing w:line="230" w:lineRule="auto"/>
              <w:jc w:val="center"/>
              <w:rPr>
                <w:rFonts w:hint="eastAsia" w:ascii="楷体" w:hAnsi="楷体" w:eastAsia="楷体" w:cs="楷体"/>
                <w:color w:val="auto"/>
                <w:sz w:val="35"/>
                <w:szCs w:val="35"/>
                <w:lang w:eastAsia="zh-CN"/>
              </w:rPr>
            </w:pPr>
            <w:r>
              <w:rPr>
                <w:rFonts w:hint="eastAsia" w:ascii="楷体" w:hAnsi="楷体" w:eastAsia="楷体" w:cs="楷体"/>
                <w:color w:val="auto"/>
                <w:sz w:val="35"/>
                <w:szCs w:val="35"/>
                <w:lang w:eastAsia="zh-CN"/>
              </w:rPr>
              <w:t>工程师现场踏勘</w:t>
            </w:r>
          </w:p>
        </w:tc>
      </w:tr>
    </w:tbl>
    <w:p>
      <w:pPr>
        <w:kinsoku/>
        <w:spacing w:line="230" w:lineRule="auto"/>
        <w:rPr>
          <w:rFonts w:hint="eastAsia" w:ascii="楷体" w:hAnsi="楷体" w:eastAsia="楷体" w:cs="楷体"/>
          <w:color w:val="auto"/>
          <w:sz w:val="35"/>
          <w:szCs w:val="35"/>
          <w:lang w:eastAsia="zh-CN"/>
        </w:rPr>
        <w:sectPr>
          <w:pgSz w:w="11906" w:h="16839"/>
          <w:pgMar w:top="1431" w:right="1581" w:bottom="1128" w:left="1442" w:header="0" w:footer="0" w:gutter="0"/>
          <w:cols w:space="720" w:num="1"/>
        </w:sectPr>
      </w:pPr>
    </w:p>
    <w:sdt>
      <w:sdtPr>
        <w:rPr>
          <w:rFonts w:ascii="宋体" w:hAnsi="宋体" w:eastAsia="宋体"/>
          <w:color w:val="auto"/>
        </w:rPr>
        <w:id w:val="147451815"/>
        <w15:color w:val="DBDBDB"/>
        <w:docPartObj>
          <w:docPartGallery w:val="Table of Contents"/>
          <w:docPartUnique/>
        </w:docPartObj>
      </w:sdtPr>
      <w:sdtEndPr>
        <w:rPr>
          <w:rFonts w:ascii="Arial" w:hAnsi="Arial" w:eastAsia="Arial"/>
          <w:color w:val="auto"/>
          <w:sz w:val="24"/>
          <w:szCs w:val="24"/>
        </w:rPr>
      </w:sdtEndPr>
      <w:sdtContent>
        <w:p>
          <w:pPr>
            <w:kinsoku/>
            <w:jc w:val="center"/>
            <w:rPr>
              <w:color w:val="auto"/>
            </w:rPr>
          </w:pPr>
          <w:r>
            <w:rPr>
              <w:rFonts w:ascii="宋体" w:hAnsi="宋体" w:eastAsia="宋体"/>
              <w:color w:val="auto"/>
            </w:rPr>
            <w:t>目录</w:t>
          </w:r>
        </w:p>
        <w:p>
          <w:pPr>
            <w:pStyle w:val="13"/>
            <w:tabs>
              <w:tab w:val="right" w:leader="dot" w:pos="8306"/>
            </w:tabs>
            <w:kinsoku/>
            <w:spacing w:line="360" w:lineRule="auto"/>
            <w:rPr>
              <w:color w:val="auto"/>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p>
        <w:p>
          <w:pPr>
            <w:pStyle w:val="13"/>
            <w:tabs>
              <w:tab w:val="right" w:leader="dot" w:pos="8306"/>
            </w:tabs>
            <w:kinsoku/>
            <w:spacing w:line="360" w:lineRule="auto"/>
            <w:rPr>
              <w:color w:val="auto"/>
              <w:sz w:val="24"/>
              <w:szCs w:val="24"/>
            </w:rPr>
          </w:pPr>
          <w:r>
            <w:fldChar w:fldCharType="begin"/>
          </w:r>
          <w:r>
            <w:instrText xml:space="preserve"> HYPERLINK \l "_Toc24206" </w:instrText>
          </w:r>
          <w:r>
            <w:fldChar w:fldCharType="separate"/>
          </w:r>
          <w:r>
            <w:rPr>
              <w:rFonts w:ascii="宋体" w:hAnsi="宋体" w:eastAsia="宋体" w:cs="宋体"/>
              <w:bCs/>
              <w:color w:val="auto"/>
              <w:spacing w:val="-4"/>
              <w:sz w:val="24"/>
              <w:szCs w:val="36"/>
            </w:rPr>
            <w:t>一、建设项目基本情况</w:t>
          </w:r>
          <w:r>
            <w:rPr>
              <w:color w:val="auto"/>
              <w:sz w:val="24"/>
              <w:szCs w:val="24"/>
            </w:rPr>
            <w:tab/>
          </w:r>
          <w:r>
            <w:rPr>
              <w:color w:val="auto"/>
              <w:sz w:val="24"/>
              <w:szCs w:val="24"/>
            </w:rPr>
            <w:fldChar w:fldCharType="begin"/>
          </w:r>
          <w:r>
            <w:rPr>
              <w:color w:val="auto"/>
              <w:sz w:val="24"/>
              <w:szCs w:val="24"/>
            </w:rPr>
            <w:instrText xml:space="preserve"> PAGEREF _Toc24206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"_Toc18859" </w:instrText>
          </w:r>
          <w:r>
            <w:fldChar w:fldCharType="separate"/>
          </w:r>
          <w:r>
            <w:rPr>
              <w:rFonts w:ascii="宋体" w:hAnsi="宋体" w:eastAsia="宋体" w:cs="宋体"/>
              <w:bCs/>
              <w:color w:val="auto"/>
              <w:spacing w:val="-4"/>
              <w:sz w:val="24"/>
              <w:szCs w:val="36"/>
            </w:rPr>
            <w:t>二、建设项目工程分析</w:t>
          </w:r>
          <w:r>
            <w:rPr>
              <w:color w:val="auto"/>
              <w:sz w:val="24"/>
              <w:szCs w:val="24"/>
            </w:rPr>
            <w:tab/>
          </w:r>
          <w:r>
            <w:rPr>
              <w:color w:val="auto"/>
              <w:sz w:val="24"/>
              <w:szCs w:val="24"/>
            </w:rPr>
            <w:fldChar w:fldCharType="begin"/>
          </w:r>
          <w:r>
            <w:rPr>
              <w:color w:val="auto"/>
              <w:sz w:val="24"/>
              <w:szCs w:val="24"/>
            </w:rPr>
            <w:instrText xml:space="preserve"> PAGEREF _Toc18859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"_Toc8994" </w:instrText>
          </w:r>
          <w:r>
            <w:fldChar w:fldCharType="separate"/>
          </w:r>
          <w:r>
            <w:rPr>
              <w:rFonts w:ascii="宋体" w:hAnsi="宋体" w:eastAsia="宋体" w:cs="宋体"/>
              <w:bCs/>
              <w:color w:val="auto"/>
              <w:spacing w:val="-3"/>
              <w:sz w:val="24"/>
              <w:szCs w:val="36"/>
              <w:lang w:eastAsia="zh-CN"/>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_Toc8994 \h </w:instrText>
          </w:r>
          <w:r>
            <w:rPr>
              <w:color w:val="auto"/>
              <w:sz w:val="24"/>
              <w:szCs w:val="24"/>
            </w:rPr>
            <w:fldChar w:fldCharType="separate"/>
          </w:r>
          <w:r>
            <w:rPr>
              <w:color w:val="auto"/>
              <w:sz w:val="24"/>
              <w:szCs w:val="24"/>
            </w:rPr>
            <w:t>46</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"_Toc27654" </w:instrText>
          </w:r>
          <w:r>
            <w:fldChar w:fldCharType="separate"/>
          </w:r>
          <w:r>
            <w:rPr>
              <w:rFonts w:ascii="宋体" w:hAnsi="宋体" w:eastAsia="宋体" w:cs="宋体"/>
              <w:bCs/>
              <w:color w:val="auto"/>
              <w:spacing w:val="-6"/>
              <w:sz w:val="24"/>
              <w:szCs w:val="36"/>
              <w:lang w:eastAsia="zh-CN"/>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_Toc27654 \h </w:instrText>
          </w:r>
          <w:r>
            <w:rPr>
              <w:color w:val="auto"/>
              <w:sz w:val="24"/>
              <w:szCs w:val="24"/>
            </w:rPr>
            <w:fldChar w:fldCharType="separate"/>
          </w:r>
          <w:r>
            <w:rPr>
              <w:color w:val="auto"/>
              <w:sz w:val="24"/>
              <w:szCs w:val="24"/>
            </w:rPr>
            <w:t>54</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"_Toc24693" </w:instrText>
          </w:r>
          <w:r>
            <w:fldChar w:fldCharType="separate"/>
          </w:r>
          <w:r>
            <w:rPr>
              <w:rFonts w:hint="eastAsia" w:ascii="宋体" w:hAnsi="宋体" w:eastAsia="宋体" w:cs="宋体"/>
              <w:bCs/>
              <w:color w:val="auto"/>
              <w:spacing w:val="-4"/>
              <w:sz w:val="24"/>
              <w:szCs w:val="36"/>
              <w:lang w:eastAsia="zh-CN"/>
            </w:rPr>
            <w:t xml:space="preserve">五、 </w:t>
          </w:r>
          <w:r>
            <w:rPr>
              <w:rFonts w:ascii="宋体" w:hAnsi="宋体" w:eastAsia="宋体" w:cs="宋体"/>
              <w:bCs/>
              <w:color w:val="auto"/>
              <w:spacing w:val="-4"/>
              <w:sz w:val="24"/>
              <w:szCs w:val="36"/>
              <w:lang w:eastAsia="zh-CN"/>
            </w:rPr>
            <w:t>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_Toc24693 \h </w:instrText>
          </w:r>
          <w:r>
            <w:rPr>
              <w:color w:val="auto"/>
              <w:sz w:val="24"/>
              <w:szCs w:val="24"/>
            </w:rPr>
            <w:fldChar w:fldCharType="separate"/>
          </w:r>
          <w:r>
            <w:rPr>
              <w:color w:val="auto"/>
              <w:sz w:val="24"/>
              <w:szCs w:val="24"/>
            </w:rPr>
            <w:t>79</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"_Toc26887" </w:instrText>
          </w:r>
          <w:r>
            <w:fldChar w:fldCharType="separate"/>
          </w:r>
          <w:r>
            <w:rPr>
              <w:rFonts w:ascii="宋体" w:hAnsi="宋体" w:eastAsia="宋体" w:cs="宋体"/>
              <w:bCs/>
              <w:color w:val="auto"/>
              <w:spacing w:val="-7"/>
              <w:sz w:val="24"/>
              <w:szCs w:val="36"/>
            </w:rPr>
            <w:t>六、结论</w:t>
          </w:r>
          <w:r>
            <w:rPr>
              <w:color w:val="auto"/>
              <w:sz w:val="24"/>
              <w:szCs w:val="24"/>
            </w:rPr>
            <w:tab/>
          </w:r>
          <w:r>
            <w:rPr>
              <w:color w:val="auto"/>
              <w:sz w:val="24"/>
              <w:szCs w:val="24"/>
            </w:rPr>
            <w:fldChar w:fldCharType="begin"/>
          </w:r>
          <w:r>
            <w:rPr>
              <w:color w:val="auto"/>
              <w:sz w:val="24"/>
              <w:szCs w:val="24"/>
            </w:rPr>
            <w:instrText xml:space="preserve"> PAGEREF _Toc26887 \h </w:instrText>
          </w:r>
          <w:r>
            <w:rPr>
              <w:color w:val="auto"/>
              <w:sz w:val="24"/>
              <w:szCs w:val="24"/>
            </w:rPr>
            <w:fldChar w:fldCharType="separate"/>
          </w:r>
          <w:r>
            <w:rPr>
              <w:color w:val="auto"/>
              <w:sz w:val="24"/>
              <w:szCs w:val="24"/>
            </w:rPr>
            <w:t>81</w:t>
          </w:r>
          <w:r>
            <w:rPr>
              <w:color w:val="auto"/>
              <w:sz w:val="24"/>
              <w:szCs w:val="24"/>
            </w:rPr>
            <w:fldChar w:fldCharType="end"/>
          </w:r>
          <w:r>
            <w:rPr>
              <w:color w:val="auto"/>
              <w:sz w:val="24"/>
              <w:szCs w:val="24"/>
            </w:rPr>
            <w:fldChar w:fldCharType="end"/>
          </w:r>
        </w:p>
        <w:p>
          <w:pPr>
            <w:pStyle w:val="13"/>
            <w:tabs>
              <w:tab w:val="right" w:leader="dot" w:pos="8306"/>
            </w:tabs>
            <w:kinsoku/>
            <w:spacing w:line="360" w:lineRule="auto"/>
            <w:rPr>
              <w:color w:val="auto"/>
              <w:sz w:val="24"/>
              <w:szCs w:val="24"/>
            </w:rPr>
          </w:pPr>
          <w:r>
            <w:fldChar w:fldCharType="begin"/>
          </w:r>
          <w:r>
            <w:instrText xml:space="preserve"> HYPERLINK \l "_Toc8452" </w:instrText>
          </w:r>
          <w:r>
            <w:fldChar w:fldCharType="separate"/>
          </w:r>
          <w:r>
            <w:rPr>
              <w:rFonts w:ascii="宋体" w:hAnsi="宋体" w:eastAsia="宋体" w:cs="宋体"/>
              <w:bCs/>
              <w:color w:val="auto"/>
              <w:spacing w:val="5"/>
              <w:sz w:val="24"/>
              <w:szCs w:val="44"/>
              <w:lang w:eastAsia="zh-CN"/>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_Toc8452 \h </w:instrText>
          </w:r>
          <w:r>
            <w:rPr>
              <w:color w:val="auto"/>
              <w:sz w:val="24"/>
              <w:szCs w:val="24"/>
            </w:rPr>
            <w:fldChar w:fldCharType="separate"/>
          </w:r>
          <w:r>
            <w:rPr>
              <w:color w:val="auto"/>
              <w:sz w:val="24"/>
              <w:szCs w:val="24"/>
            </w:rPr>
            <w:t>82</w:t>
          </w:r>
          <w:r>
            <w:rPr>
              <w:color w:val="auto"/>
              <w:sz w:val="24"/>
              <w:szCs w:val="24"/>
            </w:rPr>
            <w:fldChar w:fldCharType="end"/>
          </w:r>
          <w:r>
            <w:rPr>
              <w:color w:val="auto"/>
              <w:sz w:val="24"/>
              <w:szCs w:val="24"/>
            </w:rPr>
            <w:fldChar w:fldCharType="end"/>
          </w:r>
        </w:p>
        <w:p>
          <w:pPr>
            <w:kinsoku/>
            <w:spacing w:line="360" w:lineRule="auto"/>
            <w:rPr>
              <w:color w:val="auto"/>
              <w:sz w:val="24"/>
              <w:szCs w:val="24"/>
            </w:rPr>
          </w:pPr>
          <w:r>
            <w:rPr>
              <w:color w:val="auto"/>
              <w:sz w:val="24"/>
              <w:szCs w:val="24"/>
            </w:rPr>
            <w:fldChar w:fldCharType="end"/>
          </w:r>
        </w:p>
      </w:sdtContent>
    </w:sdt>
    <w:p>
      <w:pPr>
        <w:kinsoku/>
        <w:rPr>
          <w:color w:val="auto"/>
        </w:rPr>
      </w:pPr>
    </w:p>
    <w:p>
      <w:pPr>
        <w:kinsoku/>
        <w:spacing w:before="299" w:line="360" w:lineRule="auto"/>
        <w:ind w:left="539"/>
        <w:rPr>
          <w:rFonts w:hint="eastAsia" w:ascii="宋体" w:hAnsi="宋体" w:eastAsia="宋体" w:cs="宋体"/>
          <w:color w:val="auto"/>
          <w:sz w:val="24"/>
          <w:szCs w:val="24"/>
          <w:lang w:eastAsia="zh-CN"/>
        </w:rPr>
      </w:pPr>
      <w:r>
        <w:rPr>
          <w:rFonts w:ascii="宋体" w:hAnsi="宋体" w:eastAsia="宋体" w:cs="宋体"/>
          <w:b/>
          <w:bCs/>
          <w:color w:val="auto"/>
          <w:spacing w:val="-9"/>
          <w:sz w:val="24"/>
          <w:szCs w:val="24"/>
          <w:lang w:eastAsia="zh-CN"/>
        </w:rPr>
        <w:t>附图：</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1 </w:t>
      </w:r>
      <w:r>
        <w:rPr>
          <w:rFonts w:ascii="宋体" w:hAnsi="宋体" w:eastAsia="宋体" w:cs="宋体"/>
          <w:color w:val="auto"/>
          <w:spacing w:val="-4"/>
          <w:sz w:val="24"/>
          <w:szCs w:val="24"/>
          <w:lang w:eastAsia="zh-CN"/>
        </w:rPr>
        <w:t>项目地理位置</w:t>
      </w:r>
      <w:r>
        <w:rPr>
          <w:rFonts w:hint="eastAsia" w:ascii="宋体" w:hAnsi="宋体" w:eastAsia="宋体" w:cs="宋体"/>
          <w:color w:val="auto"/>
          <w:spacing w:val="-4"/>
          <w:sz w:val="24"/>
          <w:szCs w:val="24"/>
          <w:lang w:eastAsia="zh-CN"/>
        </w:rPr>
        <w:t>示意</w:t>
      </w:r>
      <w:r>
        <w:rPr>
          <w:rFonts w:ascii="宋体" w:hAnsi="宋体" w:eastAsia="宋体" w:cs="宋体"/>
          <w:color w:val="auto"/>
          <w:spacing w:val="-4"/>
          <w:sz w:val="24"/>
          <w:szCs w:val="24"/>
          <w:lang w:eastAsia="zh-CN"/>
        </w:rPr>
        <w:t>图；</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2 </w:t>
      </w:r>
      <w:r>
        <w:rPr>
          <w:rFonts w:ascii="宋体" w:hAnsi="宋体" w:eastAsia="宋体" w:cs="宋体"/>
          <w:color w:val="auto"/>
          <w:spacing w:val="-4"/>
          <w:sz w:val="24"/>
          <w:szCs w:val="24"/>
          <w:lang w:eastAsia="zh-CN"/>
        </w:rPr>
        <w:t>项目区水系图；</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3 </w:t>
      </w:r>
      <w:r>
        <w:rPr>
          <w:rFonts w:ascii="宋体" w:hAnsi="宋体" w:eastAsia="宋体" w:cs="宋体"/>
          <w:color w:val="auto"/>
          <w:spacing w:val="-4"/>
          <w:sz w:val="24"/>
          <w:szCs w:val="24"/>
          <w:lang w:eastAsia="zh-CN"/>
        </w:rPr>
        <w:t>项目平面布置图；</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4 </w:t>
      </w:r>
      <w:r>
        <w:rPr>
          <w:rFonts w:ascii="宋体" w:hAnsi="宋体" w:eastAsia="宋体" w:cs="宋体"/>
          <w:color w:val="auto"/>
          <w:spacing w:val="-4"/>
          <w:sz w:val="24"/>
          <w:szCs w:val="24"/>
          <w:lang w:eastAsia="zh-CN"/>
        </w:rPr>
        <w:t>项目</w:t>
      </w:r>
      <w:r>
        <w:rPr>
          <w:rFonts w:hint="eastAsia" w:ascii="宋体" w:hAnsi="宋体" w:eastAsia="宋体" w:cs="宋体"/>
          <w:color w:val="auto"/>
          <w:spacing w:val="-4"/>
          <w:sz w:val="24"/>
          <w:szCs w:val="24"/>
          <w:lang w:eastAsia="zh-CN"/>
        </w:rPr>
        <w:t>评价范围及保护目标</w:t>
      </w:r>
      <w:r>
        <w:rPr>
          <w:rFonts w:ascii="宋体" w:hAnsi="宋体" w:eastAsia="宋体" w:cs="宋体"/>
          <w:color w:val="auto"/>
          <w:spacing w:val="-4"/>
          <w:sz w:val="24"/>
          <w:szCs w:val="24"/>
          <w:lang w:eastAsia="zh-CN"/>
        </w:rPr>
        <w:t>；</w:t>
      </w:r>
    </w:p>
    <w:p>
      <w:pPr>
        <w:kinsoku/>
        <w:spacing w:before="37" w:line="346" w:lineRule="auto"/>
        <w:ind w:left="537" w:right="106"/>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5 </w:t>
      </w:r>
      <w:r>
        <w:rPr>
          <w:rFonts w:ascii="宋体" w:hAnsi="宋体" w:eastAsia="宋体" w:cs="宋体"/>
          <w:color w:val="auto"/>
          <w:spacing w:val="-4"/>
          <w:sz w:val="24"/>
          <w:szCs w:val="24"/>
          <w:lang w:eastAsia="zh-CN"/>
        </w:rPr>
        <w:t>项目</w:t>
      </w:r>
      <w:r>
        <w:rPr>
          <w:rFonts w:hint="eastAsia" w:ascii="宋体" w:hAnsi="宋体" w:eastAsia="宋体" w:cs="宋体"/>
          <w:color w:val="auto"/>
          <w:spacing w:val="-4"/>
          <w:sz w:val="24"/>
          <w:szCs w:val="24"/>
          <w:lang w:eastAsia="zh-CN"/>
        </w:rPr>
        <w:t>与</w:t>
      </w:r>
      <w:r>
        <w:rPr>
          <w:rFonts w:ascii="宋体" w:hAnsi="宋体" w:eastAsia="宋体" w:cs="宋体"/>
          <w:color w:val="auto"/>
          <w:spacing w:val="-4"/>
          <w:sz w:val="24"/>
          <w:szCs w:val="24"/>
          <w:lang w:eastAsia="zh-CN"/>
        </w:rPr>
        <w:t>牛栏江流域（嵩明段）水环境分区的位置</w:t>
      </w:r>
      <w:r>
        <w:rPr>
          <w:rFonts w:hint="eastAsia" w:ascii="宋体" w:hAnsi="宋体" w:eastAsia="宋体" w:cs="宋体"/>
          <w:color w:val="auto"/>
          <w:spacing w:val="-4"/>
          <w:sz w:val="24"/>
          <w:szCs w:val="24"/>
          <w:lang w:eastAsia="zh-CN"/>
        </w:rPr>
        <w:t>关系</w:t>
      </w:r>
      <w:r>
        <w:rPr>
          <w:rFonts w:ascii="宋体" w:hAnsi="宋体" w:eastAsia="宋体" w:cs="宋体"/>
          <w:color w:val="auto"/>
          <w:spacing w:val="-4"/>
          <w:sz w:val="24"/>
          <w:szCs w:val="24"/>
          <w:lang w:eastAsia="zh-CN"/>
        </w:rPr>
        <w:t>图；</w:t>
      </w:r>
    </w:p>
    <w:p>
      <w:pPr>
        <w:kinsoku/>
        <w:spacing w:before="37" w:line="346" w:lineRule="auto"/>
        <w:ind w:left="537" w:right="106"/>
        <w:rPr>
          <w:rFonts w:hint="eastAsia" w:ascii="宋体" w:hAnsi="宋体" w:eastAsia="宋体" w:cs="宋体"/>
          <w:color w:val="auto"/>
          <w:sz w:val="24"/>
          <w:szCs w:val="24"/>
          <w:lang w:eastAsia="zh-CN"/>
        </w:rPr>
      </w:pPr>
      <w:r>
        <w:rPr>
          <w:rFonts w:ascii="宋体" w:hAnsi="宋体" w:eastAsia="宋体" w:cs="宋体"/>
          <w:color w:val="auto"/>
          <w:spacing w:val="-2"/>
          <w:sz w:val="24"/>
          <w:szCs w:val="24"/>
          <w:lang w:eastAsia="zh-CN"/>
        </w:rPr>
        <w:t>附图</w:t>
      </w:r>
      <w:r>
        <w:rPr>
          <w:rFonts w:hint="eastAsia" w:ascii="宋体" w:hAnsi="宋体" w:eastAsia="宋体" w:cs="宋体"/>
          <w:color w:val="auto"/>
          <w:spacing w:val="-2"/>
          <w:sz w:val="24"/>
          <w:szCs w:val="24"/>
          <w:lang w:eastAsia="zh-CN"/>
        </w:rPr>
        <w:t>6 项目与“昆明市环境管控单元”的位置关系</w:t>
      </w:r>
      <w:r>
        <w:rPr>
          <w:rFonts w:ascii="宋体" w:hAnsi="宋体" w:eastAsia="宋体" w:cs="宋体"/>
          <w:color w:val="auto"/>
          <w:spacing w:val="-2"/>
          <w:sz w:val="24"/>
          <w:szCs w:val="24"/>
          <w:lang w:eastAsia="zh-CN"/>
        </w:rPr>
        <w:t>；</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7</w:t>
      </w:r>
      <w:r>
        <w:rPr>
          <w:rFonts w:ascii="宋体" w:hAnsi="宋体" w:eastAsia="宋体" w:cs="宋体"/>
          <w:color w:val="auto"/>
          <w:spacing w:val="-4"/>
          <w:sz w:val="24"/>
          <w:szCs w:val="24"/>
          <w:lang w:eastAsia="zh-CN"/>
        </w:rPr>
        <w:t xml:space="preserve"> 项目在</w:t>
      </w:r>
      <w:r>
        <w:rPr>
          <w:rFonts w:hint="eastAsia" w:ascii="宋体" w:hAnsi="宋体" w:eastAsia="宋体" w:cs="宋体"/>
          <w:color w:val="auto"/>
          <w:spacing w:val="-4"/>
          <w:sz w:val="24"/>
          <w:szCs w:val="24"/>
          <w:lang w:eastAsia="zh-CN"/>
        </w:rPr>
        <w:t>园区中</w:t>
      </w:r>
      <w:r>
        <w:rPr>
          <w:rFonts w:ascii="宋体" w:hAnsi="宋体" w:eastAsia="宋体" w:cs="宋体"/>
          <w:color w:val="auto"/>
          <w:spacing w:val="-4"/>
          <w:sz w:val="24"/>
          <w:szCs w:val="24"/>
          <w:lang w:eastAsia="zh-CN"/>
        </w:rPr>
        <w:t>位置</w:t>
      </w:r>
      <w:r>
        <w:rPr>
          <w:rFonts w:hint="eastAsia" w:ascii="宋体" w:hAnsi="宋体" w:eastAsia="宋体" w:cs="宋体"/>
          <w:color w:val="auto"/>
          <w:spacing w:val="-4"/>
          <w:sz w:val="24"/>
          <w:szCs w:val="24"/>
          <w:lang w:eastAsia="zh-CN"/>
        </w:rPr>
        <w:t>关系图</w:t>
      </w:r>
      <w:r>
        <w:rPr>
          <w:rFonts w:ascii="宋体" w:hAnsi="宋体" w:eastAsia="宋体" w:cs="宋体"/>
          <w:color w:val="auto"/>
          <w:spacing w:val="-4"/>
          <w:sz w:val="24"/>
          <w:szCs w:val="24"/>
          <w:lang w:eastAsia="zh-CN"/>
        </w:rPr>
        <w:t>。</w:t>
      </w:r>
    </w:p>
    <w:p>
      <w:pPr>
        <w:kinsoku/>
        <w:spacing w:before="37" w:line="346" w:lineRule="auto"/>
        <w:ind w:left="537" w:right="1949"/>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lang w:eastAsia="zh-CN"/>
        </w:rPr>
        <w:t>附图</w:t>
      </w:r>
      <w:r>
        <w:rPr>
          <w:rFonts w:hint="eastAsia" w:ascii="宋体" w:hAnsi="宋体" w:eastAsia="宋体" w:cs="宋体"/>
          <w:color w:val="auto"/>
          <w:spacing w:val="-4"/>
          <w:sz w:val="24"/>
          <w:szCs w:val="24"/>
          <w:lang w:eastAsia="zh-CN"/>
        </w:rPr>
        <w:t xml:space="preserve">8 </w:t>
      </w:r>
      <w:r>
        <w:rPr>
          <w:rFonts w:ascii="宋体" w:hAnsi="宋体" w:eastAsia="宋体" w:cs="宋体"/>
          <w:color w:val="auto"/>
          <w:spacing w:val="-4"/>
          <w:sz w:val="24"/>
          <w:szCs w:val="24"/>
          <w:lang w:eastAsia="zh-CN"/>
        </w:rPr>
        <w:t>引用环境监测数据点位图。</w:t>
      </w:r>
    </w:p>
    <w:p>
      <w:pPr>
        <w:pStyle w:val="8"/>
        <w:kinsoku/>
        <w:spacing w:line="359" w:lineRule="auto"/>
        <w:rPr>
          <w:color w:val="auto"/>
          <w:lang w:eastAsia="zh-CN"/>
        </w:rPr>
      </w:pPr>
    </w:p>
    <w:p>
      <w:pPr>
        <w:kinsoku/>
        <w:spacing w:before="79" w:line="360" w:lineRule="auto"/>
        <w:ind w:left="539"/>
        <w:rPr>
          <w:rFonts w:hint="eastAsia" w:ascii="宋体" w:hAnsi="宋体" w:eastAsia="宋体" w:cs="宋体"/>
          <w:color w:val="auto"/>
          <w:sz w:val="24"/>
          <w:szCs w:val="24"/>
          <w:lang w:eastAsia="zh-CN"/>
        </w:rPr>
      </w:pPr>
      <w:r>
        <w:rPr>
          <w:rFonts w:ascii="宋体" w:hAnsi="宋体" w:eastAsia="宋体" w:cs="宋体"/>
          <w:b/>
          <w:bCs/>
          <w:color w:val="auto"/>
          <w:spacing w:val="-12"/>
          <w:sz w:val="24"/>
          <w:szCs w:val="24"/>
          <w:lang w:eastAsia="zh-CN"/>
        </w:rPr>
        <w:t>附件：</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附件1：委托书；</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附件2：</w:t>
      </w:r>
      <w:r>
        <w:rPr>
          <w:rFonts w:hint="eastAsia" w:ascii="Times New Roman" w:hAnsi="Times New Roman" w:eastAsia="宋体" w:cs="Times New Roman"/>
          <w:color w:val="auto"/>
          <w:sz w:val="24"/>
          <w:szCs w:val="24"/>
          <w:lang w:eastAsia="zh-CN"/>
        </w:rPr>
        <w:t>云南省固定资产</w:t>
      </w:r>
      <w:r>
        <w:rPr>
          <w:rFonts w:ascii="Times New Roman" w:hAnsi="Times New Roman" w:eastAsia="宋体" w:cs="Times New Roman"/>
          <w:color w:val="auto"/>
          <w:sz w:val="24"/>
          <w:szCs w:val="24"/>
          <w:lang w:eastAsia="zh-CN"/>
        </w:rPr>
        <w:t>投资项目备案证；</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附件3：营业执照；</w:t>
      </w:r>
    </w:p>
    <w:p>
      <w:pPr>
        <w:kinsoku/>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附件4：</w:t>
      </w:r>
      <w:r>
        <w:rPr>
          <w:rFonts w:ascii="Times New Roman" w:hAnsi="Times New Roman" w:eastAsia="宋体" w:cs="Times New Roman"/>
          <w:color w:val="auto"/>
          <w:sz w:val="24"/>
          <w:szCs w:val="24"/>
          <w:lang w:eastAsia="zh-CN"/>
        </w:rPr>
        <w:t>关于《昆明名建工贸有限公司年产40万台动感单车、15万台椭圆机及10万台划船机建设项目环境影响报告表》的批复</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嵩生环复</w:t>
      </w:r>
      <w:r>
        <w:rPr>
          <w:rFonts w:hint="eastAsia" w:ascii="Times New Roman" w:hAnsi="Times New Roman" w:eastAsia="宋体" w:cs="Times New Roman"/>
          <w:color w:val="auto"/>
          <w:sz w:val="24"/>
          <w:szCs w:val="24"/>
          <w:lang w:eastAsia="zh-CN"/>
        </w:rPr>
        <w:t>〔2022〕81号）</w:t>
      </w:r>
      <w:r>
        <w:rPr>
          <w:rFonts w:ascii="Times New Roman" w:hAnsi="Times New Roman" w:eastAsia="宋体" w:cs="Times New Roman"/>
          <w:color w:val="auto"/>
          <w:sz w:val="24"/>
          <w:szCs w:val="24"/>
          <w:lang w:eastAsia="zh-CN"/>
        </w:rPr>
        <w:t>；</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咨询服务合同</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华测检测封边胶</w:t>
      </w:r>
      <w:r>
        <w:rPr>
          <w:rFonts w:ascii="Times New Roman" w:hAnsi="Times New Roman" w:eastAsia="宋体" w:cs="Times New Roman"/>
          <w:color w:val="auto"/>
          <w:sz w:val="24"/>
          <w:szCs w:val="24"/>
          <w:lang w:eastAsia="zh-CN"/>
        </w:rPr>
        <w:t>检测报告</w:t>
      </w:r>
      <w:r>
        <w:rPr>
          <w:rFonts w:hint="eastAsia" w:ascii="Times New Roman" w:hAnsi="Times New Roman" w:eastAsia="宋体" w:cs="Times New Roman"/>
          <w:color w:val="auto"/>
          <w:sz w:val="24"/>
          <w:szCs w:val="24"/>
          <w:lang w:eastAsia="zh-CN"/>
        </w:rPr>
        <w:t>（报告编号：A2190353310101001E）</w:t>
      </w:r>
      <w:r>
        <w:rPr>
          <w:rFonts w:ascii="Times New Roman" w:hAnsi="Times New Roman" w:eastAsia="宋体" w:cs="Times New Roman"/>
          <w:color w:val="auto"/>
          <w:sz w:val="24"/>
          <w:szCs w:val="24"/>
          <w:lang w:eastAsia="zh-CN"/>
        </w:rPr>
        <w:t>；</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厂房出租合同</w:t>
      </w:r>
      <w:r>
        <w:rPr>
          <w:rFonts w:ascii="Times New Roman" w:hAnsi="Times New Roman" w:eastAsia="宋体" w:cs="Times New Roman"/>
          <w:color w:val="auto"/>
          <w:sz w:val="24"/>
          <w:szCs w:val="24"/>
          <w:lang w:eastAsia="zh-CN"/>
        </w:rPr>
        <w:t>；</w:t>
      </w:r>
    </w:p>
    <w:p>
      <w:pPr>
        <w:kinsoku/>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附件8：云南万事达钢化玻璃有限公司迁建钢化玻璃加工建设项目监测（［TLHB-WT-2024］-032807）；</w:t>
      </w:r>
    </w:p>
    <w:p>
      <w:pPr>
        <w:kinsoku/>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附件9：环评文件</w:t>
      </w:r>
      <w:r>
        <w:rPr>
          <w:rFonts w:hint="eastAsia" w:ascii="Times New Roman" w:hAnsi="Times New Roman" w:eastAsia="宋体" w:cs="Times New Roman"/>
          <w:color w:val="auto"/>
          <w:sz w:val="24"/>
          <w:szCs w:val="24"/>
          <w:lang w:val="en-US" w:eastAsia="zh-CN"/>
        </w:rPr>
        <w:t>一审单、二审单</w:t>
      </w:r>
      <w:r>
        <w:rPr>
          <w:rFonts w:hint="eastAsia" w:ascii="Times New Roman" w:hAnsi="Times New Roman" w:eastAsia="宋体" w:cs="Times New Roman"/>
          <w:color w:val="auto"/>
          <w:sz w:val="24"/>
          <w:szCs w:val="24"/>
          <w:lang w:eastAsia="zh-CN"/>
        </w:rPr>
        <w:t>；</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10</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环评文件承接和编制工作进度管理表；</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11</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《昆明福伦蒂家具制造有限公司年加工家具板8万平方项目环境影响报告表》全本信息公开</w:t>
      </w:r>
      <w:r>
        <w:rPr>
          <w:rFonts w:ascii="Times New Roman" w:hAnsi="Times New Roman" w:eastAsia="宋体" w:cs="Times New Roman"/>
          <w:color w:val="auto"/>
          <w:sz w:val="24"/>
          <w:szCs w:val="24"/>
          <w:lang w:eastAsia="zh-CN"/>
        </w:rPr>
        <w:t>；</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：同意公开建设项目环境影响评价文件全本的说明；</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附件</w:t>
      </w:r>
      <w:r>
        <w:rPr>
          <w:rFonts w:hint="eastAsia" w:ascii="Times New Roman" w:hAnsi="Times New Roman" w:eastAsia="宋体" w:cs="Times New Roman"/>
          <w:color w:val="auto"/>
          <w:sz w:val="24"/>
          <w:szCs w:val="24"/>
          <w:lang w:eastAsia="zh-CN"/>
        </w:rPr>
        <w:t>13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关于审批昆明福伦蒂家具制造有限公司年加工家具板8万平方项目环境影响报告表的申请。</w:t>
      </w:r>
    </w:p>
    <w:p>
      <w:pPr>
        <w:kinsoku/>
        <w:spacing w:line="360" w:lineRule="auto"/>
        <w:ind w:firstLine="480" w:firstLineChars="200"/>
        <w:rPr>
          <w:rFonts w:ascii="Times New Roman" w:hAnsi="Times New Roman" w:eastAsia="宋体" w:cs="Times New Roman"/>
          <w:color w:val="auto"/>
          <w:sz w:val="24"/>
          <w:szCs w:val="24"/>
          <w:lang w:eastAsia="zh-CN"/>
        </w:rPr>
        <w:sectPr>
          <w:pgSz w:w="11906" w:h="16839"/>
          <w:pgMar w:top="1440" w:right="1800" w:bottom="1440" w:left="1800" w:header="0" w:footer="0" w:gutter="0"/>
          <w:cols w:space="720" w:num="1"/>
        </w:sectPr>
      </w:pPr>
    </w:p>
    <w:p>
      <w:pPr>
        <w:kinsoku/>
        <w:spacing w:before="59" w:line="219" w:lineRule="auto"/>
        <w:ind w:left="3068"/>
        <w:outlineLvl w:val="0"/>
        <w:rPr>
          <w:rFonts w:hint="eastAsia" w:ascii="宋体" w:hAnsi="宋体" w:eastAsia="宋体" w:cs="宋体"/>
          <w:color w:val="auto"/>
          <w:sz w:val="30"/>
          <w:szCs w:val="30"/>
        </w:rPr>
      </w:pPr>
      <w:bookmarkStart w:id="6" w:name="bookmark1"/>
      <w:bookmarkEnd w:id="6"/>
      <w:bookmarkStart w:id="7" w:name="_Toc24206"/>
      <w:r>
        <w:rPr>
          <w:rFonts w:ascii="宋体" w:hAnsi="宋体" w:eastAsia="宋体" w:cs="宋体"/>
          <w:b/>
          <w:bCs/>
          <w:color w:val="auto"/>
          <w:spacing w:val="-4"/>
          <w:sz w:val="30"/>
          <w:szCs w:val="30"/>
        </w:rPr>
        <w:t>一、建设项目基本情况</w:t>
      </w:r>
      <w:bookmarkEnd w:id="7"/>
    </w:p>
    <w:p>
      <w:pPr>
        <w:kinsoku/>
        <w:spacing w:line="182" w:lineRule="exact"/>
        <w:rPr>
          <w:color w:val="auto"/>
        </w:rPr>
      </w:pPr>
    </w:p>
    <w:tbl>
      <w:tblPr>
        <w:tblStyle w:val="21"/>
        <w:tblW w:w="91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3"/>
        <w:gridCol w:w="1623"/>
        <w:gridCol w:w="2213"/>
        <w:gridCol w:w="571"/>
        <w:gridCol w:w="27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934" w:type="dxa"/>
            <w:tcBorders>
              <w:top w:val="single" w:color="000000" w:sz="6" w:space="0"/>
              <w:left w:val="single" w:color="000000" w:sz="6" w:space="0"/>
            </w:tcBorders>
          </w:tcPr>
          <w:p>
            <w:pPr>
              <w:pStyle w:val="22"/>
              <w:kinsoku/>
              <w:spacing w:before="211" w:line="220" w:lineRule="auto"/>
              <w:ind w:left="250"/>
              <w:rPr>
                <w:rFonts w:hint="eastAsia"/>
                <w:color w:val="auto"/>
              </w:rPr>
            </w:pPr>
            <w:r>
              <w:rPr>
                <w:color w:val="auto"/>
                <w:spacing w:val="-3"/>
              </w:rPr>
              <w:t>建设项目名称</w:t>
            </w:r>
          </w:p>
        </w:tc>
        <w:tc>
          <w:tcPr>
            <w:tcW w:w="7166" w:type="dxa"/>
            <w:gridSpan w:val="4"/>
            <w:tcBorders>
              <w:top w:val="single" w:color="000000" w:sz="6" w:space="0"/>
              <w:right w:val="single" w:color="000000" w:sz="6" w:space="0"/>
            </w:tcBorders>
            <w:vAlign w:val="center"/>
          </w:tcPr>
          <w:p>
            <w:pPr>
              <w:pStyle w:val="22"/>
              <w:kinsoku/>
              <w:spacing w:before="54" w:line="224" w:lineRule="auto"/>
              <w:ind w:left="2509" w:right="112" w:hanging="2364"/>
              <w:jc w:val="center"/>
              <w:rPr>
                <w:rFonts w:hint="eastAsia"/>
                <w:color w:val="auto"/>
                <w:lang w:eastAsia="zh-CN"/>
              </w:rPr>
            </w:pPr>
            <w:r>
              <w:rPr>
                <w:rFonts w:hint="eastAsia"/>
                <w:color w:val="auto"/>
                <w:spacing w:val="-3"/>
                <w:lang w:eastAsia="zh-CN"/>
              </w:rPr>
              <w:t>昆明福伦蒂家具制造有限公司年加工家具板8万平方项目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934" w:type="dxa"/>
            <w:tcBorders>
              <w:left w:val="single" w:color="000000" w:sz="6" w:space="0"/>
            </w:tcBorders>
          </w:tcPr>
          <w:p>
            <w:pPr>
              <w:pStyle w:val="22"/>
              <w:kinsoku/>
              <w:spacing w:before="150" w:line="219" w:lineRule="auto"/>
              <w:ind w:left="491"/>
              <w:rPr>
                <w:rFonts w:hint="eastAsia"/>
                <w:color w:val="auto"/>
              </w:rPr>
            </w:pPr>
            <w:r>
              <w:rPr>
                <w:color w:val="auto"/>
                <w:spacing w:val="-4"/>
              </w:rPr>
              <w:t>项目代码</w:t>
            </w:r>
          </w:p>
        </w:tc>
        <w:tc>
          <w:tcPr>
            <w:tcW w:w="7166" w:type="dxa"/>
            <w:gridSpan w:val="4"/>
            <w:tcBorders>
              <w:right w:val="single" w:color="000000" w:sz="6" w:space="0"/>
            </w:tcBorders>
          </w:tcPr>
          <w:p>
            <w:pPr>
              <w:kinsoku/>
              <w:spacing w:before="191" w:line="188" w:lineRule="auto"/>
              <w:ind w:left="2219"/>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pacing w:val="-1"/>
                <w:sz w:val="24"/>
                <w:szCs w:val="24"/>
                <w:lang w:eastAsia="zh-CN"/>
              </w:rPr>
              <w:t>2411-530127-04-01-626119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934" w:type="dxa"/>
            <w:tcBorders>
              <w:left w:val="single" w:color="000000" w:sz="6" w:space="0"/>
            </w:tcBorders>
          </w:tcPr>
          <w:p>
            <w:pPr>
              <w:pStyle w:val="22"/>
              <w:kinsoku/>
              <w:spacing w:before="125" w:line="220" w:lineRule="auto"/>
              <w:ind w:left="130"/>
              <w:rPr>
                <w:rFonts w:hint="eastAsia"/>
                <w:color w:val="auto"/>
              </w:rPr>
            </w:pPr>
            <w:r>
              <w:rPr>
                <w:color w:val="auto"/>
                <w:spacing w:val="-2"/>
              </w:rPr>
              <w:t>建设单位联系人</w:t>
            </w:r>
          </w:p>
        </w:tc>
        <w:tc>
          <w:tcPr>
            <w:tcW w:w="1623" w:type="dxa"/>
          </w:tcPr>
          <w:p>
            <w:pPr>
              <w:pStyle w:val="22"/>
              <w:kinsoku/>
              <w:spacing w:before="126" w:line="219" w:lineRule="auto"/>
              <w:ind w:left="454"/>
              <w:rPr>
                <w:rFonts w:hint="eastAsia"/>
                <w:color w:val="auto"/>
                <w:lang w:eastAsia="zh-CN"/>
              </w:rPr>
            </w:pPr>
            <w:r>
              <w:rPr>
                <w:rFonts w:hint="eastAsia"/>
                <w:color w:val="auto"/>
                <w:spacing w:val="-4"/>
                <w:lang w:eastAsia="zh-CN"/>
              </w:rPr>
              <w:t>刘林</w:t>
            </w:r>
          </w:p>
        </w:tc>
        <w:tc>
          <w:tcPr>
            <w:tcW w:w="2784" w:type="dxa"/>
            <w:gridSpan w:val="2"/>
          </w:tcPr>
          <w:p>
            <w:pPr>
              <w:pStyle w:val="22"/>
              <w:kinsoku/>
              <w:spacing w:before="125" w:line="221" w:lineRule="auto"/>
              <w:ind w:left="920"/>
              <w:rPr>
                <w:rFonts w:hint="eastAsia"/>
                <w:color w:val="auto"/>
              </w:rPr>
            </w:pPr>
            <w:r>
              <w:rPr>
                <w:color w:val="auto"/>
                <w:spacing w:val="-3"/>
              </w:rPr>
              <w:t>联系方式</w:t>
            </w:r>
          </w:p>
        </w:tc>
        <w:tc>
          <w:tcPr>
            <w:tcW w:w="2759" w:type="dxa"/>
            <w:tcBorders>
              <w:right w:val="single" w:color="000000" w:sz="6" w:space="0"/>
            </w:tcBorders>
          </w:tcPr>
          <w:p>
            <w:pPr>
              <w:kinsoku/>
              <w:spacing w:before="167" w:line="188" w:lineRule="auto"/>
              <w:ind w:left="741"/>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pacing w:val="-3"/>
                <w:sz w:val="24"/>
                <w:szCs w:val="24"/>
                <w:lang w:val="en-US" w:eastAsia="zh-CN"/>
              </w:rPr>
              <w:t>xxxxxxxxxxx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934" w:type="dxa"/>
            <w:tcBorders>
              <w:left w:val="single" w:color="000000" w:sz="6" w:space="0"/>
            </w:tcBorders>
          </w:tcPr>
          <w:p>
            <w:pPr>
              <w:pStyle w:val="22"/>
              <w:kinsoku/>
              <w:spacing w:before="207" w:line="221" w:lineRule="auto"/>
              <w:ind w:left="490"/>
              <w:rPr>
                <w:rFonts w:hint="eastAsia"/>
                <w:color w:val="auto"/>
              </w:rPr>
            </w:pPr>
            <w:r>
              <w:rPr>
                <w:color w:val="auto"/>
                <w:spacing w:val="-4"/>
              </w:rPr>
              <w:t>建设地点</w:t>
            </w:r>
          </w:p>
        </w:tc>
        <w:tc>
          <w:tcPr>
            <w:tcW w:w="7166" w:type="dxa"/>
            <w:gridSpan w:val="4"/>
            <w:tcBorders>
              <w:right w:val="single" w:color="000000" w:sz="6" w:space="0"/>
            </w:tcBorders>
            <w:vAlign w:val="center"/>
          </w:tcPr>
          <w:p>
            <w:pPr>
              <w:pStyle w:val="22"/>
              <w:kinsoku/>
              <w:spacing w:before="53" w:line="223" w:lineRule="auto"/>
              <w:ind w:left="2628" w:right="100" w:hanging="2518"/>
              <w:jc w:val="center"/>
              <w:rPr>
                <w:rFonts w:hint="eastAsia"/>
                <w:color w:val="auto"/>
                <w:lang w:eastAsia="zh-CN"/>
              </w:rPr>
            </w:pPr>
            <w:r>
              <w:rPr>
                <w:rFonts w:hint="eastAsia"/>
                <w:color w:val="auto"/>
                <w:spacing w:val="-1"/>
                <w:lang w:eastAsia="zh-CN"/>
              </w:rPr>
              <w:t>云南嵩明杨林工业园区东环路68号附3号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934" w:type="dxa"/>
            <w:tcBorders>
              <w:left w:val="single" w:color="000000" w:sz="6" w:space="0"/>
            </w:tcBorders>
          </w:tcPr>
          <w:p>
            <w:pPr>
              <w:pStyle w:val="22"/>
              <w:kinsoku/>
              <w:spacing w:before="130" w:line="220" w:lineRule="auto"/>
              <w:ind w:left="487"/>
              <w:rPr>
                <w:rFonts w:hint="eastAsia"/>
                <w:color w:val="auto"/>
              </w:rPr>
            </w:pPr>
            <w:r>
              <w:rPr>
                <w:color w:val="auto"/>
                <w:spacing w:val="-3"/>
              </w:rPr>
              <w:t>地理坐标</w:t>
            </w:r>
          </w:p>
        </w:tc>
        <w:tc>
          <w:tcPr>
            <w:tcW w:w="7166" w:type="dxa"/>
            <w:gridSpan w:val="4"/>
            <w:tcBorders>
              <w:right w:val="single" w:color="000000" w:sz="6" w:space="0"/>
            </w:tcBorders>
          </w:tcPr>
          <w:p>
            <w:pPr>
              <w:pStyle w:val="22"/>
              <w:kinsoku/>
              <w:spacing w:before="131" w:line="219" w:lineRule="auto"/>
              <w:ind w:left="329"/>
              <w:rPr>
                <w:rFonts w:hint="eastAsia"/>
                <w:color w:val="auto"/>
                <w:lang w:eastAsia="zh-CN"/>
              </w:rPr>
            </w:pPr>
            <w:r>
              <w:rPr>
                <w:color w:val="auto"/>
                <w:spacing w:val="-3"/>
                <w:lang w:eastAsia="zh-CN"/>
              </w:rPr>
              <w:t>（东经：</w:t>
            </w:r>
            <w:r>
              <w:rPr>
                <w:rFonts w:ascii="Times New Roman" w:hAnsi="Times New Roman" w:eastAsia="Times New Roman" w:cs="Times New Roman"/>
                <w:color w:val="auto"/>
                <w:spacing w:val="-3"/>
                <w:lang w:eastAsia="zh-CN"/>
              </w:rPr>
              <w:t>103</w:t>
            </w:r>
            <w:r>
              <w:rPr>
                <w:color w:val="auto"/>
                <w:spacing w:val="-3"/>
                <w:lang w:eastAsia="zh-CN"/>
              </w:rPr>
              <w:t>度</w:t>
            </w:r>
            <w:r>
              <w:rPr>
                <w:rFonts w:ascii="Times New Roman" w:hAnsi="Times New Roman" w:eastAsia="Times New Roman" w:cs="Times New Roman"/>
                <w:color w:val="auto"/>
                <w:spacing w:val="-3"/>
                <w:lang w:eastAsia="zh-CN"/>
              </w:rPr>
              <w:t>02</w:t>
            </w:r>
            <w:r>
              <w:rPr>
                <w:color w:val="auto"/>
                <w:spacing w:val="-3"/>
                <w:lang w:eastAsia="zh-CN"/>
              </w:rPr>
              <w:t>分</w:t>
            </w:r>
            <w:r>
              <w:rPr>
                <w:rFonts w:hint="eastAsia" w:ascii="Times New Roman" w:hAnsi="Times New Roman" w:cs="Times New Roman"/>
                <w:color w:val="auto"/>
                <w:spacing w:val="-3"/>
                <w:lang w:eastAsia="zh-CN"/>
              </w:rPr>
              <w:t>34.221</w:t>
            </w:r>
            <w:r>
              <w:rPr>
                <w:color w:val="auto"/>
                <w:spacing w:val="-3"/>
                <w:lang w:eastAsia="zh-CN"/>
              </w:rPr>
              <w:t>秒，北</w:t>
            </w:r>
            <w:r>
              <w:rPr>
                <w:color w:val="auto"/>
                <w:spacing w:val="-4"/>
                <w:lang w:eastAsia="zh-CN"/>
              </w:rPr>
              <w:t>纬：</w:t>
            </w:r>
            <w:r>
              <w:rPr>
                <w:rFonts w:ascii="Times New Roman" w:hAnsi="Times New Roman" w:eastAsia="Times New Roman" w:cs="Times New Roman"/>
                <w:color w:val="auto"/>
                <w:spacing w:val="-4"/>
                <w:lang w:eastAsia="zh-CN"/>
              </w:rPr>
              <w:t>25</w:t>
            </w:r>
            <w:r>
              <w:rPr>
                <w:color w:val="auto"/>
                <w:spacing w:val="-4"/>
                <w:lang w:eastAsia="zh-CN"/>
              </w:rPr>
              <w:t>度</w:t>
            </w:r>
            <w:r>
              <w:rPr>
                <w:rFonts w:ascii="Times New Roman" w:hAnsi="Times New Roman" w:eastAsia="Times New Roman" w:cs="Times New Roman"/>
                <w:color w:val="auto"/>
                <w:spacing w:val="-4"/>
                <w:lang w:eastAsia="zh-CN"/>
              </w:rPr>
              <w:t>14</w:t>
            </w:r>
            <w:r>
              <w:rPr>
                <w:color w:val="auto"/>
                <w:spacing w:val="-4"/>
                <w:lang w:eastAsia="zh-CN"/>
              </w:rPr>
              <w:t>分</w:t>
            </w:r>
            <w:bookmarkStart w:id="8" w:name="OLE_LINK1"/>
            <w:r>
              <w:rPr>
                <w:rFonts w:hint="eastAsia" w:ascii="Times New Roman" w:hAnsi="Times New Roman" w:cs="Times New Roman"/>
                <w:color w:val="auto"/>
                <w:spacing w:val="-4"/>
                <w:lang w:eastAsia="zh-CN"/>
              </w:rPr>
              <w:t>4</w:t>
            </w:r>
            <w:bookmarkEnd w:id="8"/>
            <w:r>
              <w:rPr>
                <w:rFonts w:hint="eastAsia" w:ascii="Times New Roman" w:hAnsi="Times New Roman" w:cs="Times New Roman"/>
                <w:color w:val="auto"/>
                <w:spacing w:val="-4"/>
                <w:lang w:eastAsia="zh-CN"/>
              </w:rPr>
              <w:t>3.459</w:t>
            </w:r>
            <w:r>
              <w:rPr>
                <w:color w:val="auto"/>
                <w:spacing w:val="-4"/>
                <w:lang w:eastAsia="zh-CN"/>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1934" w:type="dxa"/>
            <w:tcBorders>
              <w:left w:val="single" w:color="000000" w:sz="6" w:space="0"/>
            </w:tcBorders>
            <w:vAlign w:val="center"/>
          </w:tcPr>
          <w:p>
            <w:pPr>
              <w:pStyle w:val="22"/>
              <w:kinsoku/>
              <w:spacing w:before="78" w:line="230" w:lineRule="auto"/>
              <w:ind w:right="125"/>
              <w:jc w:val="center"/>
              <w:rPr>
                <w:rFonts w:hint="eastAsia"/>
                <w:color w:val="auto"/>
              </w:rPr>
            </w:pPr>
            <w:r>
              <w:rPr>
                <w:color w:val="auto"/>
                <w:spacing w:val="-5"/>
              </w:rPr>
              <w:t>国民经济行业类</w:t>
            </w:r>
            <w:r>
              <w:rPr>
                <w:color w:val="auto"/>
              </w:rPr>
              <w:t>别</w:t>
            </w:r>
          </w:p>
        </w:tc>
        <w:tc>
          <w:tcPr>
            <w:tcW w:w="1623" w:type="dxa"/>
            <w:vAlign w:val="center"/>
          </w:tcPr>
          <w:p>
            <w:pPr>
              <w:pStyle w:val="22"/>
              <w:kinsoku/>
              <w:spacing w:before="34" w:line="232" w:lineRule="auto"/>
              <w:jc w:val="center"/>
              <w:rPr>
                <w:rFonts w:hint="eastAsia"/>
                <w:color w:val="auto"/>
                <w:lang w:eastAsia="zh-CN"/>
              </w:rPr>
            </w:pPr>
            <w:r>
              <w:rPr>
                <w:rFonts w:ascii="Times New Roman" w:hAnsi="Times New Roman" w:cs="Times New Roman"/>
                <w:color w:val="auto"/>
                <w:spacing w:val="-5"/>
                <w:lang w:eastAsia="zh-CN"/>
              </w:rPr>
              <w:t>木质家具制造（C2110）</w:t>
            </w:r>
          </w:p>
        </w:tc>
        <w:tc>
          <w:tcPr>
            <w:tcW w:w="2213" w:type="dxa"/>
            <w:vAlign w:val="center"/>
          </w:tcPr>
          <w:p>
            <w:pPr>
              <w:pStyle w:val="22"/>
              <w:kinsoku/>
              <w:spacing w:before="78" w:line="230" w:lineRule="auto"/>
              <w:ind w:right="125"/>
              <w:jc w:val="center"/>
              <w:rPr>
                <w:rFonts w:hint="eastAsia"/>
                <w:color w:val="auto"/>
                <w:spacing w:val="-5"/>
              </w:rPr>
            </w:pPr>
            <w:r>
              <w:rPr>
                <w:color w:val="auto"/>
                <w:spacing w:val="-5"/>
              </w:rPr>
              <w:t>建设项目行业类别</w:t>
            </w:r>
          </w:p>
        </w:tc>
        <w:tc>
          <w:tcPr>
            <w:tcW w:w="3330" w:type="dxa"/>
            <w:gridSpan w:val="2"/>
            <w:tcBorders>
              <w:right w:val="single" w:color="000000" w:sz="6" w:space="0"/>
            </w:tcBorders>
          </w:tcPr>
          <w:p>
            <w:pPr>
              <w:kinsoku/>
              <w:rPr>
                <w:color w:val="auto"/>
                <w:lang w:eastAsia="zh-CN"/>
              </w:rPr>
            </w:pPr>
            <w:r>
              <w:rPr>
                <w:rFonts w:hint="eastAsia" w:ascii="宋体" w:hAnsi="宋体" w:eastAsia="宋体" w:cs="宋体"/>
                <w:color w:val="auto"/>
                <w:sz w:val="24"/>
                <w:szCs w:val="24"/>
                <w:lang w:eastAsia="zh-CN"/>
              </w:rPr>
              <w:t>十八、家具制造业</w:t>
            </w:r>
            <w:r>
              <w:rPr>
                <w:rFonts w:ascii="Times New Roman" w:hAnsi="Times New Roman" w:eastAsia="宋体" w:cs="Times New Roman"/>
                <w:color w:val="auto"/>
                <w:sz w:val="24"/>
                <w:szCs w:val="24"/>
                <w:lang w:eastAsia="zh-CN"/>
              </w:rPr>
              <w:t>21-36</w:t>
            </w:r>
            <w:r>
              <w:rPr>
                <w:rFonts w:hint="eastAsia" w:ascii="宋体" w:hAnsi="宋体" w:eastAsia="宋体" w:cs="宋体"/>
                <w:color w:val="auto"/>
                <w:sz w:val="24"/>
                <w:szCs w:val="24"/>
                <w:lang w:eastAsia="zh-CN"/>
              </w:rPr>
              <w:t>木质家</w:t>
            </w:r>
          </w:p>
          <w:p>
            <w:pPr>
              <w:kinsoku/>
              <w:rPr>
                <w:color w:val="auto"/>
                <w:lang w:eastAsia="zh-CN"/>
              </w:rPr>
            </w:pPr>
            <w:r>
              <w:rPr>
                <w:rFonts w:hint="eastAsia" w:ascii="宋体" w:hAnsi="宋体" w:eastAsia="宋体" w:cs="宋体"/>
                <w:color w:val="auto"/>
                <w:sz w:val="24"/>
                <w:szCs w:val="24"/>
                <w:lang w:eastAsia="zh-CN"/>
              </w:rPr>
              <w:t>具制造</w:t>
            </w:r>
            <w:r>
              <w:rPr>
                <w:rFonts w:ascii="Times New Roman" w:hAnsi="Times New Roman" w:eastAsia="宋体" w:cs="Times New Roman"/>
                <w:color w:val="auto"/>
                <w:sz w:val="24"/>
                <w:szCs w:val="24"/>
                <w:lang w:eastAsia="zh-CN"/>
              </w:rPr>
              <w:t>211-</w:t>
            </w:r>
            <w:r>
              <w:rPr>
                <w:rFonts w:hint="eastAsia" w:ascii="宋体" w:hAnsi="宋体" w:eastAsia="宋体" w:cs="宋体"/>
                <w:color w:val="auto"/>
                <w:sz w:val="24"/>
                <w:szCs w:val="24"/>
                <w:lang w:eastAsia="zh-CN"/>
              </w:rPr>
              <w:t>其他（仅分割、组装</w:t>
            </w:r>
          </w:p>
          <w:p>
            <w:pPr>
              <w:kinsoku/>
              <w:rPr>
                <w:color w:val="auto"/>
              </w:rPr>
            </w:pPr>
            <w:r>
              <w:rPr>
                <w:rFonts w:hint="eastAsia" w:ascii="宋体" w:hAnsi="宋体" w:eastAsia="宋体" w:cs="宋体"/>
                <w:color w:val="auto"/>
                <w:sz w:val="24"/>
                <w:szCs w:val="24"/>
                <w:lang w:eastAsia="zh-CN"/>
              </w:rPr>
              <w:t>的除外；年用非溶剂型低</w:t>
            </w:r>
            <w:r>
              <w:rPr>
                <w:rFonts w:ascii="Times New Roman" w:hAnsi="Times New Roman" w:eastAsia="宋体" w:cs="Times New Roman"/>
                <w:color w:val="auto"/>
                <w:sz w:val="24"/>
                <w:szCs w:val="24"/>
                <w:lang w:eastAsia="zh-CN"/>
              </w:rPr>
              <w:t>VOCs</w:t>
            </w:r>
          </w:p>
          <w:p>
            <w:pPr>
              <w:kinsoku/>
              <w:rPr>
                <w:color w:val="auto"/>
              </w:rPr>
            </w:pPr>
            <w:r>
              <w:rPr>
                <w:rFonts w:hint="eastAsia" w:ascii="宋体" w:hAnsi="宋体" w:eastAsia="宋体" w:cs="宋体"/>
                <w:color w:val="auto"/>
                <w:sz w:val="24"/>
                <w:szCs w:val="24"/>
                <w:lang w:eastAsia="zh-CN"/>
              </w:rPr>
              <w:t>含量涂料</w:t>
            </w:r>
            <w:r>
              <w:rPr>
                <w:rFonts w:ascii="Times New Roman" w:hAnsi="Times New Roman" w:eastAsia="宋体" w:cs="Times New Roman"/>
                <w:color w:val="auto"/>
                <w:sz w:val="24"/>
                <w:szCs w:val="24"/>
                <w:lang w:eastAsia="zh-CN"/>
              </w:rPr>
              <w:t>10</w:t>
            </w:r>
            <w:r>
              <w:rPr>
                <w:rFonts w:hint="eastAsia" w:ascii="宋体" w:hAnsi="宋体" w:eastAsia="宋体" w:cs="宋体"/>
                <w:color w:val="auto"/>
                <w:sz w:val="24"/>
                <w:szCs w:val="24"/>
                <w:lang w:eastAsia="zh-CN"/>
              </w:rPr>
              <w:t>吨以下的除外）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934" w:type="dxa"/>
            <w:tcBorders>
              <w:left w:val="single" w:color="000000" w:sz="6" w:space="0"/>
            </w:tcBorders>
            <w:vAlign w:val="center"/>
          </w:tcPr>
          <w:p>
            <w:pPr>
              <w:pStyle w:val="22"/>
              <w:kinsoku/>
              <w:spacing w:before="78" w:line="220" w:lineRule="auto"/>
              <w:jc w:val="center"/>
              <w:rPr>
                <w:rFonts w:hint="eastAsia"/>
                <w:color w:val="auto"/>
              </w:rPr>
            </w:pPr>
            <w:r>
              <w:rPr>
                <w:color w:val="auto"/>
                <w:spacing w:val="-4"/>
              </w:rPr>
              <w:t>建设性质</w:t>
            </w:r>
          </w:p>
        </w:tc>
        <w:tc>
          <w:tcPr>
            <w:tcW w:w="1623" w:type="dxa"/>
          </w:tcPr>
          <w:p>
            <w:pPr>
              <w:pStyle w:val="22"/>
              <w:kinsoku/>
              <w:spacing w:before="14" w:line="323" w:lineRule="exact"/>
              <w:ind w:left="6"/>
              <w:rPr>
                <w:rFonts w:hint="eastAsia"/>
                <w:color w:val="auto"/>
                <w:lang w:eastAsia="zh-CN"/>
              </w:rPr>
            </w:pPr>
            <w:r>
              <w:rPr>
                <w:rFonts w:ascii="Times New Roman" w:hAnsi="Times New Roman" w:eastAsia="Times New Roman" w:cs="Times New Roman"/>
                <w:color w:val="auto"/>
                <w:spacing w:val="-4"/>
                <w:lang w:eastAsia="zh-CN"/>
              </w:rPr>
              <w:t>√</w:t>
            </w:r>
            <w:r>
              <w:rPr>
                <w:color w:val="auto"/>
                <w:spacing w:val="-4"/>
                <w:lang w:eastAsia="zh-CN"/>
              </w:rPr>
              <w:t>新建</w:t>
            </w:r>
          </w:p>
          <w:p>
            <w:pPr>
              <w:pStyle w:val="22"/>
              <w:kinsoku/>
              <w:spacing w:before="32" w:line="219" w:lineRule="auto"/>
              <w:ind w:left="13"/>
              <w:rPr>
                <w:rFonts w:hint="eastAsia"/>
                <w:color w:val="auto"/>
                <w:lang w:eastAsia="zh-CN"/>
              </w:rPr>
            </w:pPr>
            <w:r>
              <w:rPr>
                <w:rFonts w:ascii="Times New Roman" w:hAnsi="Times New Roman" w:eastAsia="Times New Roman" w:cs="Times New Roman"/>
                <w:color w:val="auto"/>
                <w:spacing w:val="-12"/>
                <w:lang w:eastAsia="zh-CN"/>
              </w:rPr>
              <w:t>□</w:t>
            </w:r>
            <w:r>
              <w:rPr>
                <w:color w:val="auto"/>
                <w:spacing w:val="-12"/>
                <w:lang w:eastAsia="zh-CN"/>
              </w:rPr>
              <w:t>改建</w:t>
            </w:r>
          </w:p>
          <w:p>
            <w:pPr>
              <w:pStyle w:val="22"/>
              <w:kinsoku/>
              <w:spacing w:before="24" w:line="220" w:lineRule="auto"/>
              <w:ind w:left="13"/>
              <w:rPr>
                <w:rFonts w:hint="eastAsia"/>
                <w:color w:val="auto"/>
                <w:lang w:eastAsia="zh-CN"/>
              </w:rPr>
            </w:pPr>
            <w:r>
              <w:rPr>
                <w:rFonts w:ascii="Times New Roman" w:hAnsi="Times New Roman" w:eastAsia="Times New Roman" w:cs="Times New Roman"/>
                <w:color w:val="auto"/>
                <w:spacing w:val="-7"/>
                <w:lang w:eastAsia="zh-CN"/>
              </w:rPr>
              <w:t>□</w:t>
            </w:r>
            <w:r>
              <w:rPr>
                <w:color w:val="auto"/>
                <w:spacing w:val="-7"/>
                <w:lang w:eastAsia="zh-CN"/>
              </w:rPr>
              <w:t>扩建</w:t>
            </w:r>
          </w:p>
          <w:p>
            <w:pPr>
              <w:pStyle w:val="22"/>
              <w:kinsoku/>
              <w:spacing w:before="25" w:line="203" w:lineRule="auto"/>
              <w:ind w:left="13"/>
              <w:rPr>
                <w:rFonts w:hint="eastAsia"/>
                <w:color w:val="auto"/>
                <w:lang w:eastAsia="zh-CN"/>
              </w:rPr>
            </w:pPr>
            <w:r>
              <w:rPr>
                <w:rFonts w:ascii="Times New Roman" w:hAnsi="Times New Roman" w:eastAsia="Times New Roman" w:cs="Times New Roman"/>
                <w:color w:val="auto"/>
                <w:spacing w:val="-4"/>
                <w:lang w:eastAsia="zh-CN"/>
              </w:rPr>
              <w:t>□</w:t>
            </w:r>
            <w:r>
              <w:rPr>
                <w:color w:val="auto"/>
                <w:spacing w:val="-4"/>
                <w:lang w:eastAsia="zh-CN"/>
              </w:rPr>
              <w:t>技术改造</w:t>
            </w:r>
          </w:p>
        </w:tc>
        <w:tc>
          <w:tcPr>
            <w:tcW w:w="2213" w:type="dxa"/>
            <w:vAlign w:val="center"/>
          </w:tcPr>
          <w:p>
            <w:pPr>
              <w:pStyle w:val="22"/>
              <w:kinsoku/>
              <w:spacing w:before="78" w:line="230" w:lineRule="auto"/>
              <w:ind w:right="125"/>
              <w:jc w:val="center"/>
              <w:rPr>
                <w:rFonts w:hint="eastAsia"/>
                <w:color w:val="auto"/>
                <w:spacing w:val="-5"/>
              </w:rPr>
            </w:pPr>
            <w:r>
              <w:rPr>
                <w:color w:val="auto"/>
                <w:spacing w:val="-5"/>
              </w:rPr>
              <w:t>建设项目申报情形</w:t>
            </w:r>
          </w:p>
        </w:tc>
        <w:tc>
          <w:tcPr>
            <w:tcW w:w="3330" w:type="dxa"/>
            <w:gridSpan w:val="2"/>
            <w:tcBorders>
              <w:right w:val="single" w:color="000000" w:sz="6" w:space="0"/>
            </w:tcBorders>
          </w:tcPr>
          <w:p>
            <w:pPr>
              <w:pStyle w:val="22"/>
              <w:kinsoku/>
              <w:spacing w:before="57" w:line="182" w:lineRule="auto"/>
              <w:ind w:left="25"/>
              <w:rPr>
                <w:rFonts w:hint="eastAsia"/>
                <w:color w:val="auto"/>
                <w:lang w:eastAsia="zh-CN"/>
              </w:rPr>
            </w:pPr>
            <w:r>
              <w:rPr>
                <w:rFonts w:hint="eastAsia" w:ascii="微软雅黑" w:hAnsi="微软雅黑" w:eastAsia="微软雅黑" w:cs="微软雅黑"/>
                <w:color w:val="auto"/>
                <w:spacing w:val="2"/>
                <w:lang w:eastAsia="zh-CN"/>
              </w:rPr>
              <w:t>☑</w:t>
            </w:r>
            <w:r>
              <w:rPr>
                <w:color w:val="auto"/>
                <w:spacing w:val="-7"/>
                <w:lang w:eastAsia="zh-CN"/>
              </w:rPr>
              <w:t>首次申报项目</w:t>
            </w:r>
          </w:p>
          <w:p>
            <w:pPr>
              <w:pStyle w:val="22"/>
              <w:kinsoku/>
              <w:spacing w:line="180" w:lineRule="auto"/>
              <w:ind w:left="25"/>
              <w:rPr>
                <w:rFonts w:hint="eastAsia"/>
                <w:color w:val="auto"/>
                <w:lang w:eastAsia="zh-CN"/>
              </w:rPr>
            </w:pPr>
            <w:r>
              <w:rPr>
                <w:rFonts w:hint="eastAsia" w:ascii="微软雅黑" w:hAnsi="微软雅黑" w:eastAsia="微软雅黑" w:cs="微软雅黑"/>
                <w:color w:val="auto"/>
                <w:spacing w:val="2"/>
                <w:lang w:eastAsia="zh-CN"/>
              </w:rPr>
              <w:t>□</w:t>
            </w:r>
            <w:r>
              <w:rPr>
                <w:color w:val="auto"/>
                <w:spacing w:val="2"/>
                <w:lang w:eastAsia="zh-CN"/>
              </w:rPr>
              <w:t>不予批准后再次申报项目</w:t>
            </w:r>
          </w:p>
          <w:p>
            <w:pPr>
              <w:pStyle w:val="22"/>
              <w:kinsoku/>
              <w:spacing w:before="1" w:line="181" w:lineRule="auto"/>
              <w:ind w:left="25"/>
              <w:rPr>
                <w:rFonts w:hint="eastAsia"/>
                <w:color w:val="auto"/>
                <w:lang w:eastAsia="zh-CN"/>
              </w:rPr>
            </w:pPr>
            <w:r>
              <w:rPr>
                <w:rFonts w:ascii="微软雅黑" w:hAnsi="微软雅黑" w:eastAsia="微软雅黑" w:cs="微软雅黑"/>
                <w:color w:val="auto"/>
                <w:spacing w:val="3"/>
                <w:lang w:eastAsia="zh-CN"/>
              </w:rPr>
              <w:t>□</w:t>
            </w:r>
            <w:r>
              <w:rPr>
                <w:color w:val="auto"/>
                <w:spacing w:val="3"/>
                <w:lang w:eastAsia="zh-CN"/>
              </w:rPr>
              <w:t>超五年重新审核项目</w:t>
            </w:r>
          </w:p>
          <w:p>
            <w:pPr>
              <w:pStyle w:val="22"/>
              <w:kinsoku/>
              <w:spacing w:line="263" w:lineRule="exact"/>
              <w:ind w:left="25"/>
              <w:rPr>
                <w:rFonts w:hint="eastAsia"/>
                <w:color w:val="auto"/>
                <w:lang w:eastAsia="zh-CN"/>
              </w:rPr>
            </w:pPr>
            <w:r>
              <w:rPr>
                <w:rFonts w:ascii="微软雅黑" w:hAnsi="微软雅黑" w:eastAsia="微软雅黑" w:cs="微软雅黑"/>
                <w:color w:val="auto"/>
                <w:spacing w:val="3"/>
                <w:position w:val="-1"/>
                <w:lang w:eastAsia="zh-CN"/>
              </w:rPr>
              <w:t>□</w:t>
            </w:r>
            <w:r>
              <w:rPr>
                <w:color w:val="auto"/>
                <w:spacing w:val="3"/>
                <w:position w:val="-1"/>
                <w:lang w:eastAsia="zh-CN"/>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934" w:type="dxa"/>
            <w:tcBorders>
              <w:left w:val="single" w:color="000000" w:sz="6" w:space="0"/>
            </w:tcBorders>
          </w:tcPr>
          <w:p>
            <w:pPr>
              <w:pStyle w:val="22"/>
              <w:kinsoku/>
              <w:spacing w:before="59" w:line="220" w:lineRule="auto"/>
              <w:ind w:left="97"/>
              <w:rPr>
                <w:rFonts w:ascii="Times New Roman" w:hAnsi="Times New Roman" w:eastAsia="Times New Roman" w:cs="Times New Roman"/>
                <w:color w:val="auto"/>
                <w:lang w:eastAsia="zh-CN"/>
              </w:rPr>
            </w:pPr>
            <w:r>
              <w:rPr>
                <w:color w:val="auto"/>
                <w:spacing w:val="-2"/>
                <w:lang w:eastAsia="zh-CN"/>
              </w:rPr>
              <w:t>项目审批（核准</w:t>
            </w:r>
            <w:r>
              <w:rPr>
                <w:rFonts w:ascii="Times New Roman" w:hAnsi="Times New Roman" w:eastAsia="Times New Roman" w:cs="Times New Roman"/>
                <w:color w:val="auto"/>
                <w:spacing w:val="-2"/>
                <w:lang w:eastAsia="zh-CN"/>
              </w:rPr>
              <w:t>/</w:t>
            </w:r>
          </w:p>
          <w:p>
            <w:pPr>
              <w:pStyle w:val="22"/>
              <w:kinsoku/>
              <w:spacing w:before="23" w:line="221" w:lineRule="auto"/>
              <w:ind w:left="729" w:right="125" w:hanging="599"/>
              <w:rPr>
                <w:rFonts w:hint="eastAsia"/>
                <w:color w:val="auto"/>
                <w:lang w:eastAsia="zh-CN"/>
              </w:rPr>
            </w:pPr>
            <w:r>
              <w:rPr>
                <w:color w:val="auto"/>
                <w:spacing w:val="-2"/>
                <w:lang w:eastAsia="zh-CN"/>
              </w:rPr>
              <w:t>备案）部门（选</w:t>
            </w:r>
            <w:r>
              <w:rPr>
                <w:color w:val="auto"/>
                <w:spacing w:val="-6"/>
                <w:lang w:eastAsia="zh-CN"/>
              </w:rPr>
              <w:t>填）</w:t>
            </w:r>
          </w:p>
        </w:tc>
        <w:tc>
          <w:tcPr>
            <w:tcW w:w="1623" w:type="dxa"/>
          </w:tcPr>
          <w:p>
            <w:pPr>
              <w:pStyle w:val="22"/>
              <w:kinsoku/>
              <w:spacing w:before="212" w:line="230" w:lineRule="auto"/>
              <w:ind w:left="462" w:right="92" w:hanging="355"/>
              <w:rPr>
                <w:rFonts w:hint="eastAsia"/>
                <w:color w:val="auto"/>
              </w:rPr>
            </w:pPr>
            <w:r>
              <w:rPr>
                <w:color w:val="auto"/>
                <w:spacing w:val="-4"/>
              </w:rPr>
              <w:t>嵩明县发展和</w:t>
            </w:r>
            <w:r>
              <w:rPr>
                <w:color w:val="auto"/>
                <w:spacing w:val="-6"/>
              </w:rPr>
              <w:t>改革局</w:t>
            </w:r>
          </w:p>
        </w:tc>
        <w:tc>
          <w:tcPr>
            <w:tcW w:w="2213" w:type="dxa"/>
          </w:tcPr>
          <w:p>
            <w:pPr>
              <w:pStyle w:val="22"/>
              <w:kinsoku/>
              <w:spacing w:before="213" w:line="230" w:lineRule="auto"/>
              <w:ind w:left="34" w:right="46" w:firstLine="209"/>
              <w:rPr>
                <w:rFonts w:hint="eastAsia"/>
                <w:color w:val="auto"/>
                <w:lang w:eastAsia="zh-CN"/>
              </w:rPr>
            </w:pPr>
            <w:r>
              <w:rPr>
                <w:color w:val="auto"/>
                <w:spacing w:val="-2"/>
                <w:lang w:eastAsia="zh-CN"/>
              </w:rPr>
              <w:t>项目审批（核准</w:t>
            </w:r>
            <w:r>
              <w:rPr>
                <w:rFonts w:ascii="Times New Roman" w:hAnsi="Times New Roman" w:eastAsia="Times New Roman" w:cs="Times New Roman"/>
                <w:color w:val="auto"/>
                <w:spacing w:val="-2"/>
                <w:lang w:eastAsia="zh-CN"/>
              </w:rPr>
              <w:t>/</w:t>
            </w:r>
            <w:r>
              <w:rPr>
                <w:color w:val="auto"/>
                <w:spacing w:val="-4"/>
                <w:lang w:eastAsia="zh-CN"/>
              </w:rPr>
              <w:t>备案）文号（选填）</w:t>
            </w:r>
          </w:p>
        </w:tc>
        <w:tc>
          <w:tcPr>
            <w:tcW w:w="3330" w:type="dxa"/>
            <w:gridSpan w:val="2"/>
            <w:tcBorders>
              <w:right w:val="single" w:color="000000" w:sz="6" w:space="0"/>
            </w:tcBorders>
          </w:tcPr>
          <w:p>
            <w:pPr>
              <w:kinsoku/>
              <w:spacing w:line="339" w:lineRule="auto"/>
              <w:rPr>
                <w:color w:val="auto"/>
                <w:lang w:eastAsia="zh-CN"/>
              </w:rPr>
            </w:pPr>
          </w:p>
          <w:p>
            <w:pPr>
              <w:kinsoku/>
              <w:spacing w:before="69" w:line="188"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pacing w:val="-1"/>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34" w:type="dxa"/>
            <w:tcBorders>
              <w:left w:val="single" w:color="000000" w:sz="6" w:space="0"/>
            </w:tcBorders>
          </w:tcPr>
          <w:p>
            <w:pPr>
              <w:pStyle w:val="22"/>
              <w:kinsoku/>
              <w:spacing w:before="151" w:line="220" w:lineRule="auto"/>
              <w:ind w:left="134"/>
              <w:rPr>
                <w:rFonts w:hint="eastAsia"/>
                <w:color w:val="auto"/>
              </w:rPr>
            </w:pPr>
            <w:r>
              <w:rPr>
                <w:color w:val="auto"/>
                <w:spacing w:val="-3"/>
              </w:rPr>
              <w:t>总投资（万元）</w:t>
            </w:r>
          </w:p>
        </w:tc>
        <w:tc>
          <w:tcPr>
            <w:tcW w:w="1623" w:type="dxa"/>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210</w:t>
            </w:r>
          </w:p>
        </w:tc>
        <w:tc>
          <w:tcPr>
            <w:tcW w:w="2213" w:type="dxa"/>
          </w:tcPr>
          <w:p>
            <w:pPr>
              <w:pStyle w:val="22"/>
              <w:kinsoku/>
              <w:spacing w:before="151" w:line="220" w:lineRule="auto"/>
              <w:ind w:left="151"/>
              <w:rPr>
                <w:rFonts w:hint="eastAsia"/>
                <w:color w:val="auto"/>
              </w:rPr>
            </w:pPr>
            <w:r>
              <w:rPr>
                <w:color w:val="auto"/>
                <w:spacing w:val="-2"/>
              </w:rPr>
              <w:t>环保投资（万元）</w:t>
            </w:r>
          </w:p>
        </w:tc>
        <w:tc>
          <w:tcPr>
            <w:tcW w:w="3330" w:type="dxa"/>
            <w:gridSpan w:val="2"/>
            <w:tcBorders>
              <w:right w:val="single" w:color="000000" w:sz="6" w:space="0"/>
            </w:tcBorders>
          </w:tcPr>
          <w:p>
            <w:pPr>
              <w:kinsoku/>
              <w:spacing w:before="193" w:line="188"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pacing w:val="-8"/>
                <w:sz w:val="24"/>
                <w:szCs w:val="24"/>
                <w:lang w:eastAsia="zh-CN"/>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934" w:type="dxa"/>
            <w:tcBorders>
              <w:left w:val="single" w:color="000000" w:sz="6" w:space="0"/>
            </w:tcBorders>
          </w:tcPr>
          <w:p>
            <w:pPr>
              <w:pStyle w:val="22"/>
              <w:kinsoku/>
              <w:spacing w:before="59" w:line="220" w:lineRule="auto"/>
              <w:ind w:left="247"/>
              <w:rPr>
                <w:rFonts w:hint="eastAsia"/>
                <w:color w:val="auto"/>
              </w:rPr>
            </w:pPr>
            <w:r>
              <w:rPr>
                <w:color w:val="auto"/>
                <w:spacing w:val="-2"/>
              </w:rPr>
              <w:t>环保投资占比</w:t>
            </w:r>
          </w:p>
          <w:p>
            <w:pPr>
              <w:pStyle w:val="22"/>
              <w:kinsoku/>
              <w:spacing w:before="26" w:line="200" w:lineRule="auto"/>
              <w:ind w:left="638"/>
              <w:rPr>
                <w:rFonts w:hint="eastAsia"/>
                <w:color w:val="auto"/>
              </w:rPr>
            </w:pPr>
            <w:r>
              <w:rPr>
                <w:color w:val="auto"/>
                <w:spacing w:val="-7"/>
              </w:rPr>
              <w:t>（</w:t>
            </w:r>
            <w:r>
              <w:rPr>
                <w:rFonts w:ascii="Times New Roman" w:hAnsi="Times New Roman" w:eastAsia="Times New Roman" w:cs="Times New Roman"/>
                <w:color w:val="auto"/>
                <w:spacing w:val="-7"/>
              </w:rPr>
              <w:t>%</w:t>
            </w:r>
            <w:r>
              <w:rPr>
                <w:color w:val="auto"/>
                <w:spacing w:val="-7"/>
              </w:rPr>
              <w:t>）</w:t>
            </w:r>
          </w:p>
        </w:tc>
        <w:tc>
          <w:tcPr>
            <w:tcW w:w="1623" w:type="dxa"/>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19.5</w:t>
            </w:r>
          </w:p>
        </w:tc>
        <w:tc>
          <w:tcPr>
            <w:tcW w:w="2213" w:type="dxa"/>
          </w:tcPr>
          <w:p>
            <w:pPr>
              <w:pStyle w:val="22"/>
              <w:kinsoku/>
              <w:spacing w:before="215" w:line="220" w:lineRule="auto"/>
              <w:ind w:left="630"/>
              <w:rPr>
                <w:rFonts w:hint="eastAsia"/>
                <w:color w:val="auto"/>
              </w:rPr>
            </w:pPr>
            <w:r>
              <w:rPr>
                <w:color w:val="auto"/>
                <w:spacing w:val="-3"/>
              </w:rPr>
              <w:t>施工工期</w:t>
            </w:r>
          </w:p>
        </w:tc>
        <w:tc>
          <w:tcPr>
            <w:tcW w:w="3330" w:type="dxa"/>
            <w:gridSpan w:val="2"/>
            <w:tcBorders>
              <w:right w:val="single" w:color="000000" w:sz="6" w:space="0"/>
            </w:tcBorders>
          </w:tcPr>
          <w:p>
            <w:pPr>
              <w:pStyle w:val="22"/>
              <w:kinsoku/>
              <w:spacing w:before="215" w:line="219" w:lineRule="auto"/>
              <w:ind w:left="200"/>
              <w:jc w:val="center"/>
              <w:rPr>
                <w:rFonts w:hint="eastAsia"/>
                <w:color w:val="auto"/>
                <w:lang w:eastAsia="zh-CN"/>
              </w:rPr>
            </w:pPr>
            <w:r>
              <w:rPr>
                <w:rFonts w:hint="eastAsia" w:ascii="Times New Roman" w:hAnsi="Times New Roman" w:cs="Times New Roman"/>
                <w:color w:val="auto"/>
                <w:spacing w:val="-6"/>
                <w:lang w:val="en-US" w:eastAsia="zh-CN"/>
              </w:rPr>
              <w:t>1</w:t>
            </w:r>
            <w:r>
              <w:rPr>
                <w:rFonts w:hint="eastAsia" w:ascii="Times New Roman" w:hAnsi="Times New Roman" w:cs="Times New Roman"/>
                <w:color w:val="auto"/>
                <w:spacing w:val="-6"/>
                <w:lang w:eastAsia="zh-CN"/>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934" w:type="dxa"/>
            <w:tcBorders>
              <w:left w:val="single" w:color="000000" w:sz="6" w:space="0"/>
            </w:tcBorders>
          </w:tcPr>
          <w:p>
            <w:pPr>
              <w:pStyle w:val="22"/>
              <w:kinsoku/>
              <w:spacing w:before="216" w:line="220" w:lineRule="auto"/>
              <w:ind w:left="251"/>
              <w:rPr>
                <w:rFonts w:hint="eastAsia"/>
                <w:color w:val="auto"/>
              </w:rPr>
            </w:pPr>
            <w:r>
              <w:rPr>
                <w:color w:val="auto"/>
                <w:spacing w:val="-3"/>
              </w:rPr>
              <w:t>是否开工建设</w:t>
            </w:r>
          </w:p>
        </w:tc>
        <w:tc>
          <w:tcPr>
            <w:tcW w:w="1623" w:type="dxa"/>
          </w:tcPr>
          <w:p>
            <w:pPr>
              <w:pStyle w:val="22"/>
              <w:kinsoku/>
              <w:spacing w:before="17" w:line="204" w:lineRule="auto"/>
              <w:ind w:left="16" w:right="987" w:hanging="10"/>
              <w:rPr>
                <w:rFonts w:hint="eastAsia"/>
                <w:color w:val="auto"/>
                <w:spacing w:val="-14"/>
              </w:rPr>
            </w:pPr>
            <w:r>
              <w:rPr>
                <w:rFonts w:ascii="Times New Roman" w:hAnsi="Times New Roman" w:eastAsia="Times New Roman" w:cs="Times New Roman"/>
                <w:color w:val="auto"/>
                <w:spacing w:val="-14"/>
              </w:rPr>
              <w:t>√</w:t>
            </w:r>
            <w:r>
              <w:rPr>
                <w:color w:val="auto"/>
                <w:spacing w:val="-14"/>
              </w:rPr>
              <w:t>否</w:t>
            </w:r>
          </w:p>
          <w:p>
            <w:pPr>
              <w:pStyle w:val="22"/>
              <w:kinsoku/>
              <w:spacing w:before="17" w:line="204" w:lineRule="auto"/>
              <w:ind w:left="16" w:right="987" w:hanging="10"/>
              <w:rPr>
                <w:rFonts w:hint="eastAsia"/>
                <w:color w:val="auto"/>
              </w:rPr>
            </w:pPr>
            <w:r>
              <w:rPr>
                <w:rFonts w:ascii="微软雅黑" w:hAnsi="微软雅黑" w:eastAsia="微软雅黑" w:cs="微软雅黑"/>
                <w:color w:val="auto"/>
                <w:spacing w:val="-8"/>
              </w:rPr>
              <w:t>□</w:t>
            </w:r>
            <w:r>
              <w:rPr>
                <w:color w:val="auto"/>
                <w:spacing w:val="-8"/>
              </w:rPr>
              <w:t>是：</w:t>
            </w:r>
          </w:p>
        </w:tc>
        <w:tc>
          <w:tcPr>
            <w:tcW w:w="2213" w:type="dxa"/>
          </w:tcPr>
          <w:p>
            <w:pPr>
              <w:pStyle w:val="22"/>
              <w:kinsoku/>
              <w:spacing w:before="216" w:line="220" w:lineRule="auto"/>
              <w:ind w:left="285"/>
              <w:rPr>
                <w:rFonts w:hint="eastAsia"/>
                <w:color w:val="auto"/>
              </w:rPr>
            </w:pPr>
            <w:r>
              <w:rPr>
                <w:color w:val="auto"/>
                <w:spacing w:val="-6"/>
              </w:rPr>
              <w:t>用地面积（</w:t>
            </w:r>
            <w:r>
              <w:rPr>
                <w:rFonts w:ascii="Times New Roman" w:hAnsi="Times New Roman" w:eastAsia="Times New Roman" w:cs="Times New Roman"/>
                <w:color w:val="auto"/>
                <w:spacing w:val="-6"/>
              </w:rPr>
              <w:t>m</w:t>
            </w:r>
            <w:r>
              <w:rPr>
                <w:rFonts w:ascii="Times New Roman" w:hAnsi="Times New Roman" w:eastAsia="Times New Roman" w:cs="Times New Roman"/>
                <w:color w:val="auto"/>
                <w:spacing w:val="-6"/>
                <w:position w:val="7"/>
                <w:sz w:val="15"/>
                <w:szCs w:val="15"/>
              </w:rPr>
              <w:t>2</w:t>
            </w:r>
            <w:r>
              <w:rPr>
                <w:color w:val="auto"/>
                <w:spacing w:val="-6"/>
              </w:rPr>
              <w:t>）</w:t>
            </w:r>
          </w:p>
        </w:tc>
        <w:tc>
          <w:tcPr>
            <w:tcW w:w="3330" w:type="dxa"/>
            <w:gridSpan w:val="2"/>
            <w:tcBorders>
              <w:right w:val="single" w:color="000000" w:sz="6" w:space="0"/>
            </w:tcBorders>
          </w:tcPr>
          <w:p>
            <w:pPr>
              <w:pStyle w:val="22"/>
              <w:kinsoku/>
              <w:spacing w:before="216" w:line="220" w:lineRule="auto"/>
              <w:ind w:left="220"/>
              <w:jc w:val="center"/>
              <w:rPr>
                <w:rFonts w:hint="eastAsia"/>
                <w:color w:val="auto"/>
                <w:lang w:eastAsia="zh-CN"/>
              </w:rPr>
            </w:pPr>
            <w:r>
              <w:rPr>
                <w:rFonts w:hint="eastAsia" w:ascii="Times New Roman" w:hAnsi="Times New Roman" w:cs="Times New Roman"/>
                <w:color w:val="auto"/>
                <w:spacing w:val="-2"/>
                <w:lang w:eastAsia="zh-CN"/>
              </w:rPr>
              <w:t>4437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934" w:type="dxa"/>
            <w:tcBorders>
              <w:left w:val="single" w:color="000000" w:sz="6" w:space="0"/>
            </w:tcBorders>
          </w:tcPr>
          <w:p>
            <w:pPr>
              <w:pStyle w:val="22"/>
              <w:kinsoku/>
              <w:spacing w:before="199" w:line="230" w:lineRule="auto"/>
              <w:ind w:left="848" w:right="125" w:hanging="720"/>
              <w:rPr>
                <w:rFonts w:hint="eastAsia"/>
                <w:color w:val="auto"/>
              </w:rPr>
            </w:pPr>
            <w:r>
              <w:rPr>
                <w:color w:val="auto"/>
                <w:spacing w:val="-2"/>
              </w:rPr>
              <w:t>专项评价设置情</w:t>
            </w:r>
            <w:r>
              <w:rPr>
                <w:color w:val="auto"/>
              </w:rPr>
              <w:t>况</w:t>
            </w:r>
          </w:p>
        </w:tc>
        <w:tc>
          <w:tcPr>
            <w:tcW w:w="7166" w:type="dxa"/>
            <w:gridSpan w:val="4"/>
            <w:tcBorders>
              <w:right w:val="single" w:color="000000" w:sz="6" w:space="0"/>
            </w:tcBorders>
          </w:tcPr>
          <w:p>
            <w:pPr>
              <w:pStyle w:val="22"/>
              <w:kinsoku/>
              <w:spacing w:before="179" w:line="360" w:lineRule="auto"/>
              <w:jc w:val="center"/>
              <w:rPr>
                <w:rFonts w:hint="eastAsia"/>
                <w:b/>
                <w:bCs/>
                <w:color w:val="auto"/>
                <w:spacing w:val="7"/>
                <w:sz w:val="20"/>
                <w:szCs w:val="20"/>
                <w:lang w:eastAsia="zh-CN"/>
              </w:rPr>
            </w:pPr>
            <w:r>
              <w:rPr>
                <w:rFonts w:hint="eastAsia"/>
                <w:b/>
                <w:bCs/>
                <w:color w:val="auto"/>
                <w:spacing w:val="7"/>
                <w:sz w:val="20"/>
                <w:szCs w:val="20"/>
                <w:lang w:eastAsia="zh-CN"/>
              </w:rPr>
              <w:t>表1-1    专项设置原则表</w:t>
            </w:r>
          </w:p>
          <w:tbl>
            <w:tblPr>
              <w:tblStyle w:val="17"/>
              <w:tblW w:w="48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719"/>
              <w:gridCol w:w="2686"/>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pStyle w:val="43"/>
                    <w:spacing w:beforeLines="0"/>
                    <w:rPr>
                      <w:b/>
                      <w:bCs/>
                    </w:rPr>
                  </w:pPr>
                  <w:r>
                    <w:rPr>
                      <w:rFonts w:hint="eastAsia"/>
                      <w:b/>
                      <w:bCs/>
                    </w:rPr>
                    <w:t>专项评价的类别</w:t>
                  </w:r>
                </w:p>
              </w:tc>
              <w:tc>
                <w:tcPr>
                  <w:tcW w:w="1973" w:type="pct"/>
                  <w:vAlign w:val="center"/>
                </w:tcPr>
                <w:p>
                  <w:pPr>
                    <w:pStyle w:val="43"/>
                    <w:spacing w:beforeLines="0"/>
                    <w:rPr>
                      <w:b/>
                      <w:bCs/>
                    </w:rPr>
                  </w:pPr>
                  <w:r>
                    <w:rPr>
                      <w:rFonts w:hint="eastAsia"/>
                      <w:b/>
                      <w:bCs/>
                    </w:rPr>
                    <w:t>设置原则</w:t>
                  </w:r>
                </w:p>
              </w:tc>
              <w:tc>
                <w:tcPr>
                  <w:tcW w:w="1949" w:type="pct"/>
                  <w:vAlign w:val="center"/>
                </w:tcPr>
                <w:p>
                  <w:pPr>
                    <w:pStyle w:val="43"/>
                    <w:spacing w:beforeLines="0"/>
                    <w:rPr>
                      <w:b/>
                      <w:bCs/>
                    </w:rPr>
                  </w:pPr>
                  <w:r>
                    <w:rPr>
                      <w:rFonts w:hint="eastAsia"/>
                      <w:b/>
                      <w:bCs/>
                    </w:rPr>
                    <w:t>本项目情况</w:t>
                  </w:r>
                </w:p>
              </w:tc>
              <w:tc>
                <w:tcPr>
                  <w:tcW w:w="477" w:type="pct"/>
                  <w:vAlign w:val="center"/>
                </w:tcPr>
                <w:p>
                  <w:pPr>
                    <w:pStyle w:val="43"/>
                    <w:spacing w:beforeLines="0"/>
                    <w:rPr>
                      <w:b/>
                      <w:bCs/>
                    </w:rPr>
                  </w:pPr>
                  <w:r>
                    <w:rPr>
                      <w:rFonts w:hint="eastAsia"/>
                      <w:b/>
                      <w:bCs/>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pStyle w:val="43"/>
                    <w:spacing w:beforeLines="0"/>
                  </w:pPr>
                  <w:r>
                    <w:rPr>
                      <w:rFonts w:hint="eastAsia"/>
                    </w:rPr>
                    <w:t>大气</w:t>
                  </w:r>
                </w:p>
              </w:tc>
              <w:tc>
                <w:tcPr>
                  <w:tcW w:w="1973" w:type="pct"/>
                  <w:vAlign w:val="center"/>
                </w:tcPr>
                <w:p>
                  <w:pPr>
                    <w:pStyle w:val="43"/>
                    <w:spacing w:beforeLines="0"/>
                  </w:pPr>
                  <w:r>
                    <w:rPr>
                      <w:rFonts w:hint="eastAsia"/>
                    </w:rPr>
                    <w:t>排放废气含有毒有害污染物</w:t>
                  </w:r>
                  <w:r>
                    <w:rPr>
                      <w:rFonts w:hint="eastAsia"/>
                      <w:vertAlign w:val="superscript"/>
                    </w:rPr>
                    <w:t>1</w:t>
                  </w:r>
                  <w:r>
                    <w:rPr>
                      <w:rFonts w:hint="eastAsia"/>
                    </w:rPr>
                    <w:t>、二噁英、苯并[a]芘、氰化物、氯气且厂界外500米范围内有环境空气保护目标的建设项目</w:t>
                  </w:r>
                </w:p>
              </w:tc>
              <w:tc>
                <w:tcPr>
                  <w:tcW w:w="1949" w:type="pct"/>
                  <w:vAlign w:val="center"/>
                </w:tcPr>
                <w:p>
                  <w:pPr>
                    <w:pStyle w:val="43"/>
                    <w:spacing w:beforeLines="0"/>
                  </w:pPr>
                  <w:r>
                    <w:rPr>
                      <w:rFonts w:hint="eastAsia"/>
                    </w:rPr>
                    <w:t>本项目排放的废气污染物为颗粒物、挥发性有机物等，</w:t>
                  </w:r>
                  <w:r>
                    <w:t>项目排放废气</w:t>
                  </w:r>
                  <w:r>
                    <w:rPr>
                      <w:rFonts w:hint="eastAsia"/>
                    </w:rPr>
                    <w:t>不</w:t>
                  </w:r>
                  <w:r>
                    <w:t>含有毒有害污染物1、二噁英、苯并[a]芘、氰化物、氯气，故不设大气专项评价</w:t>
                  </w:r>
                </w:p>
              </w:tc>
              <w:tc>
                <w:tcPr>
                  <w:tcW w:w="477" w:type="pct"/>
                  <w:vAlign w:val="center"/>
                </w:tcPr>
                <w:p>
                  <w:pPr>
                    <w:pStyle w:val="43"/>
                    <w:spacing w:beforeLines="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pStyle w:val="43"/>
                    <w:spacing w:beforeLines="0"/>
                  </w:pPr>
                  <w:r>
                    <w:rPr>
                      <w:rFonts w:hint="eastAsia"/>
                    </w:rPr>
                    <w:t>地表水</w:t>
                  </w:r>
                </w:p>
              </w:tc>
              <w:tc>
                <w:tcPr>
                  <w:tcW w:w="1973" w:type="pct"/>
                  <w:vAlign w:val="center"/>
                </w:tcPr>
                <w:p>
                  <w:pPr>
                    <w:pStyle w:val="43"/>
                    <w:spacing w:beforeLines="0"/>
                  </w:pPr>
                  <w:r>
                    <w:rPr>
                      <w:rFonts w:hint="eastAsia"/>
                    </w:rPr>
                    <w:t>新增工业废水直排建设项目（槽罐车外送污水处理厂的除外）；新增废水直排的污水集中处理厂</w:t>
                  </w:r>
                </w:p>
              </w:tc>
              <w:tc>
                <w:tcPr>
                  <w:tcW w:w="1949" w:type="pct"/>
                  <w:vAlign w:val="center"/>
                </w:tcPr>
                <w:p>
                  <w:pPr>
                    <w:pStyle w:val="43"/>
                    <w:spacing w:beforeLines="0"/>
                  </w:pPr>
                  <w:r>
                    <w:rPr>
                      <w:rFonts w:hint="eastAsia"/>
                    </w:rPr>
                    <w:t>项目不产生生产废水，项目生活污水进入化粪池处理后进入园区污水管网，最终进入嵩明县第二污水处理厂。</w:t>
                  </w:r>
                </w:p>
              </w:tc>
              <w:tc>
                <w:tcPr>
                  <w:tcW w:w="477" w:type="pct"/>
                  <w:vAlign w:val="center"/>
                </w:tcPr>
                <w:p>
                  <w:pPr>
                    <w:pStyle w:val="43"/>
                    <w:spacing w:beforeLines="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9" w:type="pct"/>
                  <w:vAlign w:val="center"/>
                </w:tcPr>
                <w:p>
                  <w:pPr>
                    <w:pStyle w:val="43"/>
                    <w:spacing w:beforeLines="0"/>
                  </w:pPr>
                  <w:r>
                    <w:rPr>
                      <w:rFonts w:hint="eastAsia"/>
                    </w:rPr>
                    <w:t>环境风险</w:t>
                  </w:r>
                </w:p>
              </w:tc>
              <w:tc>
                <w:tcPr>
                  <w:tcW w:w="1973" w:type="pct"/>
                  <w:vAlign w:val="center"/>
                </w:tcPr>
                <w:p>
                  <w:pPr>
                    <w:pStyle w:val="43"/>
                    <w:spacing w:beforeLines="0"/>
                  </w:pPr>
                  <w:r>
                    <w:rPr>
                      <w:rFonts w:hint="eastAsia"/>
                    </w:rPr>
                    <w:t>有毒有害和易燃易爆危险物质存储量超过临界量</w:t>
                  </w:r>
                  <w:r>
                    <w:rPr>
                      <w:rFonts w:hint="eastAsia"/>
                      <w:vertAlign w:val="superscript"/>
                    </w:rPr>
                    <w:t>3</w:t>
                  </w:r>
                  <w:r>
                    <w:rPr>
                      <w:rFonts w:hint="eastAsia"/>
                    </w:rPr>
                    <w:t>的建设项目</w:t>
                  </w:r>
                </w:p>
              </w:tc>
              <w:tc>
                <w:tcPr>
                  <w:tcW w:w="1949" w:type="pct"/>
                  <w:vAlign w:val="center"/>
                </w:tcPr>
                <w:p>
                  <w:pPr>
                    <w:pStyle w:val="43"/>
                    <w:spacing w:beforeLines="0"/>
                  </w:pPr>
                  <w:r>
                    <w:rPr>
                      <w:rFonts w:hint="eastAsia"/>
                    </w:rPr>
                    <w:t>本项目涉及危险物质主要为废润滑油，项目废润滑油最大储存量0.02t，未超过临界量2500t。</w:t>
                  </w:r>
                </w:p>
              </w:tc>
              <w:tc>
                <w:tcPr>
                  <w:tcW w:w="477" w:type="pct"/>
                  <w:vAlign w:val="center"/>
                </w:tcPr>
                <w:p>
                  <w:pPr>
                    <w:pStyle w:val="43"/>
                    <w:spacing w:beforeLines="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pStyle w:val="43"/>
                    <w:spacing w:beforeLines="0"/>
                  </w:pPr>
                  <w:r>
                    <w:rPr>
                      <w:rFonts w:hint="eastAsia"/>
                    </w:rPr>
                    <w:t>生态</w:t>
                  </w:r>
                </w:p>
              </w:tc>
              <w:tc>
                <w:tcPr>
                  <w:tcW w:w="1973" w:type="pct"/>
                  <w:vAlign w:val="center"/>
                </w:tcPr>
                <w:p>
                  <w:pPr>
                    <w:pStyle w:val="43"/>
                    <w:spacing w:beforeLines="0"/>
                  </w:pPr>
                  <w:r>
                    <w:rPr>
                      <w:rFonts w:hint="eastAsia"/>
                    </w:rPr>
                    <w:t>取水口下游500米范围内有重要水生生物的自然产卵场、索饵场、越冬场和洄游通道的新增河道取水的污染类建设项目</w:t>
                  </w:r>
                </w:p>
              </w:tc>
              <w:tc>
                <w:tcPr>
                  <w:tcW w:w="1949" w:type="pct"/>
                  <w:vAlign w:val="center"/>
                </w:tcPr>
                <w:p>
                  <w:pPr>
                    <w:pStyle w:val="43"/>
                    <w:spacing w:beforeLines="0"/>
                  </w:pPr>
                  <w:r>
                    <w:rPr>
                      <w:rFonts w:hint="eastAsia"/>
                    </w:rPr>
                    <w:t>本项目用水来自自来水，不从河道直接取水</w:t>
                  </w:r>
                </w:p>
              </w:tc>
              <w:tc>
                <w:tcPr>
                  <w:tcW w:w="477" w:type="pct"/>
                  <w:vAlign w:val="center"/>
                </w:tcPr>
                <w:p>
                  <w:pPr>
                    <w:pStyle w:val="43"/>
                    <w:spacing w:beforeLines="0"/>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pStyle w:val="43"/>
                    <w:spacing w:beforeLines="0"/>
                  </w:pPr>
                  <w:r>
                    <w:rPr>
                      <w:rFonts w:hint="eastAsia"/>
                    </w:rPr>
                    <w:t>海洋</w:t>
                  </w:r>
                </w:p>
              </w:tc>
              <w:tc>
                <w:tcPr>
                  <w:tcW w:w="1973" w:type="pct"/>
                  <w:vAlign w:val="center"/>
                </w:tcPr>
                <w:p>
                  <w:pPr>
                    <w:pStyle w:val="43"/>
                    <w:spacing w:beforeLines="0"/>
                  </w:pPr>
                  <w:r>
                    <w:rPr>
                      <w:rFonts w:hint="eastAsia"/>
                    </w:rPr>
                    <w:t>直接向海排放污染物的海洋工程建设项目</w:t>
                  </w:r>
                </w:p>
              </w:tc>
              <w:tc>
                <w:tcPr>
                  <w:tcW w:w="1949" w:type="pct"/>
                  <w:vAlign w:val="center"/>
                </w:tcPr>
                <w:p>
                  <w:pPr>
                    <w:pStyle w:val="43"/>
                    <w:spacing w:beforeLines="0"/>
                  </w:pPr>
                  <w:r>
                    <w:rPr>
                      <w:rFonts w:hint="eastAsia"/>
                    </w:rPr>
                    <w:t>本项目不涉及海洋工程</w:t>
                  </w:r>
                </w:p>
              </w:tc>
              <w:tc>
                <w:tcPr>
                  <w:tcW w:w="477" w:type="pct"/>
                  <w:vAlign w:val="center"/>
                </w:tcPr>
                <w:p>
                  <w:pPr>
                    <w:pStyle w:val="43"/>
                    <w:spacing w:beforeLines="0"/>
                  </w:pPr>
                  <w:r>
                    <w:rPr>
                      <w:rFonts w:hint="eastAsia"/>
                    </w:rPr>
                    <w:t>否</w:t>
                  </w:r>
                </w:p>
              </w:tc>
            </w:tr>
          </w:tbl>
          <w:p>
            <w:pPr>
              <w:pStyle w:val="22"/>
              <w:kinsoku/>
              <w:spacing w:before="46" w:line="339" w:lineRule="auto"/>
              <w:ind w:left="121" w:right="336" w:firstLine="469"/>
              <w:rPr>
                <w:rFonts w:hint="eastAsia"/>
                <w:color w:val="auto"/>
                <w:lang w:eastAsia="zh-CN"/>
              </w:rPr>
            </w:pPr>
            <w:r>
              <w:rPr>
                <w:rFonts w:hint="eastAsia"/>
                <w:color w:val="auto"/>
                <w:lang w:eastAsia="zh-CN"/>
              </w:rPr>
              <w:t>综上所述，根据对照结果可知，本项目不涉及专项评价。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934" w:type="dxa"/>
            <w:tcBorders>
              <w:left w:val="single" w:color="000000" w:sz="6" w:space="0"/>
            </w:tcBorders>
            <w:vAlign w:val="center"/>
          </w:tcPr>
          <w:p>
            <w:pPr>
              <w:pStyle w:val="22"/>
              <w:kinsoku/>
              <w:spacing w:before="78" w:line="220" w:lineRule="auto"/>
              <w:jc w:val="center"/>
              <w:rPr>
                <w:rFonts w:hint="eastAsia"/>
                <w:color w:val="auto"/>
              </w:rPr>
            </w:pPr>
            <w:r>
              <w:rPr>
                <w:color w:val="auto"/>
                <w:spacing w:val="-3"/>
              </w:rPr>
              <w:t>规划情况</w:t>
            </w:r>
          </w:p>
        </w:tc>
        <w:tc>
          <w:tcPr>
            <w:tcW w:w="7166" w:type="dxa"/>
            <w:gridSpan w:val="4"/>
            <w:tcBorders>
              <w:right w:val="single" w:color="000000" w:sz="6" w:space="0"/>
            </w:tcBorders>
          </w:tcPr>
          <w:p>
            <w:pPr>
              <w:pStyle w:val="22"/>
              <w:kinsoku/>
              <w:spacing w:before="47" w:line="345" w:lineRule="auto"/>
              <w:ind w:left="108" w:right="276" w:firstLine="486"/>
              <w:jc w:val="both"/>
              <w:rPr>
                <w:rFonts w:hint="eastAsia"/>
                <w:color w:val="auto"/>
                <w:lang w:eastAsia="zh-CN"/>
              </w:rPr>
            </w:pPr>
            <w:r>
              <w:rPr>
                <w:rFonts w:hint="eastAsia"/>
                <w:color w:val="auto"/>
                <w:spacing w:val="-1"/>
                <w:lang w:eastAsia="zh-CN"/>
              </w:rPr>
              <w:t>规划名称：</w:t>
            </w:r>
            <w:r>
              <w:rPr>
                <w:color w:val="auto"/>
                <w:spacing w:val="-1"/>
                <w:lang w:eastAsia="zh-CN"/>
              </w:rPr>
              <w:t>《云南嵩明杨林工业园区总体规划修改</w:t>
            </w:r>
            <w:r>
              <w:rPr>
                <w:rFonts w:ascii="Times New Roman" w:hAnsi="Times New Roman" w:eastAsia="Times New Roman" w:cs="Times New Roman"/>
                <w:color w:val="auto"/>
                <w:spacing w:val="-1"/>
                <w:lang w:eastAsia="zh-CN"/>
              </w:rPr>
              <w:t>(2018-2035</w:t>
            </w:r>
            <w:r>
              <w:rPr>
                <w:color w:val="auto"/>
                <w:spacing w:val="-1"/>
                <w:lang w:eastAsia="zh-CN"/>
              </w:rPr>
              <w:t>年</w:t>
            </w:r>
            <w:r>
              <w:rPr>
                <w:rFonts w:ascii="Times New Roman" w:hAnsi="Times New Roman" w:eastAsia="Times New Roman" w:cs="Times New Roman"/>
                <w:color w:val="auto"/>
                <w:spacing w:val="-1"/>
                <w:lang w:eastAsia="zh-CN"/>
              </w:rPr>
              <w:t>)</w:t>
            </w:r>
            <w:r>
              <w:rPr>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5" w:hRule="atLeast"/>
        </w:trPr>
        <w:tc>
          <w:tcPr>
            <w:tcW w:w="1934" w:type="dxa"/>
            <w:tcBorders>
              <w:left w:val="single" w:color="000000" w:sz="6" w:space="0"/>
            </w:tcBorders>
            <w:vAlign w:val="center"/>
          </w:tcPr>
          <w:p>
            <w:pPr>
              <w:pStyle w:val="22"/>
              <w:kinsoku/>
              <w:spacing w:before="205" w:line="228" w:lineRule="auto"/>
              <w:ind w:left="486" w:right="245" w:hanging="238"/>
              <w:jc w:val="center"/>
              <w:rPr>
                <w:rFonts w:hint="eastAsia"/>
                <w:color w:val="auto"/>
                <w:lang w:eastAsia="zh-CN"/>
              </w:rPr>
            </w:pPr>
            <w:r>
              <w:rPr>
                <w:color w:val="auto"/>
                <w:spacing w:val="-2"/>
                <w:lang w:eastAsia="zh-CN"/>
              </w:rPr>
              <w:t>规划环境影响</w:t>
            </w:r>
            <w:r>
              <w:rPr>
                <w:color w:val="auto"/>
                <w:spacing w:val="-3"/>
                <w:lang w:eastAsia="zh-CN"/>
              </w:rPr>
              <w:t>评价情况</w:t>
            </w:r>
          </w:p>
        </w:tc>
        <w:tc>
          <w:tcPr>
            <w:tcW w:w="7166" w:type="dxa"/>
            <w:gridSpan w:val="4"/>
            <w:tcBorders>
              <w:right w:val="single" w:color="000000" w:sz="6" w:space="0"/>
            </w:tcBorders>
          </w:tcPr>
          <w:p>
            <w:pPr>
              <w:pStyle w:val="22"/>
              <w:kinsoku/>
              <w:spacing w:before="48" w:line="343" w:lineRule="auto"/>
              <w:ind w:left="118" w:right="103" w:firstLine="483"/>
              <w:rPr>
                <w:rFonts w:hint="eastAsia"/>
                <w:color w:val="auto"/>
                <w:spacing w:val="7"/>
                <w:lang w:eastAsia="zh-CN"/>
              </w:rPr>
            </w:pPr>
            <w:r>
              <w:rPr>
                <w:rFonts w:hint="eastAsia"/>
                <w:color w:val="auto"/>
                <w:spacing w:val="8"/>
                <w:lang w:eastAsia="zh-CN"/>
              </w:rPr>
              <w:t>规划环评文件名称：</w:t>
            </w:r>
            <w:r>
              <w:rPr>
                <w:color w:val="auto"/>
                <w:spacing w:val="6"/>
                <w:lang w:eastAsia="zh-CN"/>
              </w:rPr>
              <w:t>《云南嵩明杨林工业园区总体规划修改</w:t>
            </w:r>
            <w:r>
              <w:rPr>
                <w:rFonts w:ascii="Times New Roman" w:hAnsi="Times New Roman" w:eastAsia="Times New Roman" w:cs="Times New Roman"/>
                <w:color w:val="auto"/>
                <w:spacing w:val="6"/>
                <w:lang w:eastAsia="zh-CN"/>
              </w:rPr>
              <w:t>(2018-2035</w:t>
            </w:r>
            <w:r>
              <w:rPr>
                <w:color w:val="auto"/>
                <w:spacing w:val="6"/>
                <w:lang w:eastAsia="zh-CN"/>
              </w:rPr>
              <w:t>年</w:t>
            </w:r>
            <w:r>
              <w:rPr>
                <w:rFonts w:ascii="Times New Roman" w:hAnsi="Times New Roman" w:eastAsia="Times New Roman" w:cs="Times New Roman"/>
                <w:color w:val="auto"/>
                <w:spacing w:val="6"/>
                <w:lang w:eastAsia="zh-CN"/>
              </w:rPr>
              <w:t>)</w:t>
            </w:r>
            <w:r>
              <w:rPr>
                <w:color w:val="auto"/>
                <w:spacing w:val="6"/>
                <w:lang w:eastAsia="zh-CN"/>
              </w:rPr>
              <w:t>环</w:t>
            </w:r>
            <w:r>
              <w:rPr>
                <w:color w:val="auto"/>
                <w:spacing w:val="7"/>
                <w:lang w:eastAsia="zh-CN"/>
              </w:rPr>
              <w:t>境影响报告书》</w:t>
            </w:r>
          </w:p>
          <w:p>
            <w:pPr>
              <w:pStyle w:val="22"/>
              <w:kinsoku/>
              <w:spacing w:before="27" w:line="350" w:lineRule="auto"/>
              <w:ind w:left="336" w:leftChars="160" w:right="103" w:firstLine="489" w:firstLineChars="199"/>
              <w:jc w:val="both"/>
              <w:rPr>
                <w:rFonts w:hint="eastAsia"/>
                <w:color w:val="auto"/>
                <w:spacing w:val="3"/>
                <w:lang w:eastAsia="zh-CN"/>
              </w:rPr>
            </w:pPr>
            <w:r>
              <w:rPr>
                <w:rFonts w:hint="eastAsia"/>
                <w:color w:val="auto"/>
                <w:spacing w:val="3"/>
                <w:lang w:eastAsia="zh-CN"/>
              </w:rPr>
              <w:t>审查机关：</w:t>
            </w:r>
            <w:r>
              <w:rPr>
                <w:color w:val="auto"/>
                <w:spacing w:val="3"/>
                <w:lang w:eastAsia="zh-CN"/>
              </w:rPr>
              <w:t>云南省生态环境厅</w:t>
            </w:r>
          </w:p>
          <w:p>
            <w:pPr>
              <w:pStyle w:val="22"/>
              <w:kinsoku/>
              <w:spacing w:before="27" w:line="350" w:lineRule="auto"/>
              <w:ind w:left="336" w:leftChars="160" w:right="103" w:firstLine="489" w:firstLineChars="199"/>
              <w:jc w:val="both"/>
              <w:rPr>
                <w:rFonts w:hint="eastAsia"/>
                <w:color w:val="auto"/>
                <w:lang w:eastAsia="zh-CN"/>
              </w:rPr>
            </w:pPr>
            <w:r>
              <w:rPr>
                <w:rFonts w:hint="eastAsia"/>
                <w:color w:val="auto"/>
                <w:spacing w:val="3"/>
                <w:lang w:eastAsia="zh-CN"/>
              </w:rPr>
              <w:t>审查文件名称及文号：</w:t>
            </w:r>
            <w:r>
              <w:rPr>
                <w:color w:val="auto"/>
                <w:spacing w:val="3"/>
                <w:lang w:eastAsia="zh-CN"/>
              </w:rPr>
              <w:t>《云</w:t>
            </w:r>
            <w:r>
              <w:rPr>
                <w:color w:val="auto"/>
                <w:spacing w:val="14"/>
                <w:lang w:eastAsia="zh-CN"/>
              </w:rPr>
              <w:t>南嵩明杨林工业园区总体规划修改</w:t>
            </w:r>
            <w:r>
              <w:rPr>
                <w:rFonts w:ascii="Times New Roman" w:hAnsi="Times New Roman" w:eastAsia="Times New Roman" w:cs="Times New Roman"/>
                <w:color w:val="auto"/>
                <w:spacing w:val="14"/>
                <w:lang w:eastAsia="zh-CN"/>
              </w:rPr>
              <w:t>(2018-2035</w:t>
            </w:r>
            <w:r>
              <w:rPr>
                <w:color w:val="auto"/>
                <w:spacing w:val="14"/>
                <w:lang w:eastAsia="zh-CN"/>
              </w:rPr>
              <w:t>年</w:t>
            </w:r>
            <w:r>
              <w:rPr>
                <w:rFonts w:ascii="Times New Roman" w:hAnsi="Times New Roman" w:eastAsia="Times New Roman" w:cs="Times New Roman"/>
                <w:color w:val="auto"/>
                <w:spacing w:val="14"/>
                <w:lang w:eastAsia="zh-CN"/>
              </w:rPr>
              <w:t>)</w:t>
            </w:r>
            <w:r>
              <w:rPr>
                <w:color w:val="auto"/>
                <w:spacing w:val="14"/>
                <w:lang w:eastAsia="zh-CN"/>
              </w:rPr>
              <w:t>环境影</w:t>
            </w:r>
            <w:r>
              <w:rPr>
                <w:color w:val="auto"/>
                <w:spacing w:val="13"/>
                <w:lang w:eastAsia="zh-CN"/>
              </w:rPr>
              <w:t>响报告</w:t>
            </w:r>
            <w:r>
              <w:rPr>
                <w:color w:val="auto"/>
                <w:spacing w:val="-1"/>
                <w:lang w:eastAsia="zh-CN"/>
              </w:rPr>
              <w:t>书》审查意见的函（云环函</w:t>
            </w:r>
            <w:r>
              <w:rPr>
                <w:rFonts w:hint="eastAsia"/>
                <w:color w:val="auto"/>
                <w:spacing w:val="-1"/>
                <w:lang w:eastAsia="zh-CN"/>
              </w:rPr>
              <w:t>〔2019〕253号</w:t>
            </w:r>
            <w:r>
              <w:rPr>
                <w:color w:val="auto"/>
                <w:spacing w:val="-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3" w:hRule="atLeast"/>
        </w:trPr>
        <w:tc>
          <w:tcPr>
            <w:tcW w:w="1933" w:type="dxa"/>
            <w:tcBorders>
              <w:left w:val="single" w:color="000000" w:sz="6" w:space="0"/>
            </w:tcBorders>
            <w:vAlign w:val="center"/>
          </w:tcPr>
          <w:p>
            <w:pPr>
              <w:pStyle w:val="22"/>
              <w:kinsoku/>
              <w:spacing w:before="78" w:line="220" w:lineRule="auto"/>
              <w:jc w:val="center"/>
              <w:rPr>
                <w:rFonts w:hint="eastAsia"/>
                <w:color w:val="auto"/>
                <w:lang w:eastAsia="zh-CN"/>
              </w:rPr>
            </w:pPr>
            <w:r>
              <w:rPr>
                <w:color w:val="auto"/>
                <w:spacing w:val="-2"/>
                <w:lang w:eastAsia="zh-CN"/>
              </w:rPr>
              <w:t>规划及规划环境</w:t>
            </w:r>
          </w:p>
          <w:p>
            <w:pPr>
              <w:pStyle w:val="22"/>
              <w:kinsoku/>
              <w:spacing w:before="25" w:line="218" w:lineRule="auto"/>
              <w:jc w:val="center"/>
              <w:rPr>
                <w:rFonts w:hint="eastAsia"/>
                <w:color w:val="auto"/>
                <w:lang w:eastAsia="zh-CN"/>
              </w:rPr>
            </w:pPr>
            <w:r>
              <w:rPr>
                <w:color w:val="auto"/>
                <w:spacing w:val="-2"/>
                <w:lang w:eastAsia="zh-CN"/>
              </w:rPr>
              <w:t>影响评价符合性</w:t>
            </w:r>
          </w:p>
          <w:p>
            <w:pPr>
              <w:pStyle w:val="22"/>
              <w:kinsoku/>
              <w:spacing w:before="26" w:line="220" w:lineRule="auto"/>
              <w:jc w:val="center"/>
              <w:rPr>
                <w:rFonts w:hint="eastAsia"/>
                <w:color w:val="auto"/>
              </w:rPr>
            </w:pPr>
            <w:r>
              <w:rPr>
                <w:color w:val="auto"/>
                <w:spacing w:val="-7"/>
              </w:rPr>
              <w:t>分析</w:t>
            </w:r>
          </w:p>
        </w:tc>
        <w:tc>
          <w:tcPr>
            <w:tcW w:w="7167" w:type="dxa"/>
            <w:gridSpan w:val="4"/>
            <w:tcBorders>
              <w:right w:val="single" w:color="000000" w:sz="6" w:space="0"/>
            </w:tcBorders>
          </w:tcPr>
          <w:p>
            <w:pPr>
              <w:kinsoku/>
              <w:spacing w:line="360" w:lineRule="auto"/>
              <w:ind w:firstLine="509" w:firstLineChars="200"/>
              <w:rPr>
                <w:rFonts w:hint="eastAsia" w:ascii="宋体" w:hAnsi="宋体" w:eastAsia="宋体" w:cs="宋体"/>
                <w:b/>
                <w:bCs/>
                <w:color w:val="auto"/>
                <w:spacing w:val="7"/>
                <w:sz w:val="24"/>
                <w:szCs w:val="24"/>
                <w:lang w:eastAsia="zh-CN"/>
              </w:rPr>
            </w:pPr>
            <w:r>
              <w:rPr>
                <w:rFonts w:ascii="宋体" w:hAnsi="宋体" w:eastAsia="宋体" w:cs="宋体"/>
                <w:b/>
                <w:bCs/>
                <w:color w:val="auto"/>
                <w:spacing w:val="7"/>
                <w:sz w:val="24"/>
                <w:szCs w:val="24"/>
                <w:lang w:eastAsia="zh-CN"/>
              </w:rPr>
              <w:t>1</w:t>
            </w:r>
            <w:r>
              <w:rPr>
                <w:rFonts w:hint="eastAsia" w:ascii="宋体" w:hAnsi="宋体" w:eastAsia="宋体" w:cs="宋体"/>
                <w:b/>
                <w:bCs/>
                <w:color w:val="auto"/>
                <w:spacing w:val="7"/>
                <w:sz w:val="24"/>
                <w:szCs w:val="24"/>
                <w:lang w:eastAsia="zh-CN"/>
              </w:rPr>
              <w:t>、与《云南嵩明杨林工业园区总体规划修改（</w:t>
            </w:r>
            <w:r>
              <w:rPr>
                <w:rFonts w:ascii="宋体" w:hAnsi="宋体" w:eastAsia="宋体" w:cs="宋体"/>
                <w:b/>
                <w:bCs/>
                <w:color w:val="auto"/>
                <w:spacing w:val="7"/>
                <w:sz w:val="24"/>
                <w:szCs w:val="24"/>
                <w:lang w:eastAsia="zh-CN"/>
              </w:rPr>
              <w:t>2018-2035</w:t>
            </w:r>
            <w:r>
              <w:rPr>
                <w:rFonts w:hint="eastAsia" w:ascii="宋体" w:hAnsi="宋体" w:eastAsia="宋体" w:cs="宋体"/>
                <w:b/>
                <w:bCs/>
                <w:color w:val="auto"/>
                <w:spacing w:val="7"/>
                <w:sz w:val="24"/>
                <w:szCs w:val="24"/>
                <w:lang w:eastAsia="zh-CN"/>
              </w:rPr>
              <w:t>）》的符合性分析</w:t>
            </w:r>
          </w:p>
          <w:p>
            <w:pPr>
              <w:kinsoku/>
              <w:spacing w:line="360" w:lineRule="auto"/>
              <w:ind w:firstLine="504" w:firstLineChars="200"/>
              <w:rPr>
                <w:rFonts w:ascii="Times New Roman" w:hAnsi="Times New Roman" w:eastAsia="宋体" w:cs="Times New Roman"/>
                <w:color w:val="auto"/>
                <w:spacing w:val="6"/>
                <w:sz w:val="24"/>
                <w:szCs w:val="24"/>
                <w:lang w:eastAsia="zh-CN"/>
              </w:rPr>
            </w:pPr>
            <w:r>
              <w:rPr>
                <w:rFonts w:ascii="Times New Roman" w:hAnsi="Times New Roman" w:eastAsia="宋体" w:cs="Times New Roman"/>
                <w:color w:val="auto"/>
                <w:spacing w:val="6"/>
                <w:sz w:val="24"/>
                <w:szCs w:val="24"/>
                <w:lang w:eastAsia="zh-CN"/>
              </w:rPr>
              <w:t>本项目位于</w:t>
            </w:r>
            <w:r>
              <w:rPr>
                <w:rFonts w:hint="eastAsia" w:ascii="Times New Roman" w:hAnsi="Times New Roman" w:eastAsia="宋体" w:cs="Times New Roman"/>
                <w:color w:val="auto"/>
                <w:spacing w:val="6"/>
                <w:sz w:val="24"/>
                <w:szCs w:val="24"/>
                <w:lang w:eastAsia="zh-CN"/>
              </w:rPr>
              <w:t>云南嵩明杨林工业园区东环路68号附3号</w:t>
            </w:r>
            <w:r>
              <w:rPr>
                <w:rFonts w:ascii="Times New Roman" w:hAnsi="Times New Roman" w:eastAsia="宋体" w:cs="Times New Roman"/>
                <w:color w:val="auto"/>
                <w:spacing w:val="6"/>
                <w:sz w:val="24"/>
                <w:szCs w:val="24"/>
                <w:lang w:eastAsia="zh-CN"/>
              </w:rPr>
              <w:t>，用地属于工业用地，根据《云南嵩明杨林工业园区总体规划修改（2018-2035）》，该总体规划修改后仍然包含杨林综合片区和小街片区，本项目位于杨林综合片区，杨林综合片区主要布局以汽车制造及零部件配套产业，新能源汽车产业、数控机床等为主的先进装备制造业、新材料产业和现代服务业。其产业发展组团分为：先进装备制造（汽车、数控机床产业）组团、中央商务服务组团、现代物流组团、新材料综合组团、节能环保业组团和金属制品制造业组团。本项目位于新材料综合组团，该组团主要是目前现有片区企业产业混杂，目前以新型钢结构材料、橡胶、新型塑料合金、焊材生产企业为主，发展方向为现有企业应瞄准行业前沿，加强生产工业、材料性能方面的科技创新，强化自主研发能力，形成产业链。除现有企业的转型升级外，将有选择的引进新型合金材料、节能环保材料，蓄电导电材料等产业。</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color w:val="auto"/>
                <w:spacing w:val="-1"/>
                <w:sz w:val="24"/>
                <w:szCs w:val="24"/>
                <w:lang w:eastAsia="zh-CN"/>
              </w:rPr>
              <w:t>《云南嵩明杨林工业园区总体规划修改（</w:t>
            </w:r>
            <w:r>
              <w:rPr>
                <w:rFonts w:ascii="Times New Roman" w:hAnsi="Times New Roman" w:eastAsia="宋体" w:cs="Times New Roman"/>
                <w:color w:val="auto"/>
                <w:spacing w:val="-1"/>
                <w:sz w:val="24"/>
                <w:szCs w:val="24"/>
                <w:lang w:eastAsia="zh-CN"/>
              </w:rPr>
              <w:t>2018-2035</w:t>
            </w:r>
            <w:r>
              <w:rPr>
                <w:rFonts w:hint="eastAsia" w:ascii="Times New Roman" w:hAnsi="Times New Roman" w:eastAsia="宋体" w:cs="Times New Roman"/>
                <w:color w:val="auto"/>
                <w:spacing w:val="-1"/>
                <w:sz w:val="24"/>
                <w:szCs w:val="24"/>
                <w:lang w:eastAsia="zh-CN"/>
              </w:rPr>
              <w:t>）》入园禁止类有以下4种：</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color w:val="auto"/>
                <w:spacing w:val="-1"/>
                <w:sz w:val="24"/>
                <w:szCs w:val="24"/>
                <w:lang w:eastAsia="zh-CN"/>
              </w:rPr>
              <w:t>（</w:t>
            </w:r>
            <w:r>
              <w:rPr>
                <w:rFonts w:ascii="Times New Roman" w:hAnsi="Times New Roman" w:eastAsia="宋体" w:cs="Times New Roman"/>
                <w:color w:val="auto"/>
                <w:spacing w:val="-1"/>
                <w:sz w:val="24"/>
                <w:szCs w:val="24"/>
                <w:lang w:eastAsia="zh-CN"/>
              </w:rPr>
              <w:t>1</w:t>
            </w:r>
            <w:r>
              <w:rPr>
                <w:rFonts w:hint="eastAsia" w:ascii="Times New Roman" w:hAnsi="Times New Roman" w:eastAsia="宋体" w:cs="Times New Roman"/>
                <w:color w:val="auto"/>
                <w:spacing w:val="-1"/>
                <w:sz w:val="24"/>
                <w:szCs w:val="24"/>
                <w:lang w:eastAsia="zh-CN"/>
              </w:rPr>
              <w:t xml:space="preserve">）国家和云南省产业结构调整指导目录中明令淘汰和禁止的工艺落后、污染严重的产业，排污量较大的产业（项目）； </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color w:val="auto"/>
                <w:spacing w:val="-1"/>
                <w:sz w:val="24"/>
                <w:szCs w:val="24"/>
                <w:lang w:eastAsia="zh-CN"/>
              </w:rPr>
              <w:t>（</w:t>
            </w:r>
            <w:r>
              <w:rPr>
                <w:rFonts w:ascii="Times New Roman" w:hAnsi="Times New Roman" w:eastAsia="宋体" w:cs="Times New Roman"/>
                <w:color w:val="auto"/>
                <w:spacing w:val="-1"/>
                <w:sz w:val="24"/>
                <w:szCs w:val="24"/>
                <w:lang w:eastAsia="zh-CN"/>
              </w:rPr>
              <w:t>2</w:t>
            </w:r>
            <w:r>
              <w:rPr>
                <w:rFonts w:hint="eastAsia" w:ascii="Times New Roman" w:hAnsi="Times New Roman" w:eastAsia="宋体" w:cs="Times New Roman"/>
                <w:color w:val="auto"/>
                <w:spacing w:val="-1"/>
                <w:sz w:val="24"/>
                <w:szCs w:val="24"/>
                <w:lang w:eastAsia="zh-CN"/>
              </w:rPr>
              <w:t xml:space="preserve">）单位产品能耗、物耗、污染物产生量和排放量等清洁生产指标达不到国内平均水平的产业（项目）；资源综合利用率低、产生废物量大，且按近期技术水平不能综合利用的行业；高耗水且排放污水、废液按现有技术经济无法治理或妥善处置的产业。 </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color w:val="auto"/>
                <w:spacing w:val="-1"/>
                <w:sz w:val="24"/>
                <w:szCs w:val="24"/>
                <w:lang w:eastAsia="zh-CN"/>
              </w:rPr>
              <w:t>（</w:t>
            </w:r>
            <w:r>
              <w:rPr>
                <w:rFonts w:ascii="Times New Roman" w:hAnsi="Times New Roman" w:eastAsia="宋体" w:cs="Times New Roman"/>
                <w:color w:val="auto"/>
                <w:spacing w:val="-1"/>
                <w:sz w:val="24"/>
                <w:szCs w:val="24"/>
                <w:lang w:eastAsia="zh-CN"/>
              </w:rPr>
              <w:t>3</w:t>
            </w:r>
            <w:r>
              <w:rPr>
                <w:rFonts w:hint="eastAsia" w:ascii="Times New Roman" w:hAnsi="Times New Roman" w:eastAsia="宋体" w:cs="Times New Roman"/>
                <w:color w:val="auto"/>
                <w:spacing w:val="-1"/>
                <w:sz w:val="24"/>
                <w:szCs w:val="24"/>
                <w:lang w:eastAsia="zh-CN"/>
              </w:rPr>
              <w:t xml:space="preserve">）禁止入驻企业对杨林职教园、杨林集镇、居民点、周边地表水体及嵩明县城市环境空气质量有影响的大气污染型产业。 </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color w:val="auto"/>
                <w:spacing w:val="-1"/>
                <w:sz w:val="24"/>
                <w:szCs w:val="24"/>
                <w:lang w:eastAsia="zh-CN"/>
              </w:rPr>
              <w:t>（</w:t>
            </w:r>
            <w:r>
              <w:rPr>
                <w:rFonts w:ascii="Times New Roman" w:hAnsi="Times New Roman" w:eastAsia="宋体" w:cs="Times New Roman"/>
                <w:color w:val="auto"/>
                <w:spacing w:val="-1"/>
                <w:sz w:val="24"/>
                <w:szCs w:val="24"/>
                <w:lang w:eastAsia="zh-CN"/>
              </w:rPr>
              <w:t>4</w:t>
            </w:r>
            <w:r>
              <w:rPr>
                <w:rFonts w:hint="eastAsia" w:ascii="Times New Roman" w:hAnsi="Times New Roman" w:eastAsia="宋体" w:cs="Times New Roman"/>
                <w:color w:val="auto"/>
                <w:spacing w:val="-1"/>
                <w:sz w:val="24"/>
                <w:szCs w:val="24"/>
                <w:lang w:eastAsia="zh-CN"/>
              </w:rPr>
              <w:t>）其他不符合园区总体规划和环保要求的企业（项目）。</w:t>
            </w:r>
          </w:p>
          <w:p>
            <w:pPr>
              <w:kinsoku/>
              <w:spacing w:line="360" w:lineRule="auto"/>
              <w:ind w:firstLine="476" w:firstLineChars="200"/>
              <w:rPr>
                <w:rFonts w:ascii="Times New Roman" w:hAnsi="Times New Roman" w:eastAsia="宋体" w:cs="Times New Roman"/>
                <w:color w:val="auto"/>
                <w:spacing w:val="6"/>
                <w:sz w:val="24"/>
                <w:szCs w:val="24"/>
                <w:lang w:eastAsia="zh-CN"/>
              </w:rPr>
            </w:pPr>
            <w:r>
              <w:rPr>
                <w:rFonts w:hint="eastAsia" w:ascii="Times New Roman" w:hAnsi="Times New Roman" w:eastAsia="宋体" w:cs="Times New Roman"/>
                <w:color w:val="auto"/>
                <w:spacing w:val="-1"/>
                <w:sz w:val="24"/>
                <w:szCs w:val="24"/>
                <w:lang w:eastAsia="zh-CN"/>
              </w:rPr>
              <w:t>根据</w:t>
            </w:r>
            <w:r>
              <w:rPr>
                <w:rFonts w:ascii="Times New Roman" w:hAnsi="Times New Roman" w:eastAsia="宋体" w:cs="Times New Roman"/>
                <w:color w:val="auto"/>
                <w:spacing w:val="-1"/>
                <w:sz w:val="24"/>
                <w:szCs w:val="24"/>
                <w:lang w:eastAsia="zh-CN"/>
              </w:rPr>
              <w:t>本项目行业类别属于家具制造，不属于园区禁止</w:t>
            </w:r>
            <w:r>
              <w:rPr>
                <w:rFonts w:ascii="Times New Roman" w:hAnsi="Times New Roman" w:eastAsia="宋体" w:cs="Times New Roman"/>
                <w:color w:val="auto"/>
                <w:spacing w:val="6"/>
                <w:sz w:val="24"/>
                <w:szCs w:val="24"/>
                <w:lang w:eastAsia="zh-CN"/>
              </w:rPr>
              <w:t>入园产业，与</w:t>
            </w:r>
            <w:r>
              <w:rPr>
                <w:rFonts w:ascii="Times New Roman" w:hAnsi="Times New Roman" w:eastAsia="宋体" w:cs="Times New Roman"/>
                <w:color w:val="auto"/>
                <w:spacing w:val="8"/>
                <w:sz w:val="24"/>
                <w:szCs w:val="24"/>
                <w:lang w:eastAsia="zh-CN"/>
              </w:rPr>
              <w:t>杨林综合片区新材料综合组团</w:t>
            </w:r>
            <w:r>
              <w:rPr>
                <w:rFonts w:ascii="Times New Roman" w:hAnsi="Times New Roman" w:eastAsia="宋体" w:cs="Times New Roman"/>
                <w:color w:val="auto"/>
                <w:spacing w:val="6"/>
                <w:sz w:val="24"/>
                <w:szCs w:val="24"/>
                <w:lang w:eastAsia="zh-CN"/>
              </w:rPr>
              <w:t>产业发展方向不冲突。</w:t>
            </w:r>
          </w:p>
          <w:p>
            <w:pPr>
              <w:kinsoku/>
              <w:spacing w:line="360" w:lineRule="auto"/>
              <w:ind w:firstLine="512"/>
              <w:rPr>
                <w:rFonts w:ascii="Times New Roman" w:hAnsi="Times New Roman" w:eastAsia="宋体" w:cs="Times New Roman"/>
                <w:b/>
                <w:color w:val="auto"/>
                <w:spacing w:val="7"/>
                <w:sz w:val="24"/>
                <w:szCs w:val="24"/>
                <w:lang w:eastAsia="zh-CN"/>
              </w:rPr>
            </w:pPr>
            <w:r>
              <w:rPr>
                <w:rFonts w:ascii="Times New Roman" w:hAnsi="Times New Roman" w:eastAsia="宋体" w:cs="Times New Roman"/>
                <w:b/>
                <w:color w:val="auto"/>
                <w:spacing w:val="7"/>
                <w:sz w:val="24"/>
                <w:szCs w:val="24"/>
                <w:lang w:eastAsia="zh-CN"/>
              </w:rPr>
              <w:t>2、与《云南嵩明杨林工业园区总体规划修改（2018-2035）环境影响报告书》的符合性分析</w:t>
            </w:r>
          </w:p>
          <w:p>
            <w:pPr>
              <w:kinsoku/>
              <w:spacing w:line="360" w:lineRule="auto"/>
              <w:ind w:firstLine="476" w:firstLineChars="200"/>
              <w:rPr>
                <w:rFonts w:ascii="Times New Roman" w:hAnsi="Times New Roman" w:eastAsia="宋体" w:cs="Times New Roman"/>
                <w:color w:val="auto"/>
                <w:spacing w:val="-1"/>
                <w:sz w:val="24"/>
                <w:szCs w:val="24"/>
                <w:lang w:eastAsia="zh-CN"/>
              </w:rPr>
            </w:pPr>
            <w:r>
              <w:rPr>
                <w:rFonts w:ascii="Times New Roman" w:hAnsi="Times New Roman" w:eastAsia="宋体" w:cs="Times New Roman"/>
                <w:color w:val="auto"/>
                <w:spacing w:val="-1"/>
                <w:sz w:val="24"/>
                <w:szCs w:val="24"/>
                <w:lang w:eastAsia="zh-CN"/>
              </w:rPr>
              <w:t>项目与《云南嵩明杨林工业园区总体规划修改（2018-2035）环境影响报告书》中园区入园原则符合性分析如下：</w:t>
            </w:r>
          </w:p>
          <w:p>
            <w:pPr>
              <w:pStyle w:val="22"/>
              <w:kinsoku/>
              <w:spacing w:before="179" w:line="360" w:lineRule="auto"/>
              <w:jc w:val="center"/>
              <w:rPr>
                <w:rFonts w:hint="eastAsia"/>
                <w:b/>
                <w:bCs/>
                <w:color w:val="auto"/>
                <w:spacing w:val="7"/>
                <w:sz w:val="20"/>
                <w:szCs w:val="20"/>
                <w:lang w:eastAsia="zh-CN"/>
              </w:rPr>
            </w:pPr>
            <w:r>
              <w:rPr>
                <w:rFonts w:hint="eastAsia"/>
                <w:b/>
                <w:bCs/>
                <w:color w:val="auto"/>
                <w:spacing w:val="7"/>
                <w:sz w:val="20"/>
                <w:szCs w:val="20"/>
                <w:lang w:eastAsia="zh-CN"/>
              </w:rPr>
              <w:t>表1-2项目与园区规划环评报告书中入园原则相符性分析一览表</w:t>
            </w:r>
          </w:p>
          <w:p>
            <w:pPr>
              <w:pStyle w:val="12"/>
              <w:kinsoku/>
              <w:rPr>
                <w:rFonts w:eastAsia="宋体"/>
                <w:b/>
                <w:bCs/>
                <w:color w:val="auto"/>
                <w:spacing w:val="-3"/>
                <w:lang w:eastAsia="zh-CN"/>
              </w:rPr>
            </w:pPr>
            <w:r>
              <w:rPr>
                <w:rFonts w:hint="eastAsia" w:eastAsia="宋体"/>
                <w:b/>
                <w:bCs/>
                <w:color w:val="auto"/>
                <w:spacing w:val="-3"/>
                <w:lang w:eastAsia="zh-CN"/>
              </w:rPr>
              <w:t xml:space="preserve"> </w:t>
            </w:r>
          </w:p>
          <w:tbl>
            <w:tblPr>
              <w:tblStyle w:val="21"/>
              <w:tblW w:w="67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952"/>
              <w:gridCol w:w="2475"/>
              <w:gridCol w:w="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695" w:type="dxa"/>
                  <w:tcBorders>
                    <w:left w:val="single" w:color="000000" w:sz="4" w:space="0"/>
                    <w:bottom w:val="single" w:color="auto" w:sz="4" w:space="0"/>
                  </w:tcBorders>
                  <w:vAlign w:val="center"/>
                </w:tcPr>
                <w:p>
                  <w:pPr>
                    <w:pStyle w:val="43"/>
                    <w:spacing w:beforeLines="0"/>
                    <w:rPr>
                      <w:b/>
                      <w:bCs/>
                    </w:rPr>
                  </w:pPr>
                  <w:r>
                    <w:rPr>
                      <w:rFonts w:hint="eastAsia"/>
                      <w:b/>
                      <w:bCs/>
                    </w:rPr>
                    <w:t>序号</w:t>
                  </w:r>
                </w:p>
              </w:tc>
              <w:tc>
                <w:tcPr>
                  <w:tcW w:w="2952" w:type="dxa"/>
                  <w:tcBorders>
                    <w:bottom w:val="single" w:color="auto" w:sz="4" w:space="0"/>
                  </w:tcBorders>
                  <w:vAlign w:val="center"/>
                </w:tcPr>
                <w:p>
                  <w:pPr>
                    <w:pStyle w:val="43"/>
                    <w:spacing w:beforeLines="0"/>
                    <w:rPr>
                      <w:b/>
                      <w:bCs/>
                    </w:rPr>
                  </w:pPr>
                  <w:r>
                    <w:rPr>
                      <w:rFonts w:hint="eastAsia"/>
                      <w:b/>
                      <w:bCs/>
                    </w:rPr>
                    <w:t>入园原则</w:t>
                  </w:r>
                </w:p>
              </w:tc>
              <w:tc>
                <w:tcPr>
                  <w:tcW w:w="2475" w:type="dxa"/>
                  <w:tcBorders>
                    <w:bottom w:val="single" w:color="auto" w:sz="4" w:space="0"/>
                  </w:tcBorders>
                  <w:vAlign w:val="center"/>
                </w:tcPr>
                <w:p>
                  <w:pPr>
                    <w:pStyle w:val="43"/>
                    <w:spacing w:beforeLines="0"/>
                    <w:rPr>
                      <w:b/>
                      <w:bCs/>
                    </w:rPr>
                  </w:pPr>
                  <w:r>
                    <w:rPr>
                      <w:rFonts w:hint="eastAsia"/>
                      <w:b/>
                      <w:bCs/>
                    </w:rPr>
                    <w:t>本项目情况</w:t>
                  </w:r>
                </w:p>
              </w:tc>
              <w:tc>
                <w:tcPr>
                  <w:tcW w:w="629" w:type="dxa"/>
                  <w:tcBorders>
                    <w:bottom w:val="single" w:color="auto" w:sz="4" w:space="0"/>
                  </w:tcBorders>
                  <w:vAlign w:val="center"/>
                </w:tcPr>
                <w:p>
                  <w:pPr>
                    <w:pStyle w:val="43"/>
                    <w:spacing w:beforeLines="0"/>
                    <w:rPr>
                      <w:b/>
                      <w:bCs/>
                    </w:rPr>
                  </w:pPr>
                  <w:r>
                    <w:rPr>
                      <w:rFonts w:hint="eastAsia"/>
                      <w:b/>
                      <w:bCs/>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1</w:t>
                  </w:r>
                </w:p>
              </w:tc>
              <w:tc>
                <w:tcPr>
                  <w:tcW w:w="2952"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符合国家及云南省相关产业政策原则：规划区引进的项目，其工艺、规模及产品应符合国家及云南省相关产业政策要求；禁止承接东部落后产能转移，禁止新建淘汰类项目，严格控制限制类项目规模及选址。</w:t>
                  </w:r>
                </w:p>
              </w:tc>
              <w:tc>
                <w:tcPr>
                  <w:tcW w:w="247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根据国家发展改革委《产业结构调整指导目录》（2024年本），项目不属于限制类和淘汰类，属于允许类，符合国家产业政策。</w:t>
                  </w:r>
                </w:p>
              </w:tc>
              <w:tc>
                <w:tcPr>
                  <w:tcW w:w="629"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2</w:t>
                  </w:r>
                </w:p>
              </w:tc>
              <w:tc>
                <w:tcPr>
                  <w:tcW w:w="2952"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有利于实现嵩明县产业结构的原则：引进的项目，应有利于实现云南嵩明杨林工业园区产业结构，有利于规划目标的达成。</w:t>
                  </w:r>
                </w:p>
              </w:tc>
              <w:tc>
                <w:tcPr>
                  <w:tcW w:w="247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ascii="宋体" w:hAnsi="宋体"/>
                      <w:spacing w:val="6"/>
                    </w:rPr>
                    <w:t>项目行业类别属于家具制造，不属于园区禁止入园产业，与</w:t>
                  </w:r>
                  <w:r>
                    <w:rPr>
                      <w:spacing w:val="8"/>
                    </w:rPr>
                    <w:t>杨林综合片区新材料综合组团</w:t>
                  </w:r>
                  <w:r>
                    <w:rPr>
                      <w:rFonts w:hint="eastAsia" w:ascii="宋体" w:hAnsi="宋体"/>
                      <w:spacing w:val="6"/>
                    </w:rPr>
                    <w:t>产业发展方向不冲突。</w:t>
                  </w:r>
                </w:p>
              </w:tc>
              <w:tc>
                <w:tcPr>
                  <w:tcW w:w="629"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3</w:t>
                  </w:r>
                </w:p>
              </w:tc>
              <w:tc>
                <w:tcPr>
                  <w:tcW w:w="2952"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清洁生产原则：对符合应用高新技术提升和改造传统产业的技术改造重点项目；采用国际或国内先进水平的新技术、新工艺、新材料和关键设备进行产品开发及工艺创新的重点项目；减少污染，实施清洁生产，开展节能降耗及资源综合利用，具有示范作用的企业信息化建设等方面的项目，给予新型工业化发展资金扶持。</w:t>
                  </w:r>
                </w:p>
              </w:tc>
              <w:tc>
                <w:tcPr>
                  <w:tcW w:w="2475"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cs="Times New Roman"/>
                    </w:rPr>
                    <w:t>项目主要污染物为</w:t>
                  </w:r>
                  <w:r>
                    <w:rPr>
                      <w:rFonts w:hint="eastAsia" w:cs="Times New Roman"/>
                    </w:rPr>
                    <w:t>颗粒物</w:t>
                  </w:r>
                  <w:r>
                    <w:rPr>
                      <w:rFonts w:cs="Times New Roman"/>
                    </w:rPr>
                    <w:t>及挥发性有机物，生产中</w:t>
                  </w:r>
                  <w:r>
                    <w:rPr>
                      <w:rFonts w:hint="eastAsia" w:cs="Times New Roman"/>
                    </w:rPr>
                    <w:t>颗粒物</w:t>
                  </w:r>
                  <w:r>
                    <w:rPr>
                      <w:rFonts w:cs="Times New Roman"/>
                    </w:rPr>
                    <w:t>及挥发性有机物废气经采取措施后可达标排放，本项目使用电能，属于清洁能源，项目选用低能耗设备，</w:t>
                  </w:r>
                  <w:r>
                    <w:rPr>
                      <w:rFonts w:hint="eastAsia" w:cs="Times New Roman"/>
                    </w:rPr>
                    <w:t>生产</w:t>
                  </w:r>
                  <w:r>
                    <w:rPr>
                      <w:rFonts w:cs="Times New Roman"/>
                    </w:rPr>
                    <w:t>过程中的</w:t>
                  </w:r>
                  <w:r>
                    <w:rPr>
                      <w:rFonts w:hint="eastAsia" w:cs="Times New Roman"/>
                    </w:rPr>
                    <w:t>固体废物</w:t>
                  </w:r>
                  <w:r>
                    <w:rPr>
                      <w:rFonts w:cs="Times New Roman"/>
                    </w:rPr>
                    <w:t>处置率为100%，对区域环境影响较小。</w:t>
                  </w:r>
                </w:p>
              </w:tc>
              <w:tc>
                <w:tcPr>
                  <w:tcW w:w="629" w:type="dxa"/>
                  <w:tcBorders>
                    <w:top w:val="single" w:color="auto" w:sz="4" w:space="0"/>
                    <w:left w:val="single" w:color="auto" w:sz="4" w:space="0"/>
                    <w:bottom w:val="single" w:color="auto" w:sz="4" w:space="0"/>
                    <w:right w:val="single" w:color="auto" w:sz="4" w:space="0"/>
                  </w:tcBorders>
                  <w:vAlign w:val="center"/>
                </w:tcPr>
                <w:p>
                  <w:pPr>
                    <w:pStyle w:val="43"/>
                    <w:spacing w:beforeLines="0"/>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4</w:t>
                  </w:r>
                </w:p>
              </w:tc>
              <w:tc>
                <w:tcPr>
                  <w:tcW w:w="2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环境友好原则：引进的项目应符合环境友好的原则，优先引进无污染或少污染企业；禁止或限制准入高污染、高能耗、高水耗的产业或企业。</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cs="Times New Roman"/>
                    </w:rPr>
                    <w:t>项目符合环境友好的原则，污染物经采取环评所提出的措施后排放量较小；项目不属于高污染、高能耗、高水耗的企业。</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5</w:t>
                  </w:r>
                </w:p>
              </w:tc>
              <w:tc>
                <w:tcPr>
                  <w:tcW w:w="2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协调发展原则：引进的项目应有利于统筹城乡协调发展，有利于改善区域环境质量。</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项目采取相应的环保措施处理各污染物，各污染物均处理达标后排放，不会降低区域环境质量。</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6</w:t>
                  </w:r>
                </w:p>
              </w:tc>
              <w:tc>
                <w:tcPr>
                  <w:tcW w:w="2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环境红线协调原则：引进的项目应与制约规划实施的环境红线相协调，具体来说即引进项目不得占用基本农田，不得占用牛栏江保护规划中的水源保护核心区禁建区。</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项目位于云南嵩明杨林工业园区内，用地性质为二类工业用地，未占用基本农田，未占用牛栏江保护规划中的水源保护核心区禁建区。</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7</w:t>
                  </w:r>
                </w:p>
              </w:tc>
              <w:tc>
                <w:tcPr>
                  <w:tcW w:w="2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符合《云南省牛栏江保护条例》等牛栏江保护的相关规划及文件。</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项目符合《云南省牛栏江保护条例》等牛栏江保护的相关规划及文件。</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rPr>
                      <w:lang w:eastAsia="en-US"/>
                    </w:rPr>
                  </w:pPr>
                  <w:r>
                    <w:rPr>
                      <w:rFonts w:hint="eastAsia"/>
                    </w:rPr>
                    <w:t>8</w:t>
                  </w:r>
                </w:p>
              </w:tc>
              <w:tc>
                <w:tcPr>
                  <w:tcW w:w="2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准入产业或企业应符合园区产业规划和产业布局，应有利于推进嵩明杨林工业园区产业结构调整，有利于规划目标的达成。</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ascii="宋体" w:hAnsi="宋体"/>
                      <w:spacing w:val="6"/>
                    </w:rPr>
                    <w:t>本项目行业类别属于家具制造，不属于园区禁止入园产业，与</w:t>
                  </w:r>
                  <w:r>
                    <w:rPr>
                      <w:spacing w:val="8"/>
                    </w:rPr>
                    <w:t>杨林综合片区新材料综合组团</w:t>
                  </w:r>
                  <w:r>
                    <w:rPr>
                      <w:rFonts w:hint="eastAsia" w:ascii="宋体" w:hAnsi="宋体"/>
                      <w:spacing w:val="6"/>
                    </w:rPr>
                    <w:t>产业发展方向不冲突</w:t>
                  </w:r>
                  <w:r>
                    <w:rPr>
                      <w:rFonts w:hint="eastAsia"/>
                    </w:rPr>
                    <w:t>，有利于推进嵩明杨林工业园区产业结构调整，有利于规划目标的达成。</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pPr>
                  <w:r>
                    <w:rPr>
                      <w:rFonts w:hint="eastAsia"/>
                    </w:rPr>
                    <w:t>符合</w:t>
                  </w:r>
                </w:p>
              </w:tc>
            </w:tr>
          </w:tbl>
          <w:p>
            <w:pPr>
              <w:pStyle w:val="12"/>
              <w:kinsoku/>
              <w:spacing w:line="360" w:lineRule="auto"/>
              <w:ind w:firstLine="500" w:firstLineChars="200"/>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由</w:t>
            </w:r>
            <w:r>
              <w:rPr>
                <w:rFonts w:ascii="宋体" w:hAnsi="宋体" w:eastAsia="宋体" w:cs="宋体"/>
                <w:color w:val="auto"/>
                <w:spacing w:val="5"/>
                <w:sz w:val="24"/>
                <w:szCs w:val="24"/>
                <w:lang w:eastAsia="zh-CN"/>
              </w:rPr>
              <w:t>上表可知，本项目符合入园原则。</w:t>
            </w:r>
          </w:p>
          <w:p>
            <w:pPr>
              <w:pStyle w:val="12"/>
              <w:kinsoku/>
              <w:spacing w:line="360" w:lineRule="auto"/>
              <w:ind w:firstLine="500" w:firstLineChars="200"/>
              <w:rPr>
                <w:rFonts w:hint="eastAsia"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本项目与报告中园区负面清单符合性分析详见下表。</w:t>
            </w:r>
          </w:p>
          <w:p>
            <w:pPr>
              <w:pStyle w:val="22"/>
              <w:kinsoku/>
              <w:spacing w:before="179" w:line="360" w:lineRule="auto"/>
              <w:jc w:val="center"/>
              <w:rPr>
                <w:rFonts w:hint="eastAsia"/>
                <w:b/>
                <w:bCs/>
                <w:color w:val="auto"/>
                <w:spacing w:val="7"/>
                <w:sz w:val="21"/>
                <w:szCs w:val="21"/>
                <w:lang w:eastAsia="zh-CN"/>
              </w:rPr>
            </w:pPr>
            <w:r>
              <w:rPr>
                <w:rFonts w:hint="eastAsia"/>
                <w:b/>
                <w:bCs/>
                <w:color w:val="auto"/>
                <w:spacing w:val="7"/>
                <w:sz w:val="21"/>
                <w:szCs w:val="21"/>
                <w:lang w:eastAsia="zh-CN"/>
              </w:rPr>
              <w:t>表1-3项目与园区规划环评报告书中负面清单相符性分析一览表</w:t>
            </w:r>
          </w:p>
          <w:p>
            <w:pPr>
              <w:pStyle w:val="12"/>
              <w:kinsoku/>
              <w:rPr>
                <w:rFonts w:eastAsia="宋体"/>
                <w:b/>
                <w:bCs/>
                <w:color w:val="auto"/>
                <w:spacing w:val="-3"/>
                <w:lang w:eastAsia="zh-CN"/>
              </w:rPr>
            </w:pPr>
            <w:r>
              <w:rPr>
                <w:rFonts w:hint="eastAsia" w:eastAsia="宋体"/>
                <w:b/>
                <w:bCs/>
                <w:color w:val="auto"/>
                <w:spacing w:val="-3"/>
                <w:lang w:eastAsia="zh-CN"/>
              </w:rPr>
              <w:t xml:space="preserve"> </w:t>
            </w:r>
          </w:p>
          <w:tbl>
            <w:tblPr>
              <w:tblStyle w:val="21"/>
              <w:tblW w:w="6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452"/>
              <w:gridCol w:w="2417"/>
              <w:gridCol w:w="2746"/>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973" w:type="dxa"/>
                  <w:gridSpan w:val="2"/>
                  <w:vAlign w:val="center"/>
                </w:tcPr>
                <w:p>
                  <w:pPr>
                    <w:pStyle w:val="43"/>
                    <w:spacing w:beforeLines="0" w:line="240" w:lineRule="auto"/>
                    <w:rPr>
                      <w:b/>
                      <w:bCs/>
                    </w:rPr>
                  </w:pPr>
                  <w:r>
                    <w:rPr>
                      <w:rFonts w:hint="eastAsia"/>
                      <w:b/>
                      <w:bCs/>
                    </w:rPr>
                    <w:t>类型</w:t>
                  </w:r>
                </w:p>
              </w:tc>
              <w:tc>
                <w:tcPr>
                  <w:tcW w:w="2417" w:type="dxa"/>
                  <w:vAlign w:val="center"/>
                </w:tcPr>
                <w:p>
                  <w:pPr>
                    <w:pStyle w:val="43"/>
                    <w:spacing w:beforeLines="0" w:line="240" w:lineRule="auto"/>
                    <w:rPr>
                      <w:b/>
                      <w:bCs/>
                    </w:rPr>
                  </w:pPr>
                  <w:r>
                    <w:rPr>
                      <w:rFonts w:hint="eastAsia"/>
                      <w:b/>
                      <w:bCs/>
                    </w:rPr>
                    <w:t>园区负面清单</w:t>
                  </w:r>
                </w:p>
              </w:tc>
              <w:tc>
                <w:tcPr>
                  <w:tcW w:w="2746" w:type="dxa"/>
                  <w:vAlign w:val="center"/>
                </w:tcPr>
                <w:p>
                  <w:pPr>
                    <w:pStyle w:val="43"/>
                    <w:spacing w:beforeLines="0" w:line="240" w:lineRule="auto"/>
                    <w:rPr>
                      <w:b/>
                      <w:bCs/>
                    </w:rPr>
                  </w:pPr>
                  <w:r>
                    <w:rPr>
                      <w:rFonts w:hint="eastAsia"/>
                      <w:b/>
                      <w:bCs/>
                    </w:rPr>
                    <w:t>本项目情况</w:t>
                  </w:r>
                </w:p>
              </w:tc>
              <w:tc>
                <w:tcPr>
                  <w:tcW w:w="703" w:type="dxa"/>
                  <w:vAlign w:val="center"/>
                </w:tcPr>
                <w:p>
                  <w:pPr>
                    <w:pStyle w:val="43"/>
                    <w:spacing w:beforeLines="0" w:line="240" w:lineRule="auto"/>
                    <w:rPr>
                      <w:b/>
                      <w:bCs/>
                    </w:rPr>
                  </w:pPr>
                  <w:r>
                    <w:rPr>
                      <w:rFonts w:hint="eastAsia"/>
                      <w:b/>
                      <w:bCs/>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973" w:type="dxa"/>
                  <w:gridSpan w:val="2"/>
                  <w:vAlign w:val="center"/>
                </w:tcPr>
                <w:p>
                  <w:pPr>
                    <w:pStyle w:val="43"/>
                    <w:spacing w:beforeLines="0" w:line="240" w:lineRule="auto"/>
                  </w:pPr>
                  <w:r>
                    <w:rPr>
                      <w:rFonts w:hint="eastAsia"/>
                    </w:rPr>
                    <w:t>园区规划禁止类</w:t>
                  </w:r>
                </w:p>
              </w:tc>
              <w:tc>
                <w:tcPr>
                  <w:tcW w:w="2417" w:type="dxa"/>
                  <w:vAlign w:val="center"/>
                </w:tcPr>
                <w:p>
                  <w:pPr>
                    <w:pStyle w:val="43"/>
                    <w:spacing w:beforeLines="0" w:line="240" w:lineRule="auto"/>
                  </w:pPr>
                  <w:r>
                    <w:rPr>
                      <w:rFonts w:hint="eastAsia"/>
                    </w:rPr>
                    <w:t>（1）不符合园区规划产业导向的企业。（2）不符合规划用地要求的企业。</w:t>
                  </w:r>
                </w:p>
              </w:tc>
              <w:tc>
                <w:tcPr>
                  <w:tcW w:w="2746" w:type="dxa"/>
                  <w:vAlign w:val="center"/>
                </w:tcPr>
                <w:p>
                  <w:pPr>
                    <w:pStyle w:val="43"/>
                    <w:spacing w:beforeLines="0" w:line="240" w:lineRule="auto"/>
                  </w:pPr>
                  <w:r>
                    <w:rPr>
                      <w:rFonts w:hint="eastAsia"/>
                    </w:rPr>
                    <w:t>（1）</w:t>
                  </w:r>
                  <w:r>
                    <w:rPr>
                      <w:rFonts w:hint="eastAsia" w:ascii="宋体" w:hAnsi="宋体"/>
                      <w:spacing w:val="6"/>
                    </w:rPr>
                    <w:t>项目行业类别属于家具制造，不属于园区禁止入园产业，与</w:t>
                  </w:r>
                  <w:r>
                    <w:rPr>
                      <w:spacing w:val="8"/>
                    </w:rPr>
                    <w:t>杨林综合片区新材料综合组团</w:t>
                  </w:r>
                  <w:r>
                    <w:rPr>
                      <w:rFonts w:hint="eastAsia" w:ascii="宋体" w:hAnsi="宋体"/>
                      <w:spacing w:val="6"/>
                    </w:rPr>
                    <w:t>产业发展方向不冲突</w:t>
                  </w:r>
                  <w:r>
                    <w:rPr>
                      <w:rFonts w:hint="eastAsia"/>
                    </w:rPr>
                    <w:t>，且项目于2024年11月21日取得了云南省固定资产投资项目备案证。（2）项目位于</w:t>
                  </w:r>
                  <w:r>
                    <w:rPr>
                      <w:rFonts w:hint="eastAsia"/>
                      <w:spacing w:val="8"/>
                    </w:rPr>
                    <w:t>云南嵩明杨林工业园区东环路68号附3号</w:t>
                  </w:r>
                  <w:r>
                    <w:rPr>
                      <w:spacing w:val="-2"/>
                    </w:rPr>
                    <w:t>，</w:t>
                  </w:r>
                  <w:r>
                    <w:rPr>
                      <w:spacing w:val="7"/>
                    </w:rPr>
                    <w:t>用地属</w:t>
                  </w:r>
                  <w:r>
                    <w:rPr>
                      <w:rFonts w:hint="eastAsia"/>
                      <w:spacing w:val="7"/>
                    </w:rPr>
                    <w:t>二类</w:t>
                  </w:r>
                  <w:r>
                    <w:rPr>
                      <w:spacing w:val="7"/>
                    </w:rPr>
                    <w:t>工业用地</w:t>
                  </w:r>
                  <w:r>
                    <w:rPr>
                      <w:rFonts w:hint="eastAsia"/>
                      <w:spacing w:val="7"/>
                    </w:rPr>
                    <w:t>，</w:t>
                  </w:r>
                  <w:r>
                    <w:rPr>
                      <w:rFonts w:hint="eastAsia"/>
                    </w:rPr>
                    <w:t>本项目符合规划用地要求。</w:t>
                  </w:r>
                </w:p>
              </w:tc>
              <w:tc>
                <w:tcPr>
                  <w:tcW w:w="703" w:type="dxa"/>
                  <w:vAlign w:val="center"/>
                </w:tcPr>
                <w:p>
                  <w:pPr>
                    <w:pStyle w:val="43"/>
                    <w:spacing w:beforeLines="0" w:line="240" w:lineRule="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973" w:type="dxa"/>
                  <w:gridSpan w:val="2"/>
                  <w:vAlign w:val="center"/>
                </w:tcPr>
                <w:p>
                  <w:pPr>
                    <w:pStyle w:val="43"/>
                    <w:spacing w:beforeLines="0" w:line="240" w:lineRule="auto"/>
                  </w:pPr>
                  <w:r>
                    <w:rPr>
                      <w:rFonts w:hint="eastAsia"/>
                    </w:rPr>
                    <w:t>生态保护红线禁止类</w:t>
                  </w:r>
                </w:p>
              </w:tc>
              <w:tc>
                <w:tcPr>
                  <w:tcW w:w="2417" w:type="dxa"/>
                  <w:vAlign w:val="center"/>
                </w:tcPr>
                <w:p>
                  <w:pPr>
                    <w:pStyle w:val="43"/>
                    <w:spacing w:beforeLines="0" w:line="240" w:lineRule="auto"/>
                  </w:pPr>
                  <w:r>
                    <w:rPr>
                      <w:rFonts w:hint="eastAsia"/>
                    </w:rPr>
                    <w:t>（1）突破规划确定工业园区范围和边界的建设项目，进入对龙河沿岸200m范围（禁建区）的项目；（2）占用基本农田的项目；（3）环境风险大、废水产生量大、污水成分复杂可能影响对龙河、杨林河水质的项目；涉及生产、大量使用、大量储存危化品、腐蚀性物品的项目等对牛栏江水源保护风险较大的项目。</w:t>
                  </w:r>
                </w:p>
              </w:tc>
              <w:tc>
                <w:tcPr>
                  <w:tcW w:w="2746" w:type="dxa"/>
                  <w:vAlign w:val="center"/>
                </w:tcPr>
                <w:p>
                  <w:pPr>
                    <w:pStyle w:val="43"/>
                    <w:spacing w:beforeLines="0" w:line="240" w:lineRule="auto"/>
                  </w:pPr>
                  <w:r>
                    <w:rPr>
                      <w:rFonts w:hint="eastAsia"/>
                    </w:rPr>
                    <w:t>（1）本项目位于工业园区范围内；本项目距离花庄河</w:t>
                  </w:r>
                  <w:r>
                    <w:rPr>
                      <w:rFonts w:hint="eastAsia"/>
                      <w:lang w:eastAsia="zh-CN"/>
                    </w:rPr>
                    <w:t>（</w:t>
                  </w:r>
                  <w:r>
                    <w:rPr>
                      <w:rFonts w:hint="eastAsia"/>
                      <w:lang w:val="en-US" w:eastAsia="zh-CN"/>
                    </w:rPr>
                    <w:t>对龙河</w:t>
                  </w:r>
                  <w:r>
                    <w:rPr>
                      <w:rFonts w:hint="eastAsia"/>
                      <w:lang w:eastAsia="zh-CN"/>
                    </w:rPr>
                    <w:t>）</w:t>
                  </w:r>
                  <w:r>
                    <w:t>1247m</w:t>
                  </w:r>
                  <w:r>
                    <w:rPr>
                      <w:rFonts w:hint="eastAsia"/>
                    </w:rPr>
                    <w:t>，不在</w:t>
                  </w:r>
                  <w:r>
                    <w:rPr>
                      <w:rFonts w:hint="eastAsia"/>
                      <w:lang w:val="en-US" w:eastAsia="zh-CN"/>
                    </w:rPr>
                    <w:t>对</w:t>
                  </w:r>
                  <w:r>
                    <w:rPr>
                      <w:rFonts w:hint="eastAsia"/>
                    </w:rPr>
                    <w:t>龙河沿岸200m范围（禁建区）；（2）本项目不占用基本农田；（3）本项目环境风险较小，项目不产生生产废水，项目生活污水进入化粪池处理后进入园区污水管网，最终进入嵩明县第二污水处理厂，对花庄河</w:t>
                  </w:r>
                  <w:r>
                    <w:rPr>
                      <w:rFonts w:hint="eastAsia"/>
                      <w:lang w:eastAsia="zh-CN"/>
                    </w:rPr>
                    <w:t>（</w:t>
                  </w:r>
                  <w:r>
                    <w:rPr>
                      <w:rFonts w:hint="eastAsia"/>
                      <w:lang w:val="en-US" w:eastAsia="zh-CN"/>
                    </w:rPr>
                    <w:t>对龙河</w:t>
                  </w:r>
                  <w:r>
                    <w:rPr>
                      <w:rFonts w:hint="eastAsia"/>
                      <w:lang w:eastAsia="zh-CN"/>
                    </w:rPr>
                    <w:t>）</w:t>
                  </w:r>
                  <w:r>
                    <w:rPr>
                      <w:rFonts w:hint="eastAsia"/>
                    </w:rPr>
                    <w:t>水质影响小；本项目不涉及生产、大量使用、大量储存危化品、腐蚀性物品。</w:t>
                  </w:r>
                </w:p>
              </w:tc>
              <w:tc>
                <w:tcPr>
                  <w:tcW w:w="703" w:type="dxa"/>
                  <w:vAlign w:val="center"/>
                </w:tcPr>
                <w:p>
                  <w:pPr>
                    <w:pStyle w:val="43"/>
                    <w:spacing w:beforeLines="0" w:line="240" w:lineRule="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973" w:type="dxa"/>
                  <w:gridSpan w:val="2"/>
                  <w:shd w:val="clear" w:color="auto" w:fill="auto"/>
                  <w:vAlign w:val="center"/>
                </w:tcPr>
                <w:p>
                  <w:pPr>
                    <w:pStyle w:val="43"/>
                    <w:spacing w:beforeLines="0" w:line="240" w:lineRule="auto"/>
                    <w:rPr>
                      <w:lang w:eastAsia="en-US"/>
                    </w:rPr>
                  </w:pPr>
                  <w:r>
                    <w:rPr>
                      <w:rFonts w:hint="eastAsia"/>
                    </w:rPr>
                    <w:t>资源利用上线禁止类</w:t>
                  </w:r>
                </w:p>
              </w:tc>
              <w:tc>
                <w:tcPr>
                  <w:tcW w:w="2417" w:type="dxa"/>
                  <w:shd w:val="clear" w:color="auto" w:fill="auto"/>
                  <w:vAlign w:val="center"/>
                </w:tcPr>
                <w:p>
                  <w:pPr>
                    <w:pStyle w:val="43"/>
                    <w:spacing w:beforeLines="0" w:line="240" w:lineRule="auto"/>
                    <w:rPr>
                      <w:lang w:eastAsia="en-US"/>
                    </w:rPr>
                  </w:pPr>
                  <w:r>
                    <w:rPr>
                      <w:rFonts w:hint="eastAsia"/>
                    </w:rPr>
                    <w:t>（1）用水效率达不到地方或园区准入要求的入园项目。用水量大且产生的工业污水经处理后无法在厂区或组团内消耗的项目。（2）劳动密集型新建项目。（3）单位工业用地面积经济强度达不到园区准入要求的项目。（4）新建的饮料等用排水量较大的企业。</w:t>
                  </w:r>
                </w:p>
              </w:tc>
              <w:tc>
                <w:tcPr>
                  <w:tcW w:w="2746" w:type="dxa"/>
                  <w:shd w:val="clear" w:color="auto" w:fill="auto"/>
                  <w:vAlign w:val="center"/>
                </w:tcPr>
                <w:p>
                  <w:pPr>
                    <w:pStyle w:val="43"/>
                    <w:spacing w:beforeLines="0" w:line="240" w:lineRule="auto"/>
                  </w:pPr>
                  <w:r>
                    <w:rPr>
                      <w:rFonts w:hint="eastAsia"/>
                    </w:rPr>
                    <w:t>（1）本项目相对区域用水量较小，</w:t>
                  </w:r>
                  <w:r>
                    <w:rPr>
                      <w:rStyle w:val="20"/>
                      <w:rFonts w:hint="eastAsia" w:ascii="Arial" w:hAnsi="Arial" w:cs="Arial"/>
                      <w:snapToGrid w:val="0"/>
                    </w:rPr>
                    <w:t>无生产用水，用水主要为生活用水，使用量较小</w:t>
                  </w:r>
                  <w:r>
                    <w:rPr>
                      <w:rFonts w:hint="eastAsia"/>
                    </w:rPr>
                    <w:t>。（2）本项目不属于劳动密集型新建项目。（3）本项目租赁已建的厂房。（4）本项目不属于饮料等用排水量较大的企业。</w:t>
                  </w:r>
                </w:p>
              </w:tc>
              <w:tc>
                <w:tcPr>
                  <w:tcW w:w="703" w:type="dxa"/>
                  <w:shd w:val="clear" w:color="auto" w:fill="auto"/>
                  <w:vAlign w:val="center"/>
                </w:tcPr>
                <w:p>
                  <w:pPr>
                    <w:pStyle w:val="43"/>
                    <w:spacing w:beforeLines="0" w:line="240" w:lineRule="auto"/>
                    <w:rPr>
                      <w:lang w:eastAsia="en-US"/>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973" w:type="dxa"/>
                  <w:gridSpan w:val="2"/>
                  <w:shd w:val="clear" w:color="auto" w:fill="auto"/>
                  <w:vAlign w:val="center"/>
                </w:tcPr>
                <w:p>
                  <w:pPr>
                    <w:pStyle w:val="43"/>
                    <w:spacing w:beforeLines="0" w:line="240" w:lineRule="auto"/>
                    <w:rPr>
                      <w:lang w:eastAsia="en-US"/>
                    </w:rPr>
                  </w:pPr>
                  <w:r>
                    <w:rPr>
                      <w:rFonts w:hint="eastAsia"/>
                    </w:rPr>
                    <w:t>环境底线禁止类</w:t>
                  </w:r>
                </w:p>
              </w:tc>
              <w:tc>
                <w:tcPr>
                  <w:tcW w:w="2417" w:type="dxa"/>
                  <w:shd w:val="clear" w:color="auto" w:fill="auto"/>
                  <w:vAlign w:val="center"/>
                </w:tcPr>
                <w:p>
                  <w:pPr>
                    <w:pStyle w:val="43"/>
                    <w:spacing w:beforeLines="0" w:line="240" w:lineRule="auto"/>
                  </w:pPr>
                  <w:r>
                    <w:rPr>
                      <w:rFonts w:hint="eastAsia"/>
                    </w:rPr>
                    <w:t>（1）有牛栏江上游保护区中的水源保护核心区、重点污染控制区和水源涵养区禁止行为的项目。（2）污水成分复杂或废水、废液按现有技术无法妥善处置的产业。（3）物耗、能耗相对较高，产生的大气污染类型复杂、环境风险较大的产业、项目或工艺；且产生的大气污染物无法自身治理或妥善处置或处理成本较高的产生。（4）不能严格按“三同时”要求建厂的企业，无法满足卫生防护距离的企业。（5）不符合国家产业政策的工业项目及高污染工业项目，包括污染严重的钢铁、有色冶金、基础化工、农药、电镀、造纸制浆、制革、印染、石棉制品、土硫磺和染料等企业和项目。（6）新建、改建和扩建含重金属排放的企业；产生含重金属的生产废水，且生产废水不能实现厂界零排放的企业。（7）永久性工业固废堆场、医疗废物和危险废物处置场地和设施。（8）向嵩明县第二污水处理厂排放工业废水的新建项目。（9）与牛栏江保护条例及相关规划有冲突的项目。</w:t>
                  </w:r>
                </w:p>
              </w:tc>
              <w:tc>
                <w:tcPr>
                  <w:tcW w:w="2746" w:type="dxa"/>
                  <w:shd w:val="clear" w:color="auto" w:fill="auto"/>
                  <w:vAlign w:val="center"/>
                </w:tcPr>
                <w:p>
                  <w:pPr>
                    <w:pStyle w:val="43"/>
                    <w:spacing w:beforeLines="0" w:line="240" w:lineRule="auto"/>
                  </w:pPr>
                  <w:r>
                    <w:t>（1）本项目位于杨林综合片区牛栏江重点污染控制区，不属于禁止行为的项目。（2）本项目不产生生产废水，项目生活污水进入化粪池处理后进入园区污水管网，最终进入嵩明县第二污水处理厂。（3）本项目物耗、能耗相对较低，产生的大气污染类型简单：生产粉尘</w:t>
                  </w:r>
                  <w:r>
                    <w:rPr>
                      <w:rFonts w:hint="eastAsia" w:ascii="宋体" w:hAnsi="宋体" w:eastAsia="宋体" w:cs="宋体"/>
                      <w:lang w:eastAsia="zh-CN"/>
                    </w:rPr>
                    <w:t>经设备</w:t>
                  </w:r>
                  <w:r>
                    <w:rPr>
                      <w:rFonts w:hint="eastAsia" w:ascii="宋体" w:hAnsi="宋体" w:cs="宋体"/>
                      <w:lang w:val="en-US" w:eastAsia="zh-CN"/>
                    </w:rPr>
                    <w:t>自</w:t>
                  </w:r>
                  <w:r>
                    <w:rPr>
                      <w:rFonts w:hint="eastAsia" w:ascii="宋体" w:hAnsi="宋体" w:eastAsia="宋体" w:cs="宋体"/>
                      <w:lang w:eastAsia="zh-CN"/>
                    </w:rPr>
                    <w:t>带吸尘管及设备上方集气罩收集后</w:t>
                  </w:r>
                  <w:r>
                    <w:t>通过废气收集管</w:t>
                  </w:r>
                  <w:r>
                    <w:rPr>
                      <w:rFonts w:hint="eastAsia"/>
                    </w:rPr>
                    <w:t>至</w:t>
                  </w:r>
                  <w:r>
                    <w:t>中央除尘系统处理后通过1根15m高排气筒（DA001）排放；挥发性有机物</w:t>
                  </w:r>
                  <w:r>
                    <w:rPr>
                      <w:rFonts w:hint="eastAsia"/>
                      <w:lang w:val="en-US" w:eastAsia="zh-CN"/>
                    </w:rPr>
                    <w:t>在封边工段采用盖板式封边机，关闭盖板时密闭封边机相当于小型集气罩，集气管道与封边设备紧密相连，在设备工作的情况下，风机持续运转，可保证操作空间持续处于微负压状态，封胶结束后开启盖板取出成品。生产全过程与设备紧密相连的集气管道对挥发性有机物进行收集，车间上方不额外设置集气罩，有机废气收集后接入一套二级活性炭吸附设备处理，最终由一根15m高排气筒DA002排放</w:t>
                  </w:r>
                  <w:r>
                    <w:t>。项目环境风险较小；产生的大气污染物均可妥善处置。（4）</w:t>
                  </w:r>
                  <w:r>
                    <w:rPr>
                      <w:rFonts w:hint="eastAsia"/>
                    </w:rPr>
                    <w:t>项目</w:t>
                  </w:r>
                  <w:r>
                    <w:t>严格按</w:t>
                  </w:r>
                  <w:r>
                    <w:rPr>
                      <w:rFonts w:hint="eastAsia"/>
                    </w:rPr>
                    <w:t>“</w:t>
                  </w:r>
                  <w:r>
                    <w:t>三同时</w:t>
                  </w:r>
                  <w:r>
                    <w:rPr>
                      <w:rFonts w:hint="eastAsia"/>
                    </w:rPr>
                    <w:t>”</w:t>
                  </w:r>
                  <w:r>
                    <w:t>要求建</w:t>
                  </w:r>
                  <w:r>
                    <w:rPr>
                      <w:rFonts w:hint="eastAsia"/>
                    </w:rPr>
                    <w:t>设</w:t>
                  </w:r>
                  <w:r>
                    <w:t>，</w:t>
                  </w:r>
                  <w:r>
                    <w:rPr>
                      <w:rFonts w:hint="eastAsia"/>
                    </w:rPr>
                    <w:t>且</w:t>
                  </w:r>
                  <w:r>
                    <w:t>可满足卫生防护距离</w:t>
                  </w:r>
                  <w:r>
                    <w:rPr>
                      <w:rFonts w:hint="eastAsia"/>
                    </w:rPr>
                    <w:t>要求</w:t>
                  </w:r>
                  <w:r>
                    <w:t>。（5）本项目不属于钢铁、有色冶金、基础化工、农药、电镀、造纸制浆、制革、印染、石棉制品、土硫磺和染料等企业。（6）本项目不涉及含重金属排放。（7）本项目不涉及永久性工业固废堆场、医疗废物和危险废物处置场地和设施。（8）本项目不产生生产废水。（9）本项目与牛栏江保护条例及相关规划符合。</w:t>
                  </w:r>
                </w:p>
              </w:tc>
              <w:tc>
                <w:tcPr>
                  <w:tcW w:w="703" w:type="dxa"/>
                  <w:shd w:val="clear" w:color="auto" w:fill="auto"/>
                  <w:vAlign w:val="center"/>
                </w:tcPr>
                <w:p>
                  <w:pPr>
                    <w:pStyle w:val="43"/>
                    <w:spacing w:beforeLines="0" w:line="240" w:lineRule="auto"/>
                    <w:rPr>
                      <w:lang w:eastAsia="en-US"/>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521" w:type="dxa"/>
                  <w:vMerge w:val="restart"/>
                  <w:shd w:val="clear" w:color="auto" w:fill="auto"/>
                  <w:vAlign w:val="center"/>
                </w:tcPr>
                <w:p>
                  <w:pPr>
                    <w:pStyle w:val="43"/>
                    <w:spacing w:beforeLines="0" w:line="240" w:lineRule="auto"/>
                    <w:rPr>
                      <w:lang w:eastAsia="en-US"/>
                    </w:rPr>
                  </w:pPr>
                  <w:r>
                    <w:rPr>
                      <w:rFonts w:hint="eastAsia"/>
                    </w:rPr>
                    <w:t>入园要求</w:t>
                  </w:r>
                </w:p>
              </w:tc>
              <w:tc>
                <w:tcPr>
                  <w:tcW w:w="452" w:type="dxa"/>
                  <w:shd w:val="clear" w:color="auto" w:fill="auto"/>
                  <w:vAlign w:val="center"/>
                </w:tcPr>
                <w:p>
                  <w:pPr>
                    <w:pStyle w:val="43"/>
                    <w:spacing w:beforeLines="0" w:line="240" w:lineRule="auto"/>
                    <w:rPr>
                      <w:lang w:eastAsia="en-US"/>
                    </w:rPr>
                  </w:pPr>
                  <w:r>
                    <w:rPr>
                      <w:rFonts w:hint="eastAsia"/>
                    </w:rPr>
                    <w:t>限制及淘汰类</w:t>
                  </w:r>
                </w:p>
              </w:tc>
              <w:tc>
                <w:tcPr>
                  <w:tcW w:w="2417" w:type="dxa"/>
                  <w:shd w:val="clear" w:color="auto" w:fill="auto"/>
                  <w:vAlign w:val="center"/>
                </w:tcPr>
                <w:p>
                  <w:pPr>
                    <w:pStyle w:val="43"/>
                    <w:spacing w:beforeLines="0" w:line="240" w:lineRule="auto"/>
                  </w:pPr>
                  <w:r>
                    <w:rPr>
                      <w:rFonts w:hint="eastAsia"/>
                    </w:rPr>
                    <w:t>（1）技术含量较低的加工类产业。（2）物耗、水耗和能耗相对较高，但符合园区总体规划产业类别的其他产业：①属于规划既定行业，但污染类型复杂、环境风险较大的产业、项目或工艺。②产生废物，且按自有技术水平无法治理或妥善处置的。③有污染治理技术不成熟，或现有技术经济条件难以承受污染物治理成本的。</w:t>
                  </w:r>
                </w:p>
              </w:tc>
              <w:tc>
                <w:tcPr>
                  <w:tcW w:w="2746" w:type="dxa"/>
                  <w:shd w:val="clear" w:color="auto" w:fill="auto"/>
                  <w:vAlign w:val="center"/>
                </w:tcPr>
                <w:p>
                  <w:pPr>
                    <w:pStyle w:val="43"/>
                    <w:spacing w:beforeLines="0" w:line="240" w:lineRule="auto"/>
                  </w:pPr>
                  <w:r>
                    <w:rPr>
                      <w:rFonts w:hint="eastAsia"/>
                    </w:rPr>
                    <w:t>（1）本项目为木质家具制造，不属于技术含量较低的加工类产业。（2）本项目物耗、水耗和能耗相对较低。</w:t>
                  </w:r>
                  <w:r>
                    <w:t>①项目不属于规划既定行业，但污染类型简单、环境风险小；②项目产生废物，均能够妥善处置；③项目现有技术经济条件能够承受污染物治理成本</w:t>
                  </w:r>
                  <w:r>
                    <w:rPr>
                      <w:rFonts w:hint="eastAsia"/>
                    </w:rPr>
                    <w:t>。</w:t>
                  </w:r>
                </w:p>
              </w:tc>
              <w:tc>
                <w:tcPr>
                  <w:tcW w:w="703" w:type="dxa"/>
                  <w:shd w:val="clear" w:color="auto" w:fill="auto"/>
                  <w:vAlign w:val="center"/>
                </w:tcPr>
                <w:p>
                  <w:pPr>
                    <w:pStyle w:val="43"/>
                    <w:spacing w:beforeLines="0" w:line="240" w:lineRule="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521" w:type="dxa"/>
                  <w:vMerge w:val="continue"/>
                  <w:shd w:val="clear" w:color="auto" w:fill="auto"/>
                  <w:vAlign w:val="center"/>
                </w:tcPr>
                <w:p>
                  <w:pPr>
                    <w:kinsoku/>
                    <w:ind w:firstLine="420" w:firstLineChars="200"/>
                    <w:rPr>
                      <w:color w:val="auto"/>
                    </w:rPr>
                  </w:pPr>
                </w:p>
              </w:tc>
              <w:tc>
                <w:tcPr>
                  <w:tcW w:w="452" w:type="dxa"/>
                  <w:shd w:val="clear" w:color="auto" w:fill="auto"/>
                  <w:vAlign w:val="center"/>
                </w:tcPr>
                <w:p>
                  <w:pPr>
                    <w:kinsoku/>
                    <w:ind w:firstLine="420" w:firstLineChars="200"/>
                    <w:rPr>
                      <w:color w:val="auto"/>
                    </w:rPr>
                  </w:pPr>
                  <w:r>
                    <w:rPr>
                      <w:rFonts w:hint="eastAsia"/>
                      <w:color w:val="auto"/>
                    </w:rPr>
                    <w:t>禁止类</w:t>
                  </w:r>
                </w:p>
              </w:tc>
              <w:tc>
                <w:tcPr>
                  <w:tcW w:w="2417" w:type="dxa"/>
                  <w:shd w:val="clear" w:color="auto" w:fill="auto"/>
                  <w:vAlign w:val="center"/>
                </w:tcPr>
                <w:p>
                  <w:pPr>
                    <w:kinsoku/>
                    <w:ind w:firstLine="420" w:firstLineChars="200"/>
                    <w:rPr>
                      <w:color w:val="auto"/>
                      <w:lang w:eastAsia="zh-CN"/>
                    </w:rPr>
                  </w:pPr>
                  <w:r>
                    <w:rPr>
                      <w:rFonts w:hint="eastAsia"/>
                      <w:color w:val="auto"/>
                      <w:lang w:eastAsia="zh-CN"/>
                    </w:rPr>
                    <w:t>（1）国家和云南省产业结构调整指导目录中明令淘汰和禁止的工艺落后、污染严重的产业，排污量较大的产业（项目）。（2）单位产品能耗、物耗、污染物产生量和排放量等清洁生产指标达不到国内平均水平的产业（项目）；资源综合利用率低、产生废物量大，且按近期技术水平不能综合利用的行业；高耗水且排放污水、废液按现有技术经济无法治理或妥善处置的产业。（3）禁止入驻企业对杨林职教园、杨林集镇、居民点、周边地表水体及嵩明县城市环境空气质量有影响的大气污染型产业。（4）其他不符合园区总体规划和环保要求的企业（项目）。</w:t>
                  </w:r>
                </w:p>
              </w:tc>
              <w:tc>
                <w:tcPr>
                  <w:tcW w:w="2746" w:type="dxa"/>
                  <w:shd w:val="clear" w:color="auto" w:fill="auto"/>
                  <w:vAlign w:val="center"/>
                </w:tcPr>
                <w:p>
                  <w:pPr>
                    <w:kinsoku/>
                    <w:ind w:firstLine="420" w:firstLineChars="200"/>
                    <w:rPr>
                      <w:color w:val="auto"/>
                      <w:lang w:eastAsia="zh-CN"/>
                    </w:rPr>
                  </w:pPr>
                  <w:r>
                    <w:rPr>
                      <w:color w:val="auto"/>
                      <w:lang w:eastAsia="zh-CN"/>
                    </w:rPr>
                    <w:t>（1）对照《产业结构调整指导目录》（2024年本），本项目属于允许类项目，且排污量较小。（2）本项目单位产品能耗、物耗、污染物产生量和排放量等清洁生产指标能够达到国内平均水平；资源综合利用率高、产生废物量不大；耗水量小，项目区不产生生产废水，生活污水可排入园区污水管网，最终进入嵩明县第二污水处理厂处理。（3）本项目对</w:t>
                  </w:r>
                  <w:r>
                    <w:rPr>
                      <w:rFonts w:hint="eastAsia"/>
                      <w:color w:val="auto"/>
                      <w:lang w:eastAsia="zh-CN"/>
                    </w:rPr>
                    <w:t>距离最近的</w:t>
                  </w:r>
                  <w:r>
                    <w:rPr>
                      <w:rFonts w:hint="eastAsia" w:eastAsia="宋体"/>
                      <w:color w:val="auto"/>
                      <w:lang w:eastAsia="zh-CN"/>
                    </w:rPr>
                    <w:t>黄家坡村</w:t>
                  </w:r>
                  <w:r>
                    <w:rPr>
                      <w:color w:val="auto"/>
                      <w:lang w:eastAsia="zh-CN"/>
                    </w:rPr>
                    <w:t>、周边地表水体</w:t>
                  </w:r>
                  <w:r>
                    <w:rPr>
                      <w:rFonts w:hint="eastAsia"/>
                    </w:rPr>
                    <w:t>花庄河</w:t>
                  </w:r>
                  <w:r>
                    <w:rPr>
                      <w:rFonts w:hint="eastAsia"/>
                      <w:lang w:eastAsia="zh-CN"/>
                    </w:rPr>
                    <w:t>（</w:t>
                  </w:r>
                  <w:r>
                    <w:rPr>
                      <w:rFonts w:hint="eastAsia"/>
                      <w:lang w:val="en-US" w:eastAsia="zh-CN"/>
                    </w:rPr>
                    <w:t>对龙河</w:t>
                  </w:r>
                  <w:r>
                    <w:rPr>
                      <w:rFonts w:hint="eastAsia"/>
                      <w:lang w:eastAsia="zh-CN"/>
                    </w:rPr>
                    <w:t>）</w:t>
                  </w:r>
                  <w:r>
                    <w:rPr>
                      <w:color w:val="auto"/>
                      <w:lang w:eastAsia="zh-CN"/>
                    </w:rPr>
                    <w:t>影响较小。（4）项目与园区总体规划相符，符合环保要求。</w:t>
                  </w:r>
                </w:p>
              </w:tc>
              <w:tc>
                <w:tcPr>
                  <w:tcW w:w="703" w:type="dxa"/>
                  <w:shd w:val="clear" w:color="auto" w:fill="auto"/>
                  <w:vAlign w:val="center"/>
                </w:tcPr>
                <w:p>
                  <w:pPr>
                    <w:kinsoku/>
                    <w:jc w:val="center"/>
                    <w:rPr>
                      <w:color w:val="auto"/>
                      <w:lang w:eastAsia="zh-CN"/>
                    </w:rPr>
                  </w:pPr>
                  <w:r>
                    <w:rPr>
                      <w:rFonts w:hint="eastAsia"/>
                      <w:color w:val="auto"/>
                      <w:lang w:eastAsia="zh-CN"/>
                    </w:rPr>
                    <w:t>符合</w:t>
                  </w:r>
                </w:p>
              </w:tc>
            </w:tr>
          </w:tbl>
          <w:p>
            <w:pPr>
              <w:pStyle w:val="12"/>
              <w:kinsoku/>
              <w:spacing w:line="360" w:lineRule="auto"/>
              <w:ind w:firstLine="500" w:firstLineChars="200"/>
              <w:rPr>
                <w:rFonts w:hint="eastAsia"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根据上表可知，本项目不在《云南嵩明杨林工业园区总体规划修改（2018-2035）》中园区环境准入负面清单内。</w:t>
            </w:r>
          </w:p>
          <w:p>
            <w:pPr>
              <w:kinsoku/>
              <w:spacing w:line="360" w:lineRule="auto"/>
              <w:ind w:firstLine="501" w:firstLineChars="200"/>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3、与《云南嵩明杨林工业园区总体规划修改（2018-2035）环境影响报告书》审查意见的符合性分析</w:t>
            </w:r>
          </w:p>
          <w:p>
            <w:pPr>
              <w:pStyle w:val="12"/>
              <w:kinsoku/>
              <w:spacing w:line="360" w:lineRule="auto"/>
              <w:ind w:firstLine="500" w:firstLineChars="200"/>
              <w:rPr>
                <w:rFonts w:hint="eastAsia"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根据云南省生态环境厅2019年4月出具的《云南嵩明杨林工业园区总体规划修改（2018-2035）环境影响报告书》审查意见的函（云环函〔2019〕253号），本项目与规划环评审查意见的符合性分析详见下表。</w:t>
            </w:r>
          </w:p>
          <w:p>
            <w:pPr>
              <w:pStyle w:val="22"/>
              <w:kinsoku/>
              <w:spacing w:before="179" w:line="360" w:lineRule="auto"/>
              <w:jc w:val="center"/>
              <w:rPr>
                <w:rFonts w:hint="eastAsia"/>
                <w:b/>
                <w:bCs/>
                <w:color w:val="auto"/>
                <w:spacing w:val="7"/>
                <w:sz w:val="20"/>
                <w:szCs w:val="20"/>
                <w:lang w:eastAsia="zh-CN"/>
              </w:rPr>
            </w:pPr>
            <w:r>
              <w:rPr>
                <w:b/>
                <w:bCs/>
                <w:color w:val="auto"/>
                <w:spacing w:val="7"/>
                <w:sz w:val="20"/>
                <w:szCs w:val="20"/>
                <w:lang w:eastAsia="zh-CN"/>
              </w:rPr>
              <w:t>表1-4项目与规划环评审查意见相关内容相符性分析一览表</w:t>
            </w:r>
          </w:p>
          <w:p>
            <w:pPr>
              <w:pStyle w:val="12"/>
              <w:kinsoku/>
              <w:rPr>
                <w:rFonts w:eastAsia="宋体"/>
                <w:b/>
                <w:bCs/>
                <w:color w:val="auto"/>
                <w:spacing w:val="-3"/>
                <w:lang w:eastAsia="zh-CN"/>
              </w:rPr>
            </w:pPr>
            <w:r>
              <w:rPr>
                <w:rFonts w:hint="eastAsia" w:eastAsia="宋体"/>
                <w:b/>
                <w:bCs/>
                <w:color w:val="auto"/>
                <w:spacing w:val="-3"/>
                <w:lang w:eastAsia="zh-CN"/>
              </w:rPr>
              <w:t xml:space="preserve"> </w:t>
            </w:r>
          </w:p>
          <w:tbl>
            <w:tblPr>
              <w:tblStyle w:val="21"/>
              <w:tblW w:w="67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3054"/>
              <w:gridCol w:w="2281"/>
              <w:gridCol w:w="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695" w:type="dxa"/>
                  <w:tcBorders>
                    <w:left w:val="single" w:color="000000" w:sz="4" w:space="0"/>
                    <w:bottom w:val="single" w:color="auto" w:sz="4" w:space="0"/>
                  </w:tcBorders>
                  <w:vAlign w:val="center"/>
                </w:tcPr>
                <w:p>
                  <w:pPr>
                    <w:pStyle w:val="43"/>
                    <w:spacing w:beforeLines="0" w:line="240" w:lineRule="auto"/>
                    <w:rPr>
                      <w:b/>
                      <w:bCs/>
                    </w:rPr>
                  </w:pPr>
                  <w:r>
                    <w:rPr>
                      <w:rFonts w:hint="eastAsia"/>
                      <w:b/>
                      <w:bCs/>
                    </w:rPr>
                    <w:t>序号</w:t>
                  </w:r>
                </w:p>
              </w:tc>
              <w:tc>
                <w:tcPr>
                  <w:tcW w:w="3054" w:type="dxa"/>
                  <w:tcBorders>
                    <w:bottom w:val="single" w:color="auto" w:sz="4" w:space="0"/>
                  </w:tcBorders>
                  <w:vAlign w:val="center"/>
                </w:tcPr>
                <w:p>
                  <w:pPr>
                    <w:pStyle w:val="43"/>
                    <w:spacing w:beforeLines="0" w:line="240" w:lineRule="auto"/>
                    <w:rPr>
                      <w:b/>
                      <w:bCs/>
                    </w:rPr>
                  </w:pPr>
                  <w:r>
                    <w:rPr>
                      <w:rFonts w:hint="eastAsia"/>
                      <w:b/>
                      <w:bCs/>
                    </w:rPr>
                    <w:t>入园原则</w:t>
                  </w:r>
                </w:p>
              </w:tc>
              <w:tc>
                <w:tcPr>
                  <w:tcW w:w="2281" w:type="dxa"/>
                  <w:tcBorders>
                    <w:bottom w:val="single" w:color="auto" w:sz="4" w:space="0"/>
                  </w:tcBorders>
                  <w:vAlign w:val="center"/>
                </w:tcPr>
                <w:p>
                  <w:pPr>
                    <w:pStyle w:val="43"/>
                    <w:spacing w:beforeLines="0" w:line="240" w:lineRule="auto"/>
                    <w:rPr>
                      <w:b/>
                      <w:bCs/>
                    </w:rPr>
                  </w:pPr>
                  <w:r>
                    <w:rPr>
                      <w:rFonts w:hint="eastAsia"/>
                      <w:b/>
                      <w:bCs/>
                    </w:rPr>
                    <w:t>本项目情况</w:t>
                  </w:r>
                </w:p>
              </w:tc>
              <w:tc>
                <w:tcPr>
                  <w:tcW w:w="735" w:type="dxa"/>
                  <w:tcBorders>
                    <w:bottom w:val="single" w:color="auto" w:sz="4" w:space="0"/>
                  </w:tcBorders>
                  <w:vAlign w:val="center"/>
                </w:tcPr>
                <w:p>
                  <w:pPr>
                    <w:pStyle w:val="43"/>
                    <w:spacing w:beforeLines="0" w:line="240" w:lineRule="auto"/>
                    <w:rPr>
                      <w:b/>
                      <w:bCs/>
                    </w:rPr>
                  </w:pPr>
                  <w:r>
                    <w:rPr>
                      <w:rFonts w:hint="eastAsia"/>
                      <w:b/>
                      <w:bCs/>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2"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43"/>
                    <w:spacing w:beforeLines="0" w:line="240" w:lineRule="auto"/>
                  </w:pPr>
                  <w:r>
                    <w:rPr>
                      <w:rFonts w:hint="eastAsia"/>
                    </w:rPr>
                    <w:t>1</w:t>
                  </w:r>
                </w:p>
              </w:tc>
              <w:tc>
                <w:tcPr>
                  <w:tcW w:w="3054" w:type="dxa"/>
                  <w:tcBorders>
                    <w:top w:val="single" w:color="auto" w:sz="4" w:space="0"/>
                    <w:left w:val="single" w:color="auto" w:sz="4" w:space="0"/>
                    <w:bottom w:val="single" w:color="auto" w:sz="4" w:space="0"/>
                    <w:right w:val="single" w:color="auto" w:sz="4" w:space="0"/>
                  </w:tcBorders>
                  <w:vAlign w:val="center"/>
                </w:tcPr>
                <w:p>
                  <w:pPr>
                    <w:pStyle w:val="43"/>
                    <w:spacing w:beforeLines="0" w:line="240" w:lineRule="auto"/>
                  </w:pPr>
                  <w:r>
                    <w:rPr>
                      <w:rFonts w:hint="eastAsia"/>
                    </w:rPr>
                    <w:t>嵩明杨林工业园区由杨林综合片区和小街片区组成。园区主导产业定位为先进装备制造（汽车制造及零部件、新能源汽车、数控机床和高端电力装备）、新材料产业和现代服务业等。规划期为2018-2035年。园区规划用地面积41.2km</w:t>
                  </w:r>
                  <w:r>
                    <w:rPr>
                      <w:rFonts w:hint="eastAsia"/>
                      <w:vertAlign w:val="superscript"/>
                    </w:rPr>
                    <w:t>2</w:t>
                  </w:r>
                  <w:r>
                    <w:rPr>
                      <w:rFonts w:hint="eastAsia"/>
                    </w:rPr>
                    <w:t>，其中杨林综合片区面积40.34km</w:t>
                  </w:r>
                  <w:r>
                    <w:rPr>
                      <w:rFonts w:hint="eastAsia"/>
                      <w:vertAlign w:val="superscript"/>
                    </w:rPr>
                    <w:t>2</w:t>
                  </w:r>
                  <w:r>
                    <w:rPr>
                      <w:rFonts w:hint="eastAsia"/>
                    </w:rPr>
                    <w:t>，主要布局以汽车制造及零部件配套产业、新能源汽车产业、数控机床等为主的先进装备制造业、新材料产业和现代服务业；小街片区0.85km</w:t>
                  </w:r>
                  <w:r>
                    <w:rPr>
                      <w:rFonts w:hint="eastAsia"/>
                      <w:vertAlign w:val="superscript"/>
                    </w:rPr>
                    <w:t>2</w:t>
                  </w:r>
                  <w:r>
                    <w:rPr>
                      <w:rFonts w:hint="eastAsia"/>
                    </w:rPr>
                    <w:t>，主要布局汽车零部件生产、高端电力设备等为主的先进装备制造产业。</w:t>
                  </w:r>
                </w:p>
              </w:tc>
              <w:tc>
                <w:tcPr>
                  <w:tcW w:w="2281" w:type="dxa"/>
                  <w:tcBorders>
                    <w:top w:val="single" w:color="auto" w:sz="4" w:space="0"/>
                    <w:left w:val="single" w:color="auto" w:sz="4" w:space="0"/>
                    <w:bottom w:val="single" w:color="auto" w:sz="4" w:space="0"/>
                    <w:right w:val="single" w:color="auto" w:sz="4" w:space="0"/>
                  </w:tcBorders>
                  <w:vAlign w:val="center"/>
                </w:tcPr>
                <w:p>
                  <w:pPr>
                    <w:pStyle w:val="43"/>
                    <w:spacing w:beforeLines="0" w:line="240" w:lineRule="auto"/>
                  </w:pPr>
                  <w:r>
                    <w:rPr>
                      <w:rFonts w:hint="eastAsia"/>
                    </w:rPr>
                    <w:t>本项目所在地属杨林综合片区，</w:t>
                  </w:r>
                  <w:r>
                    <w:rPr>
                      <w:rFonts w:hint="eastAsia" w:ascii="宋体" w:hAnsi="宋体"/>
                      <w:spacing w:val="6"/>
                    </w:rPr>
                    <w:t>项目行业类别属于家具制造，不属于园区禁止入园产业，与</w:t>
                  </w:r>
                  <w:r>
                    <w:rPr>
                      <w:spacing w:val="8"/>
                    </w:rPr>
                    <w:t>杨林综合片区新材料综合组团</w:t>
                  </w:r>
                  <w:r>
                    <w:rPr>
                      <w:rFonts w:hint="eastAsia" w:ascii="宋体" w:hAnsi="宋体"/>
                      <w:spacing w:val="6"/>
                    </w:rPr>
                    <w:t>产业发展方向不冲突</w:t>
                  </w:r>
                  <w:r>
                    <w:rPr>
                      <w:rFonts w:hint="eastAsia"/>
                    </w:rPr>
                    <w:t>。</w:t>
                  </w:r>
                </w:p>
              </w:tc>
              <w:tc>
                <w:tcPr>
                  <w:tcW w:w="735" w:type="dxa"/>
                  <w:tcBorders>
                    <w:top w:val="single" w:color="auto" w:sz="4" w:space="0"/>
                    <w:left w:val="single" w:color="auto" w:sz="4" w:space="0"/>
                    <w:bottom w:val="single" w:color="auto" w:sz="4" w:space="0"/>
                    <w:right w:val="single" w:color="auto" w:sz="4" w:space="0"/>
                  </w:tcBorders>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t>2</w:t>
                  </w:r>
                </w:p>
              </w:tc>
              <w:tc>
                <w:tcPr>
                  <w:tcW w:w="30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spacing w:val="12"/>
                    </w:rPr>
                    <w:t>(一)加强规划引导，坚持绿色发展和协调发展理念。根据</w:t>
                  </w:r>
                  <w:r>
                    <w:rPr>
                      <w:rFonts w:hint="eastAsia"/>
                      <w:spacing w:val="5"/>
                    </w:rPr>
                    <w:t>区域发展战略，坚持生态优先、高效集约发</w:t>
                  </w:r>
                  <w:r>
                    <w:rPr>
                      <w:rFonts w:hint="eastAsia"/>
                      <w:spacing w:val="4"/>
                    </w:rPr>
                    <w:t>展，进一步优化《规</w:t>
                  </w:r>
                  <w:r>
                    <w:rPr>
                      <w:rFonts w:hint="eastAsia"/>
                      <w:spacing w:val="5"/>
                    </w:rPr>
                    <w:t>划》的发展定位、功能布局、发展规模、产业结构</w:t>
                  </w:r>
                  <w:r>
                    <w:rPr>
                      <w:rFonts w:hint="eastAsia"/>
                      <w:spacing w:val="4"/>
                    </w:rPr>
                    <w:t>等，加强与牛</w:t>
                  </w:r>
                  <w:r>
                    <w:rPr>
                      <w:rFonts w:hint="eastAsia"/>
                      <w:spacing w:val="17"/>
                    </w:rPr>
                    <w:t>栏江流域(云南部分)水环境保护规划、城市总体规划、土地利</w:t>
                  </w:r>
                  <w:r>
                    <w:rPr>
                      <w:rFonts w:hint="eastAsia"/>
                      <w:spacing w:val="5"/>
                    </w:rPr>
                    <w:t>用总体规划的协调衔接，促进园区产业转型升级，实现产业发展</w:t>
                  </w:r>
                  <w:r>
                    <w:rPr>
                      <w:rFonts w:hint="eastAsia"/>
                      <w:spacing w:val="4"/>
                    </w:rPr>
                    <w:t>与生态环境保护、人居环境安全相协调，积极</w:t>
                  </w:r>
                  <w:r>
                    <w:rPr>
                      <w:rFonts w:hint="eastAsia"/>
                      <w:spacing w:val="3"/>
                    </w:rPr>
                    <w:t>推行区域低碳化、</w:t>
                  </w:r>
                  <w:r>
                    <w:rPr>
                      <w:rFonts w:hint="eastAsia"/>
                      <w:spacing w:val="5"/>
                    </w:rPr>
                    <w:t>循环化、集约化发展。加强土地资源的集约节约利用，提高土地</w:t>
                  </w:r>
                  <w:r>
                    <w:rPr>
                      <w:rFonts w:hint="eastAsia"/>
                      <w:spacing w:val="-6"/>
                    </w:rPr>
                    <w:t>利用效率。严格落实《云南省牛栏江保护条例》、《云南省人民政</w:t>
                  </w:r>
                  <w:r>
                    <w:rPr>
                      <w:rFonts w:hint="eastAsia"/>
                      <w:spacing w:val="10"/>
                    </w:rPr>
                    <w:t>府关于同意牛栏江流域(云南部分)水环境保护规划的批复》(云</w:t>
                  </w:r>
                  <w:r>
                    <w:rPr>
                      <w:rFonts w:hint="eastAsia"/>
                      <w:spacing w:val="3"/>
                    </w:rPr>
                    <w:t>政复〔2010〕21号)、《昆明市人民政府关于印发牛栏</w:t>
                  </w:r>
                  <w:r>
                    <w:rPr>
                      <w:rFonts w:hint="eastAsia"/>
                      <w:spacing w:val="2"/>
                    </w:rPr>
                    <w:t>江(昆明段)</w:t>
                  </w:r>
                  <w:r>
                    <w:rPr>
                      <w:rFonts w:hint="eastAsia"/>
                      <w:spacing w:val="9"/>
                    </w:rPr>
                    <w:t>水污染防治工作方案的通知》(昆政办〔2011〕33号)相</w:t>
                  </w:r>
                  <w:r>
                    <w:rPr>
                      <w:rFonts w:hint="eastAsia"/>
                      <w:spacing w:val="8"/>
                    </w:rPr>
                    <w:t>关要求。</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tcPr>
                <w:p>
                  <w:pPr>
                    <w:kinsoku/>
                    <w:rPr>
                      <w:rFonts w:eastAsia="宋体"/>
                      <w:color w:val="auto"/>
                      <w:spacing w:val="8"/>
                      <w:lang w:eastAsia="zh-CN"/>
                    </w:rPr>
                  </w:pPr>
                  <w:r>
                    <w:rPr>
                      <w:rFonts w:hint="eastAsia"/>
                      <w:color w:val="auto"/>
                      <w:lang w:eastAsia="zh-CN"/>
                    </w:rPr>
                    <w:t>项目位于</w:t>
                  </w:r>
                  <w:r>
                    <w:rPr>
                      <w:rFonts w:hint="eastAsia"/>
                    </w:rPr>
                    <w:t>花庄河</w:t>
                  </w:r>
                  <w:r>
                    <w:rPr>
                      <w:rFonts w:hint="eastAsia"/>
                      <w:lang w:eastAsia="zh-CN"/>
                    </w:rPr>
                    <w:t>（</w:t>
                  </w:r>
                  <w:r>
                    <w:rPr>
                      <w:rFonts w:hint="eastAsia"/>
                      <w:lang w:val="en-US" w:eastAsia="zh-CN"/>
                    </w:rPr>
                    <w:t>对龙河</w:t>
                  </w:r>
                  <w:r>
                    <w:rPr>
                      <w:rFonts w:hint="eastAsia"/>
                      <w:lang w:eastAsia="zh-CN"/>
                    </w:rPr>
                    <w:t>）</w:t>
                  </w:r>
                  <w:r>
                    <w:rPr>
                      <w:rFonts w:hint="eastAsia"/>
                      <w:color w:val="auto"/>
                      <w:lang w:eastAsia="zh-CN"/>
                    </w:rPr>
                    <w:t>东南面</w:t>
                  </w:r>
                  <w:r>
                    <w:rPr>
                      <w:color w:val="auto"/>
                      <w:lang w:eastAsia="zh-CN"/>
                    </w:rPr>
                    <w:t>1247m</w:t>
                  </w:r>
                  <w:r>
                    <w:rPr>
                      <w:rFonts w:hint="eastAsia"/>
                      <w:color w:val="auto"/>
                      <w:lang w:eastAsia="zh-CN"/>
                    </w:rPr>
                    <w:t>处，属于牛栏江流域重点污染控制区。项目区不产生生产废水，生活污水可排入园区污水管网，最终进入嵩明县第二污水处理厂处理。对</w:t>
                  </w:r>
                  <w:r>
                    <w:rPr>
                      <w:rFonts w:hint="eastAsia"/>
                    </w:rPr>
                    <w:t>花庄河</w:t>
                  </w:r>
                  <w:r>
                    <w:rPr>
                      <w:rFonts w:hint="eastAsia"/>
                      <w:lang w:eastAsia="zh-CN"/>
                    </w:rPr>
                    <w:t>（</w:t>
                  </w:r>
                  <w:r>
                    <w:rPr>
                      <w:rFonts w:hint="eastAsia"/>
                      <w:lang w:val="en-US" w:eastAsia="zh-CN"/>
                    </w:rPr>
                    <w:t>对龙河</w:t>
                  </w:r>
                  <w:r>
                    <w:rPr>
                      <w:rFonts w:hint="eastAsia"/>
                      <w:lang w:eastAsia="zh-CN"/>
                    </w:rPr>
                    <w:t>）</w:t>
                  </w:r>
                  <w:r>
                    <w:rPr>
                      <w:rFonts w:hint="eastAsia"/>
                      <w:color w:val="auto"/>
                      <w:lang w:eastAsia="zh-CN"/>
                    </w:rPr>
                    <w:t>影响较小。</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3</w:t>
                  </w:r>
                </w:p>
              </w:tc>
              <w:tc>
                <w:tcPr>
                  <w:tcW w:w="30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spacing w:val="12"/>
                    </w:rPr>
                    <w:t>(二)严守生态保护红线，加强空间管控。进一步优化园区</w:t>
                  </w:r>
                  <w:r>
                    <w:rPr>
                      <w:spacing w:val="-6"/>
                    </w:rPr>
                    <w:t>空间布局，在严守生态保护红线的基础上逐步增加生态空间，《规</w:t>
                  </w:r>
                  <w:r>
                    <w:rPr>
                      <w:spacing w:val="5"/>
                    </w:rPr>
                    <w:t>划》涉及的牛栏江等生态红线管控区内开发建设活动应符合管控</w:t>
                  </w:r>
                  <w:r>
                    <w:rPr>
                      <w:spacing w:val="1"/>
                    </w:rPr>
                    <w:t>要求，对位于水源保护核心区、禁止建设区和生态保护红线范围</w:t>
                  </w:r>
                  <w:r>
                    <w:rPr>
                      <w:spacing w:val="-1"/>
                    </w:rPr>
                    <w:t>内的企业，应按要求限期搬迁或关停。优化调整中央商务服</w:t>
                  </w:r>
                  <w:r>
                    <w:rPr>
                      <w:spacing w:val="-2"/>
                    </w:rPr>
                    <w:t>务组</w:t>
                  </w:r>
                  <w:r>
                    <w:rPr>
                      <w:spacing w:val="-1"/>
                    </w:rPr>
                    <w:t>团等区内布局，解决部分片区居住、生活与工业</w:t>
                  </w:r>
                  <w:r>
                    <w:rPr>
                      <w:spacing w:val="-2"/>
                    </w:rPr>
                    <w:t>布局混杂问题。</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项目位于</w:t>
                  </w:r>
                  <w:r>
                    <w:rPr>
                      <w:rFonts w:hint="eastAsia"/>
                      <w:spacing w:val="8"/>
                    </w:rPr>
                    <w:t>云南嵩明杨林工业园区东环路68号附3号</w:t>
                  </w:r>
                  <w:r>
                    <w:rPr>
                      <w:spacing w:val="-2"/>
                    </w:rPr>
                    <w:t>，</w:t>
                  </w:r>
                  <w:r>
                    <w:rPr>
                      <w:spacing w:val="7"/>
                    </w:rPr>
                    <w:t>用地属工业用地</w:t>
                  </w:r>
                  <w:r>
                    <w:rPr>
                      <w:rFonts w:hint="eastAsia"/>
                    </w:rPr>
                    <w:t>。本项目符合规划用地要求</w:t>
                  </w:r>
                  <w:r>
                    <w:rPr>
                      <w:rStyle w:val="20"/>
                      <w:rFonts w:hint="eastAsia" w:ascii="Arial" w:hAnsi="Arial" w:cs="Arial"/>
                      <w:snapToGrid w:val="0"/>
                    </w:rPr>
                    <w:t>，不占用生态红线</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4</w:t>
                  </w:r>
                </w:p>
              </w:tc>
              <w:tc>
                <w:tcPr>
                  <w:tcW w:w="30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spacing w:val="8"/>
                    </w:rPr>
                    <w:t>(三)严守环境质量底线，制定落实园区污染物总量管控要</w:t>
                  </w:r>
                  <w:r>
                    <w:rPr>
                      <w:spacing w:val="1"/>
                    </w:rPr>
                    <w:t>求。根据国家和云南省有关大气、水、土壤污染防治行动计划相</w:t>
                  </w:r>
                  <w:r>
                    <w:rPr>
                      <w:spacing w:val="2"/>
                    </w:rPr>
                    <w:t>关要求，明确区域环境质量改善的阶段目标，制定</w:t>
                  </w:r>
                  <w:r>
                    <w:rPr>
                      <w:spacing w:val="1"/>
                    </w:rPr>
                    <w:t>区域污染减排</w:t>
                  </w:r>
                  <w:r>
                    <w:rPr>
                      <w:spacing w:val="2"/>
                    </w:rPr>
                    <w:t>方案及污染物总量管控要求，采取有效措施减</w:t>
                  </w:r>
                  <w:r>
                    <w:rPr>
                      <w:spacing w:val="1"/>
                    </w:rPr>
                    <w:t>少主要污染物和挥</w:t>
                  </w:r>
                  <w:r>
                    <w:t>发性有机物等特征污染物的排放总量，确保实现区域环境质量改</w:t>
                  </w:r>
                  <w:r>
                    <w:rPr>
                      <w:spacing w:val="11"/>
                    </w:rPr>
                    <w:t>善目标。加快实施《嵩明县水体达标方案(2016-2020)》</w:t>
                  </w:r>
                  <w:r>
                    <w:rPr>
                      <w:rFonts w:hint="eastAsia"/>
                      <w:spacing w:val="11"/>
                    </w:rPr>
                    <w:t>，</w:t>
                  </w:r>
                  <w:r>
                    <w:rPr>
                      <w:spacing w:val="11"/>
                    </w:rPr>
                    <w:t>制定</w:t>
                  </w:r>
                  <w:r>
                    <w:t>区域水环境综合整治方案并抓紧实施，严格实行入河污染物化学</w:t>
                  </w:r>
                  <w:r>
                    <w:rPr>
                      <w:spacing w:val="2"/>
                    </w:rPr>
                    <w:t>需氧量、氨氮、总磷的总量控制，确保对龙河等</w:t>
                  </w:r>
                  <w:r>
                    <w:rPr>
                      <w:spacing w:val="1"/>
                    </w:rPr>
                    <w:t>水体水质满足水</w:t>
                  </w:r>
                  <w:r>
                    <w:rPr>
                      <w:spacing w:val="2"/>
                    </w:rPr>
                    <w:t>环境功能区划要求。园区实行生产废水和生活污水</w:t>
                  </w:r>
                  <w:r>
                    <w:rPr>
                      <w:spacing w:val="1"/>
                    </w:rPr>
                    <w:t>的分质分流处</w:t>
                  </w:r>
                  <w:r>
                    <w:rPr>
                      <w:spacing w:val="2"/>
                    </w:rPr>
                    <w:t>理，现有企业和拟新建企业生产废水严禁排入牛栏江保护流域地表水体。</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项目废气污染物主要为颗粒物及挥发性有机物，颗粒物</w:t>
                  </w:r>
                  <w:r>
                    <w:rPr>
                      <w:rFonts w:hint="eastAsia" w:ascii="宋体" w:hAnsi="宋体" w:eastAsia="宋体" w:cs="宋体"/>
                      <w:lang w:eastAsia="zh-CN"/>
                    </w:rPr>
                    <w:t>经设备</w:t>
                  </w:r>
                  <w:r>
                    <w:rPr>
                      <w:rFonts w:hint="eastAsia" w:ascii="宋体" w:hAnsi="宋体" w:cs="宋体"/>
                      <w:lang w:val="en-US" w:eastAsia="zh-CN"/>
                    </w:rPr>
                    <w:t>自</w:t>
                  </w:r>
                  <w:r>
                    <w:rPr>
                      <w:rFonts w:hint="eastAsia" w:ascii="宋体" w:hAnsi="宋体" w:eastAsia="宋体" w:cs="宋体"/>
                      <w:lang w:eastAsia="zh-CN"/>
                    </w:rPr>
                    <w:t>带吸尘管及设备上方集气罩收集后</w:t>
                  </w:r>
                  <w:r>
                    <w:t>通过废气收集管</w:t>
                  </w:r>
                  <w:r>
                    <w:rPr>
                      <w:rFonts w:hint="eastAsia"/>
                    </w:rPr>
                    <w:t>至</w:t>
                  </w:r>
                  <w:r>
                    <w:t>中央除尘系统处理后</w:t>
                  </w:r>
                  <w:r>
                    <w:rPr>
                      <w:rFonts w:hint="eastAsia"/>
                      <w:lang w:val="en-US" w:eastAsia="zh-CN"/>
                    </w:rPr>
                    <w:t>达标排放</w:t>
                  </w:r>
                  <w:r>
                    <w:rPr>
                      <w:rFonts w:hint="eastAsia"/>
                      <w:lang w:eastAsia="zh-CN"/>
                    </w:rPr>
                    <w:t>；</w:t>
                  </w:r>
                  <w:r>
                    <w:rPr>
                      <w:rFonts w:hint="eastAsia"/>
                      <w:lang w:val="en-US" w:eastAsia="zh-CN"/>
                    </w:rPr>
                    <w:t>在封边工段采用盖板式封边机，关闭盖板时密闭封边机相当于小型集气罩，集气管道与封边设备紧密相连，在设备工作的情况下，风机持续运转，可保证操作空间持续处于微负压状态，封胶结束后开启盖板取出成品。生产全过程与设备紧密相连的集气管道对挥发性有机物进行收集，车间上方不额外设置集气罩，有机废气收集后接入一套二级活性炭吸附设备</w:t>
                  </w:r>
                  <w:r>
                    <w:rPr>
                      <w:rFonts w:hint="eastAsia"/>
                    </w:rPr>
                    <w:t>处理后可达标排放，对大气环境影响不大。本项目区不产生生产废水，生活污水可排入园区污水管网，最终进入嵩明县第二污水处理厂处理。项目产生的废水不排入牛栏江保护流域地表水体。项目占地为工业用地，且租赁已竣工厂房，不新增占地，对占地影响不大。</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5</w:t>
                  </w:r>
                </w:p>
              </w:tc>
              <w:tc>
                <w:tcPr>
                  <w:tcW w:w="3054" w:type="dxa"/>
                  <w:tcBorders>
                    <w:top w:val="single" w:color="auto" w:sz="4" w:space="0"/>
                    <w:left w:val="single" w:color="auto" w:sz="4" w:space="0"/>
                    <w:bottom w:val="single" w:color="auto" w:sz="4" w:space="0"/>
                    <w:right w:val="single" w:color="auto" w:sz="4" w:space="0"/>
                  </w:tcBorders>
                  <w:shd w:val="clear" w:color="auto" w:fill="auto"/>
                  <w:vAlign w:val="center"/>
                </w:tcPr>
                <w:p>
                  <w:pPr>
                    <w:kinsoku/>
                    <w:rPr>
                      <w:color w:val="auto"/>
                      <w:lang w:eastAsia="zh-CN"/>
                    </w:rPr>
                  </w:pPr>
                  <w:r>
                    <w:rPr>
                      <w:color w:val="auto"/>
                      <w:spacing w:val="9"/>
                      <w:lang w:eastAsia="zh-CN"/>
                    </w:rPr>
                    <w:t>(四)加快推进区内产业转型升级，制定实施方案，逐步淘</w:t>
                  </w:r>
                  <w:r>
                    <w:rPr>
                      <w:color w:val="auto"/>
                      <w:spacing w:val="1"/>
                      <w:lang w:eastAsia="zh-CN"/>
                    </w:rPr>
                    <w:t>汰和搬迁现有不符合区域发展定位和环境保</w:t>
                  </w:r>
                  <w:r>
                    <w:rPr>
                      <w:color w:val="auto"/>
                      <w:lang w:eastAsia="zh-CN"/>
                    </w:rPr>
                    <w:t>护要求的企业。片区内现有以废气排放为主要污染特征的制药、橡胶、精细磷化工等不符合规划产业导向要求的企业、以及不符合规划用地要求的企业，应逐步退出园区。园区内现有食品饮料企业严格实施规模控</w:t>
                  </w:r>
                  <w:r>
                    <w:rPr>
                      <w:color w:val="auto"/>
                      <w:spacing w:val="2"/>
                      <w:lang w:eastAsia="zh-CN"/>
                    </w:rPr>
                    <w:t>制与水污染物的总量控制，现有向第二污水处理</w:t>
                  </w:r>
                  <w:r>
                    <w:rPr>
                      <w:color w:val="auto"/>
                      <w:spacing w:val="1"/>
                      <w:lang w:eastAsia="zh-CN"/>
                    </w:rPr>
                    <w:t>厂排放工业废水</w:t>
                  </w:r>
                  <w:r>
                    <w:rPr>
                      <w:color w:val="auto"/>
                      <w:spacing w:val="-6"/>
                      <w:lang w:eastAsia="zh-CN"/>
                    </w:rPr>
                    <w:t>的食品饮料企业，应加快工艺设备及工业废水环保设施升级改造，</w:t>
                  </w:r>
                  <w:r>
                    <w:rPr>
                      <w:color w:val="auto"/>
                      <w:spacing w:val="3"/>
                      <w:lang w:eastAsia="zh-CN"/>
                    </w:rPr>
                    <w:t>提高工业废水的循环利用率，不能做到全部回用的，须确保其工</w:t>
                  </w:r>
                  <w:r>
                    <w:rPr>
                      <w:color w:val="auto"/>
                      <w:spacing w:val="2"/>
                      <w:lang w:eastAsia="zh-CN"/>
                    </w:rPr>
                    <w:t>业废水在园区内综合利用或借助园区外调蓄水</w:t>
                  </w:r>
                  <w:r>
                    <w:rPr>
                      <w:color w:val="auto"/>
                      <w:spacing w:val="1"/>
                      <w:lang w:eastAsia="zh-CN"/>
                    </w:rPr>
                    <w:t>库加以利用，不得</w:t>
                  </w:r>
                  <w:r>
                    <w:rPr>
                      <w:color w:val="auto"/>
                      <w:spacing w:val="15"/>
                      <w:lang w:eastAsia="zh-CN"/>
                    </w:rPr>
                    <w:t>外排；园区内汽车整车生产项目中的涂装工艺(表面处理)应采</w:t>
                  </w:r>
                  <w:r>
                    <w:rPr>
                      <w:color w:val="auto"/>
                      <w:spacing w:val="4"/>
                      <w:lang w:eastAsia="zh-CN"/>
                    </w:rPr>
                    <w:t>用先进工艺，严格做到工业废水厂界零排放；其他企业工</w:t>
                  </w:r>
                  <w:r>
                    <w:rPr>
                      <w:color w:val="auto"/>
                      <w:spacing w:val="3"/>
                      <w:lang w:eastAsia="zh-CN"/>
                    </w:rPr>
                    <w:t>业废水</w:t>
                  </w:r>
                  <w:r>
                    <w:rPr>
                      <w:color w:val="auto"/>
                      <w:spacing w:val="4"/>
                      <w:lang w:eastAsia="zh-CN"/>
                    </w:rPr>
                    <w:t>要采取相应的污染防治措施，处理后园区内利用，不得外排。结合区域大气污染防治要求，加快能源结构升级改造和使用清洁能源，促进区域大气环境质量逐步改善。做好杨林综合片区汽车产业的有机废气排放影响周边集中居住区的防范工作。推进技</w:t>
                  </w:r>
                  <w:r>
                    <w:rPr>
                      <w:color w:val="auto"/>
                      <w:spacing w:val="3"/>
                      <w:lang w:eastAsia="zh-CN"/>
                    </w:rPr>
                    <w:t>术研</w:t>
                  </w:r>
                  <w:r>
                    <w:rPr>
                      <w:color w:val="auto"/>
                      <w:spacing w:val="4"/>
                      <w:lang w:eastAsia="zh-CN"/>
                    </w:rPr>
                    <w:t>发型、创新型产业发展，提升产业的技术水平和园区的绿色循环</w:t>
                  </w:r>
                  <w:r>
                    <w:rPr>
                      <w:color w:val="auto"/>
                      <w:spacing w:val="32"/>
                      <w:sz w:val="26"/>
                      <w:szCs w:val="26"/>
                      <w:lang w:eastAsia="zh-CN"/>
                    </w:rPr>
                    <w:t>化水平。</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rPr>
                      <w:spacing w:val="8"/>
                    </w:rPr>
                  </w:pPr>
                  <w:r>
                    <w:rPr>
                      <w:rFonts w:hint="eastAsia"/>
                    </w:rPr>
                    <w:t>项目位于</w:t>
                  </w:r>
                  <w:r>
                    <w:rPr>
                      <w:rFonts w:hint="eastAsia"/>
                      <w:spacing w:val="8"/>
                    </w:rPr>
                    <w:t>云南嵩明杨林工业园区东环路68号附3号</w:t>
                  </w:r>
                  <w:r>
                    <w:rPr>
                      <w:spacing w:val="-2"/>
                    </w:rPr>
                    <w:t>，</w:t>
                  </w:r>
                  <w:r>
                    <w:rPr>
                      <w:spacing w:val="7"/>
                    </w:rPr>
                    <w:t>用地属工业用地</w:t>
                  </w:r>
                  <w:r>
                    <w:rPr>
                      <w:rFonts w:hint="eastAsia"/>
                      <w:spacing w:val="7"/>
                    </w:rPr>
                    <w:t>，本项目行业类别属于家具制造，不属于园区禁止入园产业，与杨林综合片区新材料综合组团产业发展方向不冲突。</w:t>
                  </w:r>
                </w:p>
                <w:p>
                  <w:pPr>
                    <w:pStyle w:val="43"/>
                    <w:spacing w:beforeLines="0" w:line="240" w:lineRule="auto"/>
                  </w:pPr>
                  <w:r>
                    <w:rPr>
                      <w:rFonts w:hint="eastAsia"/>
                    </w:rPr>
                    <w:t>项目不属于</w:t>
                  </w:r>
                  <w:r>
                    <w:t>制药、橡胶、精细磷化工</w:t>
                  </w:r>
                  <w:r>
                    <w:rPr>
                      <w:rFonts w:hint="eastAsia"/>
                    </w:rPr>
                    <w:t>行业。本项目区不产生生产废水，生活污水可排入园区污水管网，最终进入嵩明县第二污水处理厂处理。项目使用工艺、设备均不属于高能耗、物耗，污染物经环保设施处理后可达标排放。项目废气污染物主要为颗粒物及挥发性有机物，颗粒物</w:t>
                  </w:r>
                  <w:r>
                    <w:t>生产粉尘</w:t>
                  </w:r>
                  <w:r>
                    <w:rPr>
                      <w:rFonts w:hint="eastAsia" w:ascii="宋体" w:hAnsi="宋体" w:eastAsia="宋体" w:cs="宋体"/>
                      <w:lang w:eastAsia="zh-CN"/>
                    </w:rPr>
                    <w:t>经设备</w:t>
                  </w:r>
                  <w:r>
                    <w:rPr>
                      <w:rFonts w:hint="eastAsia" w:ascii="宋体" w:hAnsi="宋体" w:cs="宋体"/>
                      <w:lang w:val="en-US" w:eastAsia="zh-CN"/>
                    </w:rPr>
                    <w:t>自</w:t>
                  </w:r>
                  <w:r>
                    <w:rPr>
                      <w:rFonts w:hint="eastAsia" w:ascii="宋体" w:hAnsi="宋体" w:eastAsia="宋体" w:cs="宋体"/>
                      <w:lang w:eastAsia="zh-CN"/>
                    </w:rPr>
                    <w:t>带吸尘管及设备上方集气罩收集后</w:t>
                  </w:r>
                  <w:r>
                    <w:t>通过废气收集管</w:t>
                  </w:r>
                  <w:r>
                    <w:rPr>
                      <w:rFonts w:hint="eastAsia"/>
                    </w:rPr>
                    <w:t>至</w:t>
                  </w:r>
                  <w:r>
                    <w:t>中央除尘系统</w:t>
                  </w:r>
                  <w:r>
                    <w:rPr>
                      <w:rFonts w:hint="eastAsia"/>
                    </w:rPr>
                    <w:t>处理，挥发性有机物经</w:t>
                  </w:r>
                  <w:r>
                    <w:rPr>
                      <w:rFonts w:hint="eastAsia"/>
                      <w:lang w:val="en-US" w:eastAsia="zh-CN"/>
                    </w:rPr>
                    <w:t>与密闭封边机紧密相连的集气管道在微负压环境下收集后接入一套二级活性炭吸附设备处理，最终由一根15m高排气筒DA002排放。</w:t>
                  </w:r>
                  <w:r>
                    <w:rPr>
                      <w:rFonts w:hint="eastAsia"/>
                    </w:rPr>
                    <w:t>处理后可达标排放，对大气环境影响不大。</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jc w:val="center"/>
              </w:trPr>
              <w:tc>
                <w:tcPr>
                  <w:tcW w:w="695" w:type="dxa"/>
                  <w:shd w:val="clear" w:color="auto" w:fill="auto"/>
                  <w:vAlign w:val="center"/>
                </w:tcPr>
                <w:p>
                  <w:pPr>
                    <w:pStyle w:val="43"/>
                    <w:spacing w:beforeLines="0" w:line="240" w:lineRule="auto"/>
                  </w:pPr>
                  <w:r>
                    <w:rPr>
                      <w:rFonts w:hint="eastAsia"/>
                    </w:rPr>
                    <w:t>6</w:t>
                  </w:r>
                </w:p>
              </w:tc>
              <w:tc>
                <w:tcPr>
                  <w:tcW w:w="3054" w:type="dxa"/>
                  <w:shd w:val="clear" w:color="auto" w:fill="auto"/>
                  <w:vAlign w:val="center"/>
                </w:tcPr>
                <w:p>
                  <w:pPr>
                    <w:pStyle w:val="43"/>
                    <w:spacing w:beforeLines="0" w:line="240" w:lineRule="auto"/>
                  </w:pPr>
                  <w:r>
                    <w:rPr>
                      <w:spacing w:val="10"/>
                    </w:rPr>
                    <w:t>(五)严格入区项目环境准入管理。引进项目的生产工艺、</w:t>
                  </w:r>
                  <w:r>
                    <w:rPr>
                      <w:spacing w:val="4"/>
                    </w:rPr>
                    <w:t>设备，单位产品能耗、物耗、污染物排放和资源利用等清洁生产水平应达到国家清洁生产标准中的国内先进水平。严</w:t>
                  </w:r>
                  <w:r>
                    <w:rPr>
                      <w:spacing w:val="3"/>
                    </w:rPr>
                    <w:t>格落实《报</w:t>
                  </w:r>
                  <w:r>
                    <w:rPr>
                      <w:spacing w:val="-1"/>
                    </w:rPr>
                    <w:t>告书》提出的环境准入要求。</w:t>
                  </w:r>
                </w:p>
              </w:tc>
              <w:tc>
                <w:tcPr>
                  <w:tcW w:w="2281" w:type="dxa"/>
                  <w:shd w:val="clear" w:color="auto" w:fill="auto"/>
                  <w:vAlign w:val="center"/>
                </w:tcPr>
                <w:p>
                  <w:pPr>
                    <w:pStyle w:val="43"/>
                    <w:spacing w:beforeLines="0" w:line="240" w:lineRule="auto"/>
                  </w:pPr>
                  <w:r>
                    <w:rPr>
                      <w:rFonts w:hint="eastAsia"/>
                    </w:rPr>
                    <w:t>本项目符合《产业结构调整指导目录（2024年本）》的要求，符合片区规划及环境准入管理要求。</w:t>
                  </w:r>
                </w:p>
              </w:tc>
              <w:tc>
                <w:tcPr>
                  <w:tcW w:w="735" w:type="dxa"/>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jc w:val="center"/>
              </w:trPr>
              <w:tc>
                <w:tcPr>
                  <w:tcW w:w="695" w:type="dxa"/>
                  <w:shd w:val="clear" w:color="auto" w:fill="auto"/>
                  <w:vAlign w:val="center"/>
                </w:tcPr>
                <w:p>
                  <w:pPr>
                    <w:pStyle w:val="43"/>
                    <w:spacing w:beforeLines="0" w:line="240" w:lineRule="auto"/>
                  </w:pPr>
                  <w:r>
                    <w:rPr>
                      <w:rFonts w:hint="eastAsia"/>
                    </w:rPr>
                    <w:t>7</w:t>
                  </w:r>
                </w:p>
              </w:tc>
              <w:tc>
                <w:tcPr>
                  <w:tcW w:w="3054" w:type="dxa"/>
                  <w:shd w:val="clear" w:color="auto" w:fill="auto"/>
                  <w:vAlign w:val="center"/>
                </w:tcPr>
                <w:p>
                  <w:pPr>
                    <w:pStyle w:val="43"/>
                    <w:spacing w:beforeLines="0" w:line="240" w:lineRule="auto"/>
                  </w:pPr>
                  <w:r>
                    <w:rPr>
                      <w:spacing w:val="12"/>
                    </w:rPr>
                    <w:t>(六)建立健全区域环境风险防范和生态安全保障体系，加</w:t>
                  </w:r>
                  <w:r>
                    <w:rPr>
                      <w:spacing w:val="4"/>
                    </w:rPr>
                    <w:t>强区内重要风险源管控。组织制定生态环境保护规划，统筹考虑区内污染防治、生态恢复与建设、环境风险防范、环境管理等事宜。强化园区危险化学品储运的环境风险管理，建立应急响应联动机制，防范对饮用水水源保护区的环境风险，保障区域水环境</w:t>
                  </w:r>
                  <w:r>
                    <w:rPr>
                      <w:spacing w:val="15"/>
                      <w:sz w:val="26"/>
                      <w:szCs w:val="26"/>
                    </w:rPr>
                    <w:t>安全。</w:t>
                  </w:r>
                </w:p>
              </w:tc>
              <w:tc>
                <w:tcPr>
                  <w:tcW w:w="2281" w:type="dxa"/>
                  <w:shd w:val="clear" w:color="auto" w:fill="auto"/>
                  <w:vAlign w:val="center"/>
                </w:tcPr>
                <w:p>
                  <w:pPr>
                    <w:pStyle w:val="6"/>
                    <w:rPr>
                      <w:color w:val="auto"/>
                      <w:lang w:eastAsia="zh-CN"/>
                    </w:rPr>
                  </w:pPr>
                  <w:r>
                    <w:rPr>
                      <w:rFonts w:hint="eastAsia"/>
                      <w:color w:val="auto"/>
                      <w:lang w:eastAsia="zh-CN"/>
                    </w:rPr>
                    <w:t>项目位于</w:t>
                  </w:r>
                  <w:r>
                    <w:rPr>
                      <w:rFonts w:hint="eastAsia"/>
                      <w:color w:val="auto"/>
                      <w:spacing w:val="8"/>
                      <w:lang w:eastAsia="zh-CN"/>
                    </w:rPr>
                    <w:t>云南嵩明杨林工业园区东环路68号附3号，现有厂房中，项目危废暂存间</w:t>
                  </w:r>
                  <w:r>
                    <w:rPr>
                      <w:rFonts w:hint="eastAsia" w:ascii="宋体" w:hAnsi="宋体" w:eastAsia="宋体" w:cs="宋体"/>
                      <w:color w:val="auto"/>
                      <w:lang w:eastAsia="zh-CN"/>
                    </w:rPr>
                    <w:t>按照《危险废物贮存污染控制标准》（GB18597-2023）进行防渗</w:t>
                  </w:r>
                  <w:r>
                    <w:rPr>
                      <w:rFonts w:hint="eastAsia"/>
                      <w:color w:val="auto"/>
                      <w:spacing w:val="8"/>
                      <w:lang w:eastAsia="zh-CN"/>
                    </w:rPr>
                    <w:t>，采取环评提出的环保措施后对环境风险较小，且要求建设单位编制环境应急预案，配备应急物资，且定期演练。</w:t>
                  </w:r>
                </w:p>
              </w:tc>
              <w:tc>
                <w:tcPr>
                  <w:tcW w:w="735" w:type="dxa"/>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jc w:val="center"/>
              </w:trPr>
              <w:tc>
                <w:tcPr>
                  <w:tcW w:w="695" w:type="dxa"/>
                  <w:shd w:val="clear" w:color="auto" w:fill="auto"/>
                  <w:vAlign w:val="center"/>
                </w:tcPr>
                <w:p>
                  <w:pPr>
                    <w:pStyle w:val="43"/>
                    <w:spacing w:beforeLines="0" w:line="240" w:lineRule="auto"/>
                  </w:pPr>
                  <w:r>
                    <w:rPr>
                      <w:rFonts w:hint="eastAsia"/>
                    </w:rPr>
                    <w:t>8</w:t>
                  </w:r>
                </w:p>
              </w:tc>
              <w:tc>
                <w:tcPr>
                  <w:tcW w:w="3054" w:type="dxa"/>
                  <w:shd w:val="clear" w:color="auto" w:fill="auto"/>
                  <w:vAlign w:val="center"/>
                </w:tcPr>
                <w:p>
                  <w:pPr>
                    <w:pStyle w:val="43"/>
                    <w:spacing w:beforeLines="0" w:line="240" w:lineRule="auto"/>
                    <w:rPr>
                      <w:spacing w:val="12"/>
                    </w:rPr>
                  </w:pPr>
                  <w:r>
                    <w:rPr>
                      <w:spacing w:val="1"/>
                    </w:rPr>
                    <w:t>(七)加强环境影响跟踪监测，适时优化调整《规划》。根据</w:t>
                  </w:r>
                  <w:r>
                    <w:rPr>
                      <w:spacing w:val="4"/>
                    </w:rPr>
                    <w:t>园区功能分区、产业布局、重点企业分布、特征污染物的排放种类和状况、环境敏感目标分布等情况，建立包括环境空气、地表水、地下水、土壤、底泥等环境要素的监控体系，明确责任主体</w:t>
                  </w:r>
                  <w:r>
                    <w:rPr>
                      <w:spacing w:val="5"/>
                    </w:rPr>
                    <w:t>和实施时限等。做好区内大气、水、土壤等环境的长期跟踪监测与管理，根据监测结果、实际环境影响、区域污染物削减措施实</w:t>
                  </w:r>
                  <w:r>
                    <w:rPr>
                      <w:spacing w:val="3"/>
                    </w:rPr>
                    <w:t>施进度和效果适时优化调整《规划》。</w:t>
                  </w:r>
                </w:p>
              </w:tc>
              <w:tc>
                <w:tcPr>
                  <w:tcW w:w="2281" w:type="dxa"/>
                  <w:shd w:val="clear" w:color="auto" w:fill="auto"/>
                  <w:vAlign w:val="center"/>
                </w:tcPr>
                <w:p>
                  <w:pPr>
                    <w:pStyle w:val="43"/>
                    <w:spacing w:beforeLines="0" w:line="240" w:lineRule="auto"/>
                  </w:pPr>
                  <w:r>
                    <w:rPr>
                      <w:rFonts w:hint="eastAsia"/>
                    </w:rPr>
                    <w:t>项目产生主要污染为废水、废气、噪声，</w:t>
                  </w:r>
                  <w:r>
                    <w:rPr>
                      <w:rFonts w:hint="eastAsia"/>
                      <w:spacing w:val="8"/>
                    </w:rPr>
                    <w:t>采取环评提出的环保措施后对环境影响较小。且本环评已经提出跟踪监测方案，要求建设单位严格执行。</w:t>
                  </w:r>
                </w:p>
              </w:tc>
              <w:tc>
                <w:tcPr>
                  <w:tcW w:w="735" w:type="dxa"/>
                  <w:shd w:val="clear" w:color="auto" w:fill="auto"/>
                  <w:vAlign w:val="center"/>
                </w:tcPr>
                <w:p>
                  <w:pPr>
                    <w:pStyle w:val="43"/>
                    <w:spacing w:beforeLines="0" w:line="240" w:lineRule="auto"/>
                  </w:pPr>
                  <w:r>
                    <w:rPr>
                      <w:rFonts w:hint="eastAsi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jc w:val="center"/>
              </w:trPr>
              <w:tc>
                <w:tcPr>
                  <w:tcW w:w="695" w:type="dxa"/>
                  <w:shd w:val="clear" w:color="auto" w:fill="auto"/>
                  <w:vAlign w:val="center"/>
                </w:tcPr>
                <w:p>
                  <w:pPr>
                    <w:pStyle w:val="43"/>
                    <w:spacing w:beforeLines="0" w:line="240" w:lineRule="auto"/>
                  </w:pPr>
                  <w:r>
                    <w:rPr>
                      <w:rFonts w:hint="eastAsia"/>
                    </w:rPr>
                    <w:t>9</w:t>
                  </w:r>
                </w:p>
              </w:tc>
              <w:tc>
                <w:tcPr>
                  <w:tcW w:w="3054" w:type="dxa"/>
                  <w:shd w:val="clear" w:color="auto" w:fill="auto"/>
                  <w:vAlign w:val="center"/>
                </w:tcPr>
                <w:p>
                  <w:pPr>
                    <w:pStyle w:val="43"/>
                    <w:spacing w:beforeLines="0" w:line="240" w:lineRule="auto"/>
                    <w:rPr>
                      <w:spacing w:val="1"/>
                    </w:rPr>
                  </w:pPr>
                  <w:r>
                    <w:rPr>
                      <w:spacing w:val="11"/>
                    </w:rPr>
                    <w:t>(八)完善园区环境基础设施建设，推进区域</w:t>
                  </w:r>
                  <w:r>
                    <w:rPr>
                      <w:spacing w:val="10"/>
                    </w:rPr>
                    <w:t>环境质量持续</w:t>
                  </w:r>
                  <w:r>
                    <w:rPr>
                      <w:spacing w:val="4"/>
                    </w:rPr>
                    <w:t>改善和提升。加快推进污水管网、污水处理厂的建设，确</w:t>
                  </w:r>
                  <w:r>
                    <w:rPr>
                      <w:spacing w:val="3"/>
                    </w:rPr>
                    <w:t>保污水</w:t>
                  </w:r>
                  <w:r>
                    <w:rPr>
                      <w:spacing w:val="4"/>
                    </w:rPr>
                    <w:t>处理厂达标排放，逐步提高中水回用率；固体废物应合理妥</w:t>
                  </w:r>
                  <w:r>
                    <w:rPr>
                      <w:spacing w:val="3"/>
                    </w:rPr>
                    <w:t>善处</w:t>
                  </w:r>
                  <w:r>
                    <w:rPr>
                      <w:spacing w:val="6"/>
                    </w:rPr>
                    <w:t>理处置，危险废物交由有资质的单位统一收集处理。</w:t>
                  </w:r>
                </w:p>
              </w:tc>
              <w:tc>
                <w:tcPr>
                  <w:tcW w:w="2281" w:type="dxa"/>
                  <w:shd w:val="clear" w:color="auto" w:fill="auto"/>
                  <w:vAlign w:val="center"/>
                </w:tcPr>
                <w:p>
                  <w:pPr>
                    <w:pStyle w:val="43"/>
                    <w:spacing w:beforeLines="0" w:line="240" w:lineRule="auto"/>
                  </w:pPr>
                  <w:r>
                    <w:rPr>
                      <w:rFonts w:hint="eastAsia"/>
                    </w:rPr>
                    <w:t>本项目不产生生产废水，生活污水可排入园区污水管网，最终进入嵩明县第二污水处理厂处理。</w:t>
                  </w:r>
                  <w:r>
                    <w:rPr>
                      <w:rFonts w:hint="eastAsia"/>
                      <w:spacing w:val="4"/>
                    </w:rPr>
                    <w:t>一般固废经收集后出售给可回收利用的单位</w:t>
                  </w:r>
                  <w:r>
                    <w:rPr>
                      <w:spacing w:val="6"/>
                    </w:rPr>
                    <w:t>，危险废物交由有资质的单位统一收集处理</w:t>
                  </w:r>
                  <w:r>
                    <w:rPr>
                      <w:rFonts w:hint="eastAsia"/>
                      <w:spacing w:val="6"/>
                    </w:rPr>
                    <w:t>，</w:t>
                  </w:r>
                  <w:r>
                    <w:rPr>
                      <w:rFonts w:hint="eastAsia"/>
                    </w:rPr>
                    <w:t>项目固废处置率100%</w:t>
                  </w:r>
                </w:p>
              </w:tc>
              <w:tc>
                <w:tcPr>
                  <w:tcW w:w="735" w:type="dxa"/>
                  <w:shd w:val="clear" w:color="auto" w:fill="auto"/>
                  <w:vAlign w:val="center"/>
                </w:tcPr>
                <w:p>
                  <w:pPr>
                    <w:pStyle w:val="43"/>
                    <w:spacing w:beforeLines="0" w:line="240" w:lineRule="auto"/>
                  </w:pPr>
                  <w:r>
                    <w:rPr>
                      <w:rFonts w:hint="eastAsia"/>
                    </w:rPr>
                    <w:t>符合</w:t>
                  </w:r>
                </w:p>
              </w:tc>
            </w:tr>
          </w:tbl>
          <w:p>
            <w:pPr>
              <w:kinsoku/>
              <w:spacing w:line="360" w:lineRule="auto"/>
              <w:ind w:firstLine="512" w:firstLineChars="200"/>
              <w:rPr>
                <w:b/>
                <w:bCs/>
                <w:color w:val="auto"/>
                <w:spacing w:val="-3"/>
                <w:lang w:eastAsia="zh-CN"/>
              </w:rPr>
            </w:pPr>
            <w:r>
              <w:rPr>
                <w:rFonts w:ascii="宋体" w:hAnsi="宋体" w:eastAsia="宋体" w:cs="宋体"/>
                <w:color w:val="auto"/>
                <w:spacing w:val="8"/>
                <w:sz w:val="24"/>
                <w:szCs w:val="24"/>
                <w:lang w:eastAsia="zh-CN"/>
              </w:rPr>
              <w:t>根据上表，本项目的建设符合《云南嵩明杨林工业园区总体规划修改（2018-2035）环境影响报告书》审查意见中相关要求。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933" w:type="dxa"/>
            <w:tcBorders>
              <w:left w:val="single" w:color="000000" w:sz="6" w:space="0"/>
            </w:tcBorders>
            <w:shd w:val="clear" w:color="auto" w:fill="auto"/>
            <w:vAlign w:val="center"/>
          </w:tcPr>
          <w:p>
            <w:pPr>
              <w:pStyle w:val="22"/>
              <w:kinsoku/>
              <w:spacing w:before="78" w:line="219" w:lineRule="auto"/>
              <w:ind w:left="128"/>
              <w:jc w:val="center"/>
              <w:rPr>
                <w:rFonts w:hint="eastAsia"/>
                <w:color w:val="auto"/>
              </w:rPr>
            </w:pPr>
            <w:r>
              <w:rPr>
                <w:color w:val="auto"/>
                <w:spacing w:val="-2"/>
              </w:rPr>
              <w:t>其他符合性分析</w:t>
            </w:r>
          </w:p>
        </w:tc>
        <w:tc>
          <w:tcPr>
            <w:tcW w:w="7167" w:type="dxa"/>
            <w:gridSpan w:val="4"/>
            <w:tcBorders>
              <w:right w:val="single" w:color="000000" w:sz="6" w:space="0"/>
            </w:tcBorders>
            <w:shd w:val="clear" w:color="auto" w:fill="auto"/>
          </w:tcPr>
          <w:p>
            <w:pPr>
              <w:pStyle w:val="22"/>
              <w:kinsoku/>
              <w:spacing w:line="360" w:lineRule="auto"/>
              <w:ind w:firstLine="470"/>
              <w:rPr>
                <w:rFonts w:hint="eastAsia"/>
                <w:color w:val="auto"/>
                <w:lang w:eastAsia="zh-CN"/>
              </w:rPr>
            </w:pPr>
            <w:r>
              <w:rPr>
                <w:rFonts w:hint="eastAsia" w:ascii="Times New Roman" w:hAnsi="Times New Roman" w:eastAsia="Times New Roman" w:cs="Times New Roman"/>
                <w:b/>
                <w:bCs/>
                <w:color w:val="auto"/>
                <w:spacing w:val="-3"/>
                <w:lang w:eastAsia="zh-CN"/>
              </w:rPr>
              <w:t>1</w:t>
            </w:r>
            <w:r>
              <w:rPr>
                <w:b/>
                <w:bCs/>
                <w:color w:val="auto"/>
                <w:spacing w:val="-3"/>
                <w:lang w:eastAsia="zh-CN"/>
              </w:rPr>
              <w:t>、项目与</w:t>
            </w:r>
            <w:r>
              <w:rPr>
                <w:rFonts w:hint="eastAsia"/>
                <w:b/>
                <w:bCs/>
                <w:color w:val="auto"/>
                <w:spacing w:val="-3"/>
                <w:lang w:eastAsia="zh-CN"/>
              </w:rPr>
              <w:t>《昆明市生态环境分区管控动态更新方案》</w:t>
            </w:r>
            <w:r>
              <w:rPr>
                <w:rFonts w:ascii="Times New Roman" w:hAnsi="Times New Roman" w:cs="Times New Roman"/>
                <w:color w:val="auto"/>
                <w:lang w:eastAsia="zh-CN"/>
              </w:rPr>
              <w:t>（2023年）</w:t>
            </w:r>
            <w:r>
              <w:rPr>
                <w:b/>
                <w:bCs/>
                <w:color w:val="auto"/>
                <w:spacing w:val="-3"/>
                <w:lang w:eastAsia="zh-CN"/>
              </w:rPr>
              <w:t>相关要求相符性分析</w:t>
            </w:r>
          </w:p>
          <w:p>
            <w:pPr>
              <w:kinsoku/>
              <w:spacing w:line="360" w:lineRule="auto"/>
              <w:ind w:firstLine="480" w:firstLineChars="200"/>
              <w:rPr>
                <w:rFonts w:ascii="Times New Roman" w:hAnsi="Times New Roman" w:eastAsia="宋体" w:cs="Times New Roman"/>
                <w:color w:val="auto"/>
                <w:spacing w:val="3"/>
                <w:sz w:val="24"/>
                <w:szCs w:val="24"/>
                <w:lang w:eastAsia="zh-CN"/>
              </w:rPr>
            </w:pPr>
            <w:bookmarkStart w:id="9" w:name="_Toc25510"/>
            <w:r>
              <w:rPr>
                <w:rFonts w:ascii="Times New Roman" w:hAnsi="Times New Roman" w:eastAsia="宋体" w:cs="Times New Roman"/>
                <w:color w:val="auto"/>
                <w:sz w:val="24"/>
                <w:szCs w:val="24"/>
                <w:lang w:eastAsia="zh-CN"/>
              </w:rPr>
              <w:t>根据《生态环境分区管控管理暂行规定</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中共云南省委办公厅 云南省人民政府办公厅关于加强生态环境分区管控的实施意见</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昆明市生态环境分区管控动态更新方案（2023年）》，根据云南省生态环境分区管控公共服务查询平台</w:t>
            </w:r>
            <w:r>
              <w:rPr>
                <w:rStyle w:val="20"/>
                <w:rFonts w:hint="eastAsia" w:eastAsia="宋体"/>
                <w:color w:val="auto"/>
                <w:sz w:val="24"/>
                <w:szCs w:val="24"/>
                <w:lang w:eastAsia="zh-CN"/>
              </w:rPr>
              <w:t>（环境管控单元编码：</w:t>
            </w:r>
            <w:r>
              <w:rPr>
                <w:color w:val="auto"/>
                <w:sz w:val="24"/>
                <w:szCs w:val="24"/>
                <w:lang w:eastAsia="zh-CN"/>
              </w:rPr>
              <w:t>ZH53012720002</w:t>
            </w:r>
            <w:r>
              <w:rPr>
                <w:rStyle w:val="20"/>
                <w:rFonts w:hint="eastAsia" w:eastAsia="宋体"/>
                <w:color w:val="auto"/>
                <w:sz w:val="24"/>
                <w:szCs w:val="24"/>
                <w:lang w:eastAsia="zh-CN"/>
              </w:rPr>
              <w:t>）</w:t>
            </w:r>
            <w:r>
              <w:rPr>
                <w:rFonts w:ascii="Times New Roman" w:hAnsi="Times New Roman" w:eastAsia="宋体" w:cs="Times New Roman"/>
                <w:color w:val="auto"/>
                <w:sz w:val="24"/>
                <w:szCs w:val="24"/>
                <w:lang w:eastAsia="zh-CN"/>
              </w:rPr>
              <w:t>，</w:t>
            </w:r>
            <w:r>
              <w:rPr>
                <w:rFonts w:ascii="Times New Roman" w:hAnsi="Times New Roman" w:eastAsia="宋体" w:cs="Times New Roman"/>
                <w:color w:val="auto"/>
                <w:spacing w:val="3"/>
                <w:sz w:val="24"/>
                <w:szCs w:val="24"/>
                <w:lang w:eastAsia="zh-CN"/>
              </w:rPr>
              <w:t>本项目位于嵩明杨林经济技术开发区重点管控单元。</w:t>
            </w:r>
          </w:p>
          <w:p>
            <w:pPr>
              <w:kinsoku/>
              <w:spacing w:line="360" w:lineRule="auto"/>
              <w:jc w:val="center"/>
              <w:rPr>
                <w:rFonts w:ascii="Times New Roman" w:hAnsi="Times New Roman" w:eastAsia="宋体" w:cs="Times New Roman"/>
                <w:color w:val="auto"/>
                <w:spacing w:val="3"/>
                <w:sz w:val="24"/>
                <w:szCs w:val="24"/>
                <w:lang w:eastAsia="zh-CN"/>
              </w:rPr>
            </w:pPr>
            <w:r>
              <w:rPr>
                <w:rFonts w:ascii="Times New Roman" w:hAnsi="Times New Roman" w:eastAsia="宋体" w:cs="Times New Roman"/>
                <w:color w:val="auto"/>
                <w:spacing w:val="3"/>
                <w:sz w:val="24"/>
                <w:szCs w:val="24"/>
                <w:lang w:eastAsia="zh-CN"/>
              </w:rPr>
              <w:drawing>
                <wp:inline distT="0" distB="0" distL="114300" distR="114300">
                  <wp:extent cx="3754120" cy="3768090"/>
                  <wp:effectExtent l="0" t="0" r="17780" b="3810"/>
                  <wp:docPr id="13" name="图片 13" descr="管控单元截图202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管控单元截图20250329"/>
                          <pic:cNvPicPr>
                            <a:picLocks noChangeAspect="1"/>
                          </pic:cNvPicPr>
                        </pic:nvPicPr>
                        <pic:blipFill>
                          <a:blip r:embed="rId19"/>
                          <a:stretch>
                            <a:fillRect/>
                          </a:stretch>
                        </pic:blipFill>
                        <pic:spPr>
                          <a:xfrm>
                            <a:off x="0" y="0"/>
                            <a:ext cx="3754120" cy="3768090"/>
                          </a:xfrm>
                          <a:prstGeom prst="rect">
                            <a:avLst/>
                          </a:prstGeom>
                        </pic:spPr>
                      </pic:pic>
                    </a:graphicData>
                  </a:graphic>
                </wp:inline>
              </w:drawing>
            </w:r>
          </w:p>
          <w:p>
            <w:pPr>
              <w:kinsoku/>
              <w:spacing w:line="360" w:lineRule="auto"/>
              <w:jc w:val="center"/>
              <w:rPr>
                <w:rFonts w:ascii="Times New Roman" w:hAnsi="Times New Roman" w:eastAsia="宋体" w:cs="Times New Roman"/>
                <w:color w:val="auto"/>
                <w:spacing w:val="3"/>
                <w:sz w:val="24"/>
                <w:szCs w:val="24"/>
                <w:lang w:eastAsia="zh-CN"/>
              </w:rPr>
            </w:pPr>
            <w:r>
              <w:rPr>
                <w:rFonts w:ascii="Times New Roman" w:hAnsi="Times New Roman" w:eastAsia="宋体" w:cs="Times New Roman"/>
                <w:b/>
                <w:bCs/>
                <w:color w:val="auto"/>
                <w:spacing w:val="7"/>
                <w:sz w:val="20"/>
                <w:szCs w:val="20"/>
                <w:lang w:eastAsia="zh-CN"/>
              </w:rPr>
              <w:t>图1-1 分区管控单元查询结果图</w:t>
            </w:r>
          </w:p>
          <w:p>
            <w:pPr>
              <w:kinsoku/>
              <w:spacing w:line="360" w:lineRule="auto"/>
              <w:ind w:firstLine="492" w:firstLineChars="200"/>
              <w:rPr>
                <w:color w:val="auto"/>
                <w:spacing w:val="-1"/>
                <w:lang w:eastAsia="zh-CN"/>
              </w:rPr>
            </w:pPr>
            <w:r>
              <w:rPr>
                <w:rFonts w:cs="宋体"/>
                <w:color w:val="auto"/>
                <w:spacing w:val="3"/>
                <w:sz w:val="24"/>
                <w:szCs w:val="24"/>
                <w:lang w:eastAsia="zh-CN"/>
              </w:rPr>
              <w:t>项目与昆明市环境管控单元生态环境准入清单的符合性分析如下</w:t>
            </w:r>
            <w:r>
              <w:rPr>
                <w:color w:val="auto"/>
                <w:spacing w:val="-1"/>
                <w:lang w:eastAsia="zh-CN"/>
              </w:rPr>
              <w:t>：</w:t>
            </w:r>
            <w:bookmarkEnd w:id="9"/>
          </w:p>
          <w:p>
            <w:pPr>
              <w:pStyle w:val="22"/>
              <w:kinsoku/>
              <w:spacing w:before="179" w:line="360" w:lineRule="auto"/>
              <w:jc w:val="center"/>
              <w:rPr>
                <w:rFonts w:hint="eastAsia"/>
                <w:b/>
                <w:bCs/>
                <w:color w:val="auto"/>
                <w:spacing w:val="7"/>
                <w:sz w:val="20"/>
                <w:szCs w:val="20"/>
                <w:lang w:eastAsia="zh-CN"/>
              </w:rPr>
            </w:pPr>
            <w:r>
              <w:rPr>
                <w:b/>
                <w:bCs/>
                <w:color w:val="auto"/>
                <w:spacing w:val="7"/>
                <w:sz w:val="20"/>
                <w:szCs w:val="20"/>
                <w:lang w:eastAsia="zh-CN"/>
              </w:rPr>
              <w:t>表1-</w:t>
            </w:r>
            <w:r>
              <w:rPr>
                <w:rFonts w:hint="eastAsia"/>
                <w:b/>
                <w:bCs/>
                <w:color w:val="auto"/>
                <w:spacing w:val="7"/>
                <w:sz w:val="20"/>
                <w:szCs w:val="20"/>
                <w:lang w:eastAsia="zh-CN"/>
              </w:rPr>
              <w:t>5项目与</w:t>
            </w:r>
            <w:r>
              <w:rPr>
                <w:b/>
                <w:bCs/>
                <w:color w:val="auto"/>
                <w:spacing w:val="7"/>
                <w:sz w:val="20"/>
                <w:szCs w:val="20"/>
                <w:lang w:eastAsia="zh-CN"/>
              </w:rPr>
              <w:t>昆明市</w:t>
            </w:r>
            <w:r>
              <w:rPr>
                <w:rFonts w:hint="eastAsia"/>
                <w:b/>
                <w:bCs/>
                <w:color w:val="auto"/>
                <w:spacing w:val="7"/>
                <w:sz w:val="20"/>
                <w:szCs w:val="20"/>
                <w:lang w:eastAsia="zh-CN"/>
              </w:rPr>
              <w:t>生态环境管控</w:t>
            </w:r>
            <w:r>
              <w:rPr>
                <w:b/>
                <w:bCs/>
                <w:color w:val="auto"/>
                <w:spacing w:val="7"/>
                <w:sz w:val="20"/>
                <w:szCs w:val="20"/>
                <w:lang w:eastAsia="zh-CN"/>
              </w:rPr>
              <w:t>总体准入要求</w:t>
            </w:r>
            <w:r>
              <w:rPr>
                <w:rFonts w:hint="eastAsia"/>
                <w:b/>
                <w:bCs/>
                <w:color w:val="auto"/>
                <w:spacing w:val="7"/>
                <w:sz w:val="20"/>
                <w:szCs w:val="20"/>
                <w:lang w:eastAsia="zh-CN"/>
              </w:rPr>
              <w:t>相关部分的符合性</w:t>
            </w:r>
          </w:p>
          <w:tbl>
            <w:tblPr>
              <w:tblStyle w:val="16"/>
              <w:tblW w:w="7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224"/>
              <w:gridCol w:w="24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rPr>
                    <w:t>管控领域</w:t>
                  </w:r>
                </w:p>
              </w:tc>
              <w:tc>
                <w:tcPr>
                  <w:tcW w:w="3223"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管控要求</w:t>
                  </w:r>
                </w:p>
              </w:tc>
              <w:tc>
                <w:tcPr>
                  <w:tcW w:w="2495"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本项目</w:t>
                  </w:r>
                </w:p>
              </w:tc>
              <w:tc>
                <w:tcPr>
                  <w:tcW w:w="696"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空间布局约束</w:t>
                  </w:r>
                </w:p>
              </w:tc>
              <w:tc>
                <w:tcPr>
                  <w:tcW w:w="3223"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1.根据《昆明市国土空间总体规划（2021—2035年）》进行空间管控。</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2.牛栏江流域内，严格按照《云南省牛栏江保护条例》相关要求对水环境进行分区管控。</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3.滇池流域内，严格按照《云南省滇池湖滨生态红线及湖泊生态黄线“两线”划定方案》相关要求进行分区管控。</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4.阳宗海流域内，严格按照《云南省阳宗海湖滨生态红线及湖泊生态黄线“两线”划定方案》相关要求进行分区管控。</w:t>
                  </w:r>
                </w:p>
              </w:tc>
              <w:tc>
                <w:tcPr>
                  <w:tcW w:w="2495" w:type="dxa"/>
                  <w:shd w:val="clear" w:color="auto" w:fill="auto"/>
                  <w:vAlign w:val="center"/>
                </w:tcPr>
                <w:p>
                  <w:pPr>
                    <w:kinsoku/>
                    <w:rPr>
                      <w:rFonts w:ascii="Times New Roman" w:hAnsi="Times New Roman" w:eastAsia="宋体" w:cs="Times New Roman"/>
                      <w:color w:val="auto"/>
                      <w:spacing w:val="3"/>
                      <w:lang w:eastAsia="zh-CN"/>
                    </w:rPr>
                  </w:pPr>
                  <w:r>
                    <w:rPr>
                      <w:rFonts w:ascii="Times New Roman" w:hAnsi="Times New Roman" w:eastAsia="宋体" w:cs="Times New Roman"/>
                      <w:color w:val="auto"/>
                      <w:spacing w:val="8"/>
                      <w:lang w:eastAsia="zh-CN"/>
                    </w:rPr>
                    <w:t>1、本项目位于</w:t>
                  </w:r>
                  <w:r>
                    <w:rPr>
                      <w:rFonts w:hint="eastAsia" w:ascii="Times New Roman" w:hAnsi="Times New Roman" w:eastAsia="宋体" w:cs="Times New Roman"/>
                      <w:color w:val="auto"/>
                      <w:spacing w:val="8"/>
                      <w:lang w:eastAsia="zh-CN"/>
                    </w:rPr>
                    <w:t>云南嵩明杨林工业园区东环路68号附3号</w:t>
                  </w:r>
                  <w:r>
                    <w:rPr>
                      <w:rFonts w:ascii="Times New Roman" w:hAnsi="Times New Roman" w:eastAsia="宋体" w:cs="Times New Roman"/>
                      <w:color w:val="auto"/>
                      <w:spacing w:val="-5"/>
                      <w:lang w:eastAsia="zh-CN"/>
                    </w:rPr>
                    <w:t>，</w:t>
                  </w:r>
                  <w:r>
                    <w:rPr>
                      <w:rFonts w:ascii="Times New Roman" w:hAnsi="Times New Roman" w:eastAsia="宋体" w:cs="Times New Roman"/>
                      <w:color w:val="auto"/>
                      <w:spacing w:val="7"/>
                      <w:lang w:eastAsia="zh-CN"/>
                    </w:rPr>
                    <w:t>项目用地为工业用地，符合</w:t>
                  </w:r>
                  <w:r>
                    <w:rPr>
                      <w:rFonts w:ascii="Times New Roman" w:hAnsi="Times New Roman" w:eastAsia="宋体" w:cs="Times New Roman"/>
                      <w:color w:val="auto"/>
                      <w:lang w:eastAsia="zh-CN"/>
                    </w:rPr>
                    <w:t>《昆明市国土空间总体规划（2021—2035年）》；2、</w:t>
                  </w:r>
                  <w:r>
                    <w:rPr>
                      <w:rFonts w:hint="eastAsia" w:ascii="Times New Roman" w:hAnsi="Times New Roman" w:eastAsia="宋体" w:cs="Times New Roman"/>
                      <w:color w:val="auto"/>
                      <w:lang w:eastAsia="zh-CN"/>
                    </w:rPr>
                    <w:t>本项目位于牛栏江流域重点污染控制区</w:t>
                  </w:r>
                  <w:r>
                    <w:rPr>
                      <w:rFonts w:ascii="Times New Roman" w:hAnsi="Times New Roman" w:eastAsia="宋体" w:cs="Times New Roman"/>
                      <w:color w:val="auto"/>
                      <w:spacing w:val="3"/>
                      <w:lang w:eastAsia="zh-CN"/>
                    </w:rPr>
                    <w:t>；</w:t>
                  </w:r>
                </w:p>
                <w:p>
                  <w:pPr>
                    <w:kinsoku/>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3、项目不属于滇池流域；</w:t>
                  </w:r>
                </w:p>
                <w:p>
                  <w:pPr>
                    <w:kinsoku/>
                    <w:rPr>
                      <w:rFonts w:ascii="Times New Roman" w:hAnsi="Times New Roman" w:eastAsia="宋体" w:cs="Times New Roman"/>
                      <w:color w:val="auto"/>
                      <w:lang w:eastAsia="zh-CN"/>
                    </w:rPr>
                  </w:pPr>
                  <w:r>
                    <w:rPr>
                      <w:rFonts w:ascii="Times New Roman" w:hAnsi="Times New Roman" w:eastAsia="宋体" w:cs="Times New Roman"/>
                      <w:color w:val="auto"/>
                      <w:spacing w:val="3"/>
                      <w:lang w:eastAsia="zh-CN"/>
                    </w:rPr>
                    <w:t>4、项目不属于阳宗海流域</w:t>
                  </w:r>
                </w:p>
              </w:tc>
              <w:tc>
                <w:tcPr>
                  <w:tcW w:w="69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污染物排放管控</w:t>
                  </w:r>
                </w:p>
              </w:tc>
              <w:tc>
                <w:tcPr>
                  <w:tcW w:w="3223"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1.到2025年，昆明市地表水国、省控断面达到或好于</w:t>
                  </w:r>
                  <w:r>
                    <w:rPr>
                      <w:rFonts w:hint="eastAsia" w:ascii="Times New Roman" w:hAnsi="Times New Roman" w:eastAsia="宋体" w:cs="Times New Roman"/>
                      <w:color w:val="auto"/>
                      <w:lang w:eastAsia="zh-CN"/>
                    </w:rPr>
                    <w:t>Ⅲ</w:t>
                  </w:r>
                  <w:r>
                    <w:rPr>
                      <w:rFonts w:ascii="Times New Roman" w:hAnsi="Times New Roman" w:eastAsia="宋体" w:cs="Times New Roman"/>
                      <w:color w:val="auto"/>
                      <w:lang w:eastAsia="zh-CN"/>
                    </w:rPr>
                    <w:t>类水体比例应达到81.5%；滇池草海水质稳定达到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、外海水质达到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（COD≤40mg/L），阳宗海水质稳定达到Ⅲ类水标准，县级及以上集中式饮用水水源地水质达标率100%。化学需氧量重点工程减排量10243t，氨氮重点工程减排量1009t。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2.到2025年，昆明市环境空气质量优良天数比例应达到99.1%，城市细颗粒物（PM</w:t>
                  </w:r>
                  <w:r>
                    <w:rPr>
                      <w:rFonts w:ascii="Times New Roman" w:hAnsi="Times New Roman" w:eastAsia="宋体" w:cs="Times New Roman"/>
                      <w:color w:val="auto"/>
                      <w:vertAlign w:val="subscript"/>
                      <w:lang w:eastAsia="zh-CN"/>
                    </w:rPr>
                    <w:t>2.5</w:t>
                  </w:r>
                  <w:r>
                    <w:rPr>
                      <w:rFonts w:ascii="Times New Roman" w:hAnsi="Times New Roman" w:eastAsia="宋体" w:cs="Times New Roman"/>
                      <w:color w:val="auto"/>
                      <w:lang w:eastAsia="zh-CN"/>
                    </w:rPr>
                    <w:t>）平均浓度应达到24</w:t>
                  </w:r>
                  <w:r>
                    <w:rPr>
                      <w:rFonts w:ascii="Times New Roman" w:hAnsi="Times New Roman" w:eastAsia="宋体" w:cs="Times New Roman"/>
                      <w:color w:val="auto"/>
                    </w:rPr>
                    <w:t>μ</w:t>
                  </w:r>
                  <w:r>
                    <w:rPr>
                      <w:rFonts w:ascii="Times New Roman" w:hAnsi="Times New Roman" w:eastAsia="宋体" w:cs="Times New Roman"/>
                      <w:color w:val="auto"/>
                      <w:lang w:eastAsia="zh-CN"/>
                    </w:rPr>
                    <w:t>g/m³；氮氧化物重点工程减排量2237t，挥发性有机物重点工程减排量1684t。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4.建立完善源头、过程和末端的VOCs全过程控制体系，实施VOCs排放总量控制。</w:t>
                  </w:r>
                </w:p>
              </w:tc>
              <w:tc>
                <w:tcPr>
                  <w:tcW w:w="2495" w:type="dxa"/>
                  <w:shd w:val="clear" w:color="auto" w:fill="auto"/>
                  <w:vAlign w:val="center"/>
                </w:tcPr>
                <w:p>
                  <w:pPr>
                    <w:kinsoku/>
                    <w:rPr>
                      <w:rFonts w:ascii="Times New Roman" w:hAnsi="Times New Roman" w:eastAsia="宋体" w:cs="Times New Roman"/>
                      <w:color w:val="auto"/>
                      <w:spacing w:val="4"/>
                      <w:lang w:eastAsia="zh-CN"/>
                    </w:rPr>
                  </w:pPr>
                  <w:r>
                    <w:rPr>
                      <w:rFonts w:hint="eastAsia" w:ascii="Times New Roman" w:hAnsi="Times New Roman" w:eastAsia="宋体" w:cs="Times New Roman"/>
                      <w:color w:val="auto"/>
                      <w:spacing w:val="4"/>
                      <w:lang w:eastAsia="zh-CN"/>
                    </w:rPr>
                    <w:t>1、</w:t>
                  </w:r>
                  <w:r>
                    <w:rPr>
                      <w:rFonts w:ascii="Times New Roman" w:hAnsi="Times New Roman" w:eastAsia="宋体" w:cs="Times New Roman"/>
                      <w:color w:val="auto"/>
                      <w:spacing w:val="4"/>
                      <w:lang w:eastAsia="zh-CN"/>
                    </w:rPr>
                    <w:t>评价区域内水系为</w:t>
                  </w:r>
                  <w:r>
                    <w:rPr>
                      <w:rFonts w:hint="eastAsia"/>
                    </w:rPr>
                    <w:t>花庄河</w:t>
                  </w:r>
                  <w:r>
                    <w:rPr>
                      <w:rFonts w:hint="eastAsia"/>
                      <w:lang w:eastAsia="zh-CN"/>
                    </w:rPr>
                    <w:t>（</w:t>
                  </w:r>
                  <w:r>
                    <w:rPr>
                      <w:rFonts w:hint="eastAsia"/>
                      <w:lang w:val="en-US" w:eastAsia="zh-CN"/>
                    </w:rPr>
                    <w:t>对龙河</w:t>
                  </w:r>
                  <w:r>
                    <w:rPr>
                      <w:rFonts w:hint="eastAsia"/>
                      <w:lang w:eastAsia="zh-CN"/>
                    </w:rPr>
                    <w:t>）</w:t>
                  </w:r>
                  <w:r>
                    <w:rPr>
                      <w:color w:val="auto"/>
                      <w:spacing w:val="3"/>
                      <w:lang w:eastAsia="zh-CN"/>
                    </w:rPr>
                    <w:t>，</w:t>
                  </w:r>
                  <w:r>
                    <w:rPr>
                      <w:rFonts w:hint="eastAsia"/>
                    </w:rPr>
                    <w:t>花庄河</w:t>
                  </w:r>
                  <w:r>
                    <w:rPr>
                      <w:rFonts w:hint="eastAsia"/>
                      <w:lang w:eastAsia="zh-CN"/>
                    </w:rPr>
                    <w:t>（</w:t>
                  </w:r>
                  <w:r>
                    <w:rPr>
                      <w:rFonts w:hint="eastAsia"/>
                      <w:lang w:val="en-US" w:eastAsia="zh-CN"/>
                    </w:rPr>
                    <w:t>对龙河</w:t>
                  </w:r>
                  <w:r>
                    <w:rPr>
                      <w:rFonts w:hint="eastAsia"/>
                      <w:lang w:eastAsia="zh-CN"/>
                    </w:rPr>
                    <w:t>）</w:t>
                  </w:r>
                  <w:r>
                    <w:rPr>
                      <w:color w:val="auto"/>
                      <w:spacing w:val="3"/>
                      <w:lang w:eastAsia="zh-CN"/>
                    </w:rPr>
                    <w:t>位于项目</w:t>
                  </w:r>
                  <w:r>
                    <w:rPr>
                      <w:rFonts w:hint="eastAsia"/>
                      <w:color w:val="auto"/>
                      <w:spacing w:val="3"/>
                      <w:lang w:eastAsia="zh-CN"/>
                    </w:rPr>
                    <w:t>西北面</w:t>
                  </w:r>
                  <w:r>
                    <w:rPr>
                      <w:rFonts w:ascii="Times New Roman" w:hAnsi="Times New Roman" w:eastAsia="Times New Roman" w:cs="Times New Roman"/>
                      <w:color w:val="auto"/>
                      <w:spacing w:val="3"/>
                      <w:lang w:eastAsia="zh-CN"/>
                    </w:rPr>
                    <w:t>1247m</w:t>
                  </w:r>
                  <w:r>
                    <w:rPr>
                      <w:color w:val="auto"/>
                      <w:spacing w:val="3"/>
                      <w:lang w:eastAsia="zh-CN"/>
                    </w:rPr>
                    <w:t>。</w:t>
                  </w:r>
                  <w:r>
                    <w:rPr>
                      <w:rFonts w:ascii="Times New Roman" w:hAnsi="Times New Roman" w:eastAsia="宋体" w:cs="Times New Roman"/>
                      <w:color w:val="auto"/>
                      <w:spacing w:val="4"/>
                      <w:lang w:eastAsia="zh-CN"/>
                    </w:rPr>
                    <w:t>根据嵩明县人民政府环境监测信息公开《</w:t>
                  </w:r>
                  <w:r>
                    <w:rPr>
                      <w:rFonts w:hint="eastAsia" w:ascii="Times New Roman" w:hAnsi="Times New Roman" w:eastAsia="宋体" w:cs="Times New Roman"/>
                      <w:color w:val="auto"/>
                      <w:spacing w:val="4"/>
                      <w:lang w:eastAsia="zh-CN"/>
                    </w:rPr>
                    <w:t>嵩明县2024年环境质量状况公报</w:t>
                  </w:r>
                  <w:r>
                    <w:rPr>
                      <w:rFonts w:ascii="Times New Roman" w:hAnsi="Times New Roman" w:eastAsia="宋体" w:cs="Times New Roman"/>
                      <w:color w:val="auto"/>
                      <w:spacing w:val="4"/>
                      <w:lang w:eastAsia="zh-CN"/>
                    </w:rPr>
                    <w:t>》显示，</w:t>
                  </w:r>
                  <w:r>
                    <w:rPr>
                      <w:rFonts w:hint="eastAsia" w:ascii="Times New Roman" w:hAnsi="Times New Roman" w:cs="Times New Roman"/>
                      <w:color w:val="auto"/>
                      <w:spacing w:val="4"/>
                      <w:lang w:eastAsia="zh-CN"/>
                    </w:rPr>
                    <w:t>2</w:t>
                  </w:r>
                  <w:r>
                    <w:rPr>
                      <w:rFonts w:hint="eastAsia" w:ascii="Times New Roman" w:hAnsi="Times New Roman" w:eastAsia="宋体" w:cs="Times New Roman"/>
                      <w:color w:val="auto"/>
                      <w:spacing w:val="4"/>
                      <w:lang w:eastAsia="zh-CN"/>
                    </w:rPr>
                    <w:t>023年</w:t>
                  </w:r>
                  <w:r>
                    <w:rPr>
                      <w:rFonts w:ascii="Times New Roman" w:hAnsi="Times New Roman" w:eastAsia="宋体" w:cs="Times New Roman"/>
                      <w:color w:val="auto"/>
                      <w:spacing w:val="4"/>
                      <w:lang w:eastAsia="zh-CN"/>
                    </w:rPr>
                    <w:t>对龙河-官渡桥断面水质为Ⅲ类</w:t>
                  </w:r>
                  <w:r>
                    <w:rPr>
                      <w:rFonts w:hint="eastAsia" w:ascii="Times New Roman" w:hAnsi="Times New Roman" w:cs="Times New Roman"/>
                      <w:color w:val="auto"/>
                      <w:spacing w:val="4"/>
                      <w:lang w:eastAsia="zh-CN"/>
                    </w:rPr>
                    <w:t>，</w:t>
                  </w:r>
                  <w:r>
                    <w:rPr>
                      <w:rFonts w:ascii="Times New Roman" w:hAnsi="Times New Roman" w:eastAsia="宋体" w:cs="Times New Roman"/>
                      <w:color w:val="auto"/>
                      <w:spacing w:val="4"/>
                      <w:lang w:eastAsia="zh-CN"/>
                    </w:rPr>
                    <w:t>水质能够满足《地表水环境质量标准》（GB3838-2002）</w:t>
                  </w:r>
                  <w:r>
                    <w:rPr>
                      <w:rFonts w:hint="eastAsia" w:ascii="Times New Roman" w:hAnsi="Times New Roman" w:eastAsia="宋体" w:cs="Times New Roman"/>
                      <w:color w:val="auto"/>
                      <w:spacing w:val="4"/>
                      <w:lang w:eastAsia="zh-CN"/>
                    </w:rPr>
                    <w:t>Ⅲ</w:t>
                  </w:r>
                  <w:r>
                    <w:rPr>
                      <w:rFonts w:ascii="Times New Roman" w:hAnsi="Times New Roman" w:eastAsia="宋体" w:cs="Times New Roman"/>
                      <w:color w:val="auto"/>
                      <w:spacing w:val="4"/>
                      <w:lang w:eastAsia="zh-CN"/>
                    </w:rPr>
                    <w:t>类水体标准。</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spacing w:val="4"/>
                      <w:lang w:eastAsia="zh-CN"/>
                    </w:rPr>
                    <w:t>2、</w:t>
                  </w:r>
                  <w:r>
                    <w:rPr>
                      <w:rFonts w:hint="eastAsia" w:ascii="Times New Roman" w:hAnsi="Times New Roman" w:eastAsia="宋体" w:cs="Times New Roman"/>
                      <w:color w:val="auto"/>
                      <w:lang w:eastAsia="zh-CN"/>
                    </w:rPr>
                    <w:t>根据</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嵩明县2024年环境质量状况公报</w:t>
                  </w:r>
                  <w:r>
                    <w:rPr>
                      <w:rFonts w:ascii="Times New Roman" w:hAnsi="Times New Roman" w:eastAsia="宋体" w:cs="Times New Roman"/>
                      <w:color w:val="auto"/>
                      <w:lang w:eastAsia="zh-CN"/>
                    </w:rPr>
                    <w:t>》，嵩明县环境空气质量能够达到</w:t>
                  </w:r>
                  <w:r>
                    <w:rPr>
                      <w:rFonts w:hint="eastAsia" w:ascii="Times New Roman" w:hAnsi="Times New Roman" w:eastAsia="宋体" w:cs="Times New Roman"/>
                      <w:color w:val="auto"/>
                      <w:lang w:eastAsia="zh-CN"/>
                    </w:rPr>
                    <w:t>《环境空气质量标准》（GB3095-2012）及2018年修改单</w:t>
                  </w:r>
                  <w:r>
                    <w:rPr>
                      <w:rFonts w:ascii="Times New Roman" w:hAnsi="Times New Roman" w:eastAsia="宋体" w:cs="Times New Roman"/>
                      <w:color w:val="auto"/>
                      <w:lang w:eastAsia="zh-CN"/>
                    </w:rPr>
                    <w:t>二级标准浓度限值。</w:t>
                  </w:r>
                  <w:r>
                    <w:rPr>
                      <w:rFonts w:hint="eastAsia" w:ascii="Times New Roman" w:hAnsi="Times New Roman" w:eastAsia="宋体" w:cs="Times New Roman"/>
                      <w:color w:val="auto"/>
                      <w:lang w:eastAsia="zh-CN"/>
                    </w:rPr>
                    <w:t>本项目废气量：6600万m</w:t>
                  </w:r>
                  <w:r>
                    <w:rPr>
                      <w:rFonts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/a。有组织</w:t>
                  </w:r>
                  <w:r>
                    <w:rPr>
                      <w:rFonts w:ascii="Times New Roman" w:hAnsi="Times New Roman" w:eastAsia="宋体" w:cs="Times New Roman"/>
                      <w:color w:val="auto"/>
                      <w:lang w:eastAsia="zh-CN"/>
                    </w:rPr>
                    <w:t>挥发性有机物（以非甲烷总烃计）排放量：</w:t>
                  </w:r>
                  <w:r>
                    <w:rPr>
                      <w:rFonts w:hint="eastAsia" w:ascii="Times New Roman" w:hAnsi="Times New Roman" w:eastAsia="宋体" w:cs="Times New Roman"/>
                      <w:color w:val="auto"/>
                      <w:lang w:eastAsia="zh-CN"/>
                    </w:rPr>
                    <w:t>0.112</w:t>
                  </w:r>
                  <w:r>
                    <w:rPr>
                      <w:rFonts w:ascii="Times New Roman" w:hAnsi="Times New Roman" w:eastAsia="宋体" w:cs="Times New Roman"/>
                      <w:color w:val="auto"/>
                      <w:lang w:eastAsia="zh-CN"/>
                    </w:rPr>
                    <w:t>t/a、颗粒物：</w:t>
                  </w:r>
                  <w:r>
                    <w:rPr>
                      <w:rFonts w:hint="eastAsia" w:ascii="Times New Roman" w:hAnsi="Times New Roman" w:eastAsia="宋体" w:cs="Times New Roman"/>
                      <w:color w:val="auto"/>
                      <w:lang w:eastAsia="zh-CN"/>
                    </w:rPr>
                    <w:t>0.0229</w:t>
                  </w:r>
                  <w:r>
                    <w:rPr>
                      <w:rFonts w:ascii="Times New Roman" w:hAnsi="Times New Roman" w:eastAsia="宋体" w:cs="Times New Roman"/>
                      <w:color w:val="auto"/>
                      <w:lang w:eastAsia="zh-CN"/>
                    </w:rPr>
                    <w:t>t/a</w:t>
                  </w:r>
                  <w:r>
                    <w:rPr>
                      <w:rFonts w:hint="eastAsia" w:ascii="Times New Roman" w:hAnsi="Times New Roman" w:eastAsia="宋体" w:cs="Times New Roman"/>
                      <w:color w:val="auto"/>
                      <w:lang w:eastAsia="zh-CN"/>
                    </w:rPr>
                    <w:t>；无组织</w:t>
                  </w:r>
                  <w:r>
                    <w:rPr>
                      <w:rFonts w:ascii="Times New Roman" w:hAnsi="Times New Roman" w:eastAsia="宋体" w:cs="Times New Roman"/>
                      <w:color w:val="auto"/>
                      <w:lang w:eastAsia="zh-CN"/>
                    </w:rPr>
                    <w:t>挥发性有机物（以非甲烷总烃计）排放量：</w:t>
                  </w:r>
                  <w:r>
                    <w:rPr>
                      <w:rFonts w:hint="eastAsia" w:ascii="Times New Roman" w:hAnsi="Times New Roman" w:eastAsia="宋体" w:cs="Times New Roman"/>
                      <w:color w:val="auto"/>
                      <w:lang w:eastAsia="zh-CN"/>
                    </w:rPr>
                    <w:t>0.02</w:t>
                  </w:r>
                  <w:r>
                    <w:rPr>
                      <w:rFonts w:ascii="Times New Roman" w:hAnsi="Times New Roman" w:eastAsia="宋体" w:cs="Times New Roman"/>
                      <w:color w:val="auto"/>
                      <w:lang w:eastAsia="zh-CN"/>
                    </w:rPr>
                    <w:t>t/a、颗粒物：</w:t>
                  </w:r>
                  <w:r>
                    <w:rPr>
                      <w:rFonts w:hint="eastAsia" w:ascii="Times New Roman" w:hAnsi="Times New Roman" w:eastAsia="宋体" w:cs="Times New Roman"/>
                      <w:color w:val="auto"/>
                      <w:lang w:eastAsia="zh-CN"/>
                    </w:rPr>
                    <w:t>0.025</w:t>
                  </w:r>
                  <w:r>
                    <w:rPr>
                      <w:rFonts w:ascii="Times New Roman" w:hAnsi="Times New Roman" w:eastAsia="宋体" w:cs="Times New Roman"/>
                      <w:color w:val="auto"/>
                      <w:lang w:eastAsia="zh-CN"/>
                    </w:rPr>
                    <w:t>t/a</w:t>
                  </w:r>
                  <w:r>
                    <w:rPr>
                      <w:rFonts w:hint="eastAsia" w:ascii="Times New Roman" w:hAnsi="Times New Roman" w:eastAsia="宋体" w:cs="Times New Roman"/>
                      <w:color w:val="auto"/>
                      <w:lang w:eastAsia="zh-CN"/>
                    </w:rPr>
                    <w:t>。项目不属于重点工程且污染物排放量小，对昆明市整体环境空气质量影响较小。</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3、本项目为家具制造企业，不属于钢铁企业。</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ascii="Times New Roman" w:hAnsi="Times New Roman" w:eastAsia="宋体" w:cs="Times New Roman"/>
                      <w:color w:val="auto"/>
                      <w:lang w:eastAsia="zh-CN"/>
                    </w:rPr>
                    <w:t>项目</w:t>
                  </w:r>
                  <w:r>
                    <w:rPr>
                      <w:rFonts w:ascii="Times New Roman" w:hAnsi="Times New Roman" w:eastAsia="宋体" w:cs="Times New Roman"/>
                      <w:color w:val="auto"/>
                      <w:spacing w:val="4"/>
                      <w:lang w:eastAsia="zh-CN"/>
                    </w:rPr>
                    <w:t>采用VOCs含量检测合格的胶黏剂作为封边胶，能够从源头减少有机废气排放产生量，封边工序采取设备密闭</w:t>
                  </w:r>
                  <w:r>
                    <w:rPr>
                      <w:rFonts w:ascii="Times New Roman" w:hAnsi="Times New Roman" w:eastAsia="宋体" w:cs="Times New Roman"/>
                      <w:color w:val="auto"/>
                      <w:spacing w:val="7"/>
                      <w:lang w:eastAsia="zh-CN"/>
                    </w:rPr>
                    <w:t>、废气有效收集等措施，减少</w:t>
                  </w:r>
                  <w:r>
                    <w:rPr>
                      <w:rFonts w:ascii="Times New Roman" w:hAnsi="Times New Roman" w:eastAsia="宋体" w:cs="Times New Roman"/>
                      <w:color w:val="auto"/>
                      <w:lang w:eastAsia="zh-CN"/>
                    </w:rPr>
                    <w:t>VOCs</w:t>
                  </w:r>
                  <w:r>
                    <w:rPr>
                      <w:rFonts w:ascii="Times New Roman" w:hAnsi="Times New Roman" w:eastAsia="宋体" w:cs="Times New Roman"/>
                      <w:color w:val="auto"/>
                      <w:spacing w:val="7"/>
                      <w:lang w:eastAsia="zh-CN"/>
                    </w:rPr>
                    <w:t>无组织排放。封胶过程中</w:t>
                  </w:r>
                  <w:r>
                    <w:rPr>
                      <w:rFonts w:ascii="Times New Roman" w:hAnsi="Times New Roman" w:eastAsia="宋体" w:cs="Times New Roman"/>
                      <w:color w:val="auto"/>
                      <w:spacing w:val="4"/>
                      <w:lang w:eastAsia="zh-CN"/>
                    </w:rPr>
                    <w:t>采用</w:t>
                  </w:r>
                  <w:r>
                    <w:rPr>
                      <w:rFonts w:hint="eastAsia" w:ascii="Times New Roman" w:hAnsi="Times New Roman" w:eastAsia="宋体" w:cs="Times New Roman"/>
                      <w:color w:val="auto"/>
                      <w:spacing w:val="4"/>
                      <w:lang w:eastAsia="zh-CN"/>
                    </w:rPr>
                    <w:t>盖板式</w:t>
                  </w:r>
                  <w:r>
                    <w:rPr>
                      <w:rFonts w:ascii="Times New Roman" w:hAnsi="Times New Roman" w:eastAsia="宋体" w:cs="Times New Roman"/>
                      <w:color w:val="auto"/>
                      <w:spacing w:val="4"/>
                      <w:lang w:eastAsia="zh-CN"/>
                    </w:rPr>
                    <w:t>封胶设备生产，封胶结束后开启盖板取出成品，生产全过程采用集气罩对挥发性有机物进行收集，最终进入</w:t>
                  </w:r>
                  <w:r>
                    <w:rPr>
                      <w:rFonts w:hint="eastAsia" w:ascii="Times New Roman" w:hAnsi="Times New Roman" w:eastAsia="宋体" w:cs="Times New Roman"/>
                      <w:color w:val="auto"/>
                      <w:spacing w:val="4"/>
                      <w:lang w:eastAsia="zh-CN"/>
                    </w:rPr>
                    <w:t>“</w:t>
                  </w:r>
                  <w:r>
                    <w:rPr>
                      <w:rFonts w:ascii="Times New Roman" w:hAnsi="Times New Roman" w:eastAsia="宋体" w:cs="Times New Roman"/>
                      <w:color w:val="auto"/>
                      <w:spacing w:val="4"/>
                      <w:lang w:eastAsia="zh-CN"/>
                    </w:rPr>
                    <w:t>二级活性炭吸附</w:t>
                  </w:r>
                  <w:r>
                    <w:rPr>
                      <w:rFonts w:hint="eastAsia" w:ascii="Times New Roman" w:hAnsi="Times New Roman" w:eastAsia="宋体" w:cs="Times New Roman"/>
                      <w:color w:val="auto"/>
                      <w:spacing w:val="4"/>
                      <w:lang w:eastAsia="zh-CN"/>
                    </w:rPr>
                    <w:t>”</w:t>
                  </w:r>
                  <w:r>
                    <w:rPr>
                      <w:rFonts w:ascii="Times New Roman" w:hAnsi="Times New Roman" w:eastAsia="宋体" w:cs="Times New Roman"/>
                      <w:color w:val="auto"/>
                      <w:spacing w:val="4"/>
                      <w:lang w:eastAsia="zh-CN"/>
                    </w:rPr>
                    <w:t>处理后通过15m高排气筒排放。</w:t>
                  </w:r>
                </w:p>
              </w:tc>
              <w:tc>
                <w:tcPr>
                  <w:tcW w:w="696" w:type="dxa"/>
                  <w:shd w:val="clear" w:color="auto" w:fill="auto"/>
                  <w:vAlign w:val="center"/>
                </w:tcPr>
                <w:p>
                  <w:pPr>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环境风险防控</w:t>
                  </w:r>
                </w:p>
              </w:tc>
              <w:tc>
                <w:tcPr>
                  <w:tcW w:w="3223"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加大放射性物质、电磁辐射、危险废物、医疗废物、尾矿库渣场、危险化学品、重金属等风险要素防控力度，全过程监控风险要素产生、使用、储存、运输、处理处置，实现智能化预警与报警，有效降低各类环境风险。</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2.针对持久性有机污染物、内分泌干扰物等新污染物，制定实施新污染物治理行动方案，开展新污染物筛查与评估，建立清单，开展化学物质生产使用信息调查，实施调查监测和环境风险评估。</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开展重点区域、重点领域环境风险调查评估，加强源头预防、过程管控、末端治理；建设环境应急技术库和物资库，推动各地更新扩充应急物资和防护装备，提升环境应急指挥信息化水平，完善环境应急管理体系。</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4.开展“千吨万人”农村饮用水水源保护区环境风险排查整治，加强农村水源水质监测。</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6.严格新（改、扩）建尾矿库环境准入，健全尾矿库环境监管清单，加强尾矿库分类分级环境监管。严格落实《云南省尾矿库专项整治工作实施方案》。</w:t>
                  </w:r>
                </w:p>
              </w:tc>
              <w:tc>
                <w:tcPr>
                  <w:tcW w:w="2495"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项目不涉及</w:t>
                  </w:r>
                  <w:r>
                    <w:rPr>
                      <w:rFonts w:ascii="Times New Roman" w:hAnsi="Times New Roman" w:eastAsia="宋体" w:cs="Times New Roman"/>
                      <w:color w:val="auto"/>
                      <w:lang w:eastAsia="zh-CN"/>
                    </w:rPr>
                    <w:t>放射性物质、电磁辐射、危险废物、医疗废物、尾矿库渣场、危险化学品、重金属等风险要素。</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项目有机污染物不属于</w:t>
                  </w:r>
                  <w:r>
                    <w:rPr>
                      <w:rFonts w:ascii="Times New Roman" w:hAnsi="Times New Roman" w:eastAsia="宋体" w:cs="Times New Roman"/>
                      <w:color w:val="auto"/>
                      <w:lang w:eastAsia="zh-CN"/>
                    </w:rPr>
                    <w:t>持久性有机污染物、内分泌干扰物等新污染物。</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r>
                    <w:rPr>
                      <w:rFonts w:hint="eastAsia" w:ascii="Times New Roman" w:hAnsi="Times New Roman" w:eastAsia="宋体" w:cs="Times New Roman"/>
                      <w:color w:val="auto"/>
                      <w:lang w:eastAsia="zh-CN"/>
                    </w:rPr>
                    <w:t>本项目位于</w:t>
                  </w:r>
                  <w:r>
                    <w:rPr>
                      <w:rFonts w:hint="eastAsia" w:ascii="宋体" w:hAnsi="宋体" w:eastAsia="宋体" w:cs="宋体"/>
                      <w:color w:val="auto"/>
                      <w:spacing w:val="3"/>
                      <w:lang w:eastAsia="zh-CN"/>
                    </w:rPr>
                    <w:t>嵩明杨林经济技术开发区重点管控单元，</w:t>
                  </w:r>
                  <w:r>
                    <w:rPr>
                      <w:rFonts w:hint="eastAsia" w:ascii="宋体" w:hAnsi="宋体" w:eastAsia="宋体" w:cs="宋体"/>
                      <w:color w:val="auto"/>
                      <w:lang w:eastAsia="zh-CN"/>
                    </w:rPr>
                    <w:t>项目完成后，编制环境突发事件应急预案，配备应急物资，并定期进行环境风险演练，</w:t>
                  </w:r>
                  <w:r>
                    <w:rPr>
                      <w:color w:val="auto"/>
                      <w:spacing w:val="3"/>
                      <w:lang w:eastAsia="zh-CN"/>
                    </w:rPr>
                    <w:t>一旦发生事故，及时采取应急措施，其风险水平可以被接受</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r>
                    <w:rPr>
                      <w:rFonts w:hint="eastAsia" w:ascii="宋体" w:hAnsi="宋体" w:eastAsia="宋体" w:cs="宋体"/>
                      <w:color w:val="auto"/>
                      <w:spacing w:val="4"/>
                      <w:lang w:eastAsia="zh-CN"/>
                    </w:rPr>
                    <w:t>项目区域厂界外</w:t>
                  </w:r>
                  <w:r>
                    <w:rPr>
                      <w:rFonts w:ascii="宋体" w:hAnsi="宋体" w:eastAsia="宋体" w:cs="宋体"/>
                      <w:color w:val="auto"/>
                      <w:spacing w:val="4"/>
                      <w:lang w:eastAsia="zh-CN"/>
                    </w:rPr>
                    <w:t>500</w:t>
                  </w:r>
                  <w:r>
                    <w:rPr>
                      <w:rFonts w:hint="eastAsia" w:ascii="宋体" w:hAnsi="宋体" w:eastAsia="宋体" w:cs="宋体"/>
                      <w:color w:val="auto"/>
                      <w:spacing w:val="4"/>
                      <w:lang w:eastAsia="zh-CN"/>
                    </w:rPr>
                    <w:t>米范围内没有地下水集中式饮用水水源和热水、矿泉水、温泉等特殊地下水资源</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w:t>
                  </w:r>
                  <w:r>
                    <w:rPr>
                      <w:rFonts w:hint="eastAsia" w:ascii="Times New Roman" w:hAnsi="Times New Roman" w:eastAsia="宋体" w:cs="Times New Roman"/>
                      <w:color w:val="auto"/>
                      <w:lang w:eastAsia="zh-CN"/>
                    </w:rPr>
                    <w:t>本项目涉及</w:t>
                  </w:r>
                  <w:r>
                    <w:rPr>
                      <w:rFonts w:ascii="Times New Roman" w:hAnsi="Times New Roman" w:eastAsia="宋体" w:cs="Times New Roman"/>
                      <w:color w:val="auto"/>
                      <w:lang w:eastAsia="zh-CN"/>
                    </w:rPr>
                    <w:t>危险废物</w:t>
                  </w:r>
                  <w:r>
                    <w:rPr>
                      <w:rFonts w:hint="eastAsia" w:ascii="Times New Roman" w:hAnsi="Times New Roman" w:eastAsia="宋体" w:cs="Times New Roman"/>
                      <w:color w:val="auto"/>
                      <w:lang w:eastAsia="zh-CN"/>
                    </w:rPr>
                    <w:t>主要</w:t>
                  </w:r>
                  <w:r>
                    <w:rPr>
                      <w:rFonts w:hint="eastAsia"/>
                      <w:color w:val="auto"/>
                      <w:lang w:eastAsia="zh-CN"/>
                    </w:rPr>
                    <w:t>为废润滑油、</w:t>
                  </w:r>
                  <w:r>
                    <w:rPr>
                      <w:rFonts w:hint="eastAsia"/>
                      <w:color w:val="auto"/>
                      <w:lang w:val="en-US" w:eastAsia="zh-CN"/>
                    </w:rPr>
                    <w:t>废含油棉纱、手套</w:t>
                  </w:r>
                  <w:r>
                    <w:rPr>
                      <w:rFonts w:hint="eastAsia"/>
                      <w:color w:val="auto"/>
                      <w:lang w:eastAsia="zh-CN"/>
                    </w:rPr>
                    <w:t>及废活性炭，风险物质</w:t>
                  </w:r>
                  <w:r>
                    <w:rPr>
                      <w:rFonts w:hint="eastAsia" w:eastAsia="宋体"/>
                      <w:color w:val="auto"/>
                      <w:lang w:eastAsia="zh-CN"/>
                    </w:rPr>
                    <w:t>均暂存在规范的危废暂存间中。</w:t>
                  </w:r>
                  <w:r>
                    <w:rPr>
                      <w:rFonts w:hint="eastAsia" w:ascii="Times New Roman" w:hAnsi="Times New Roman" w:eastAsia="宋体" w:cs="Times New Roman"/>
                      <w:color w:val="auto"/>
                      <w:lang w:eastAsia="zh-CN"/>
                    </w:rPr>
                    <w:t>项目租用已建设厂房，不涉及生产废水，生活污水依托工业园区已完善的收集、处理及排水管网等设施</w:t>
                  </w:r>
                  <w:r>
                    <w:rPr>
                      <w:rFonts w:ascii="Times New Roman" w:hAnsi="Times New Roman" w:eastAsia="宋体" w:cs="Times New Roman"/>
                      <w:color w:val="auto"/>
                      <w:lang w:eastAsia="zh-CN"/>
                    </w:rPr>
                    <w:t>。</w:t>
                  </w:r>
                </w:p>
                <w:p>
                  <w:pPr>
                    <w:kinsoku/>
                    <w:rPr>
                      <w:rFonts w:ascii="Times New Roman" w:hAnsi="Times New Roman" w:eastAsia="宋体" w:cs="Times New Roman"/>
                      <w:color w:val="auto"/>
                    </w:rPr>
                  </w:pPr>
                  <w:r>
                    <w:rPr>
                      <w:rFonts w:ascii="Times New Roman" w:hAnsi="Times New Roman" w:eastAsia="宋体" w:cs="Times New Roman"/>
                      <w:color w:val="auto"/>
                    </w:rPr>
                    <w:t>6.</w:t>
                  </w:r>
                  <w:r>
                    <w:rPr>
                      <w:rFonts w:hint="eastAsia" w:ascii="Times New Roman" w:hAnsi="Times New Roman" w:eastAsia="宋体" w:cs="Times New Roman"/>
                      <w:color w:val="auto"/>
                      <w:lang w:eastAsia="zh-CN"/>
                    </w:rPr>
                    <w:t>项目不涉及尾矿库</w:t>
                  </w:r>
                  <w:r>
                    <w:rPr>
                      <w:rFonts w:ascii="Times New Roman" w:hAnsi="Times New Roman" w:eastAsia="宋体" w:cs="Times New Roman"/>
                      <w:color w:val="auto"/>
                    </w:rPr>
                    <w:t>。</w:t>
                  </w:r>
                </w:p>
              </w:tc>
              <w:tc>
                <w:tcPr>
                  <w:tcW w:w="696" w:type="dxa"/>
                  <w:shd w:val="clear" w:color="auto" w:fill="auto"/>
                  <w:vAlign w:val="center"/>
                </w:tcPr>
                <w:p>
                  <w:pPr>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资源开发利用效率</w:t>
                  </w:r>
                </w:p>
              </w:tc>
              <w:tc>
                <w:tcPr>
                  <w:tcW w:w="3223"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1.到2025年，基本建成与经济社会高质量发展和生态文明建设要求相适应、与由全面建成小康社会向基本实现现代化迈进起步期相协同的水安全保障体系。</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2.节水型生产和生活方式初步建立，用水效率和效益显著提高，全社会节水意识明显增强，新时代节水型社会基本建成。全市用水总量控制在35.48亿m</w:t>
                  </w:r>
                  <w:r>
                    <w:rPr>
                      <w:rFonts w:hint="eastAsia"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以内，万元GDP用水量较2020年下降10%，万元工业增加值用水量较2020年下降10%，农田灌溉水有效利用系数提高到0.55以上。</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3.万元工业增加值用水量≤30（立方米/万元）。</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4.2025年底前，全市单位地区生产总值能源消耗较2020年下降14%，能源消费总量得到合理控制。</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5.单位GDP能源消耗累计下降23.6%，不低于省级下达目标。</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6.对照国家有关高耗能行业重点领域能效标杆水平，实施钢铁、有色金属、冶炼等17个高耗能行业节能降碳改造升级，加快提升重点行业、企业能效水平。</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7.加强节能监察和探索用能预算管理，实施电机、变压器等重点用能设备能效提升三年行动，推广先进节能技术。</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8.到2025年，钢铁行业全面完成超低排放改造。</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9.加快推进有色、化工、印染、烟草等行业清洁生产和工业废水资源化利用。</w:t>
                  </w:r>
                </w:p>
              </w:tc>
              <w:tc>
                <w:tcPr>
                  <w:tcW w:w="2495" w:type="dxa"/>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项目租用已建设厂房，不涉及生产废水，生活污水依托工业园区已完善的收集、处理及排水管网等设施</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项目租用已建设厂房，不涉及生产用水，</w:t>
                  </w:r>
                  <w:r>
                    <w:rPr>
                      <w:color w:val="auto"/>
                      <w:spacing w:val="-3"/>
                      <w:lang w:eastAsia="zh-CN"/>
                    </w:rPr>
                    <w:t>生</w:t>
                  </w:r>
                  <w:r>
                    <w:rPr>
                      <w:color w:val="auto"/>
                      <w:spacing w:val="-1"/>
                      <w:lang w:eastAsia="zh-CN"/>
                    </w:rPr>
                    <w:t>活用水量为</w:t>
                  </w:r>
                  <w:r>
                    <w:rPr>
                      <w:rFonts w:hint="eastAsia" w:ascii="Times New Roman" w:hAnsi="Times New Roman" w:cs="Times New Roman"/>
                      <w:color w:val="auto"/>
                      <w:spacing w:val="-1"/>
                      <w:lang w:eastAsia="zh-CN"/>
                    </w:rPr>
                    <w:t>2.24</w:t>
                  </w:r>
                  <w:r>
                    <w:rPr>
                      <w:rFonts w:ascii="Times New Roman" w:hAnsi="Times New Roman" w:eastAsia="Times New Roman" w:cs="Times New Roman"/>
                      <w:color w:val="auto"/>
                      <w:spacing w:val="-1"/>
                      <w:lang w:eastAsia="zh-CN"/>
                    </w:rPr>
                    <w:t>m</w:t>
                  </w:r>
                  <w:r>
                    <w:rPr>
                      <w:rFonts w:ascii="Times New Roman" w:hAnsi="Times New Roman" w:eastAsia="Times New Roman" w:cs="Times New Roman"/>
                      <w:color w:val="auto"/>
                      <w:spacing w:val="-1"/>
                      <w:position w:val="7"/>
                      <w:sz w:val="15"/>
                      <w:szCs w:val="15"/>
                      <w:lang w:eastAsia="zh-CN"/>
                    </w:rPr>
                    <w:t>3</w:t>
                  </w:r>
                  <w:r>
                    <w:rPr>
                      <w:rFonts w:ascii="Times New Roman" w:hAnsi="Times New Roman" w:eastAsia="Times New Roman" w:cs="Times New Roman"/>
                      <w:color w:val="auto"/>
                      <w:spacing w:val="-1"/>
                      <w:lang w:eastAsia="zh-CN"/>
                    </w:rPr>
                    <w:t>/d</w:t>
                  </w:r>
                  <w:r>
                    <w:rPr>
                      <w:color w:val="auto"/>
                      <w:spacing w:val="-1"/>
                      <w:lang w:eastAsia="zh-CN"/>
                    </w:rPr>
                    <w:t>，</w:t>
                  </w:r>
                  <w:r>
                    <w:rPr>
                      <w:rFonts w:hint="eastAsia" w:ascii="Times New Roman" w:hAnsi="Times New Roman" w:cs="Times New Roman"/>
                      <w:color w:val="auto"/>
                      <w:spacing w:val="-1"/>
                      <w:lang w:eastAsia="zh-CN"/>
                    </w:rPr>
                    <w:t>739.2m</w:t>
                  </w:r>
                  <w:r>
                    <w:rPr>
                      <w:rFonts w:ascii="Times New Roman" w:hAnsi="Times New Roman" w:eastAsia="Times New Roman" w:cs="Times New Roman"/>
                      <w:color w:val="auto"/>
                      <w:spacing w:val="-1"/>
                      <w:position w:val="7"/>
                      <w:sz w:val="15"/>
                      <w:szCs w:val="15"/>
                      <w:lang w:eastAsia="zh-CN"/>
                    </w:rPr>
                    <w:t>3</w:t>
                  </w:r>
                  <w:r>
                    <w:rPr>
                      <w:rFonts w:ascii="Times New Roman" w:hAnsi="Times New Roman" w:eastAsia="Times New Roman" w:cs="Times New Roman"/>
                      <w:color w:val="auto"/>
                      <w:spacing w:val="-1"/>
                      <w:lang w:eastAsia="zh-CN"/>
                    </w:rPr>
                    <w:t>/a</w:t>
                  </w:r>
                  <w:r>
                    <w:rPr>
                      <w:rFonts w:hint="eastAsia"/>
                      <w:color w:val="auto"/>
                      <w:spacing w:val="-1"/>
                      <w:lang w:eastAsia="zh-CN"/>
                    </w:rPr>
                    <w:t>，</w:t>
                  </w:r>
                  <w:r>
                    <w:rPr>
                      <w:rFonts w:hint="eastAsia" w:ascii="Times New Roman" w:hAnsi="Times New Roman" w:eastAsia="宋体" w:cs="Times New Roman"/>
                      <w:color w:val="auto"/>
                      <w:lang w:eastAsia="zh-CN"/>
                    </w:rPr>
                    <w:t>不涉及农田灌溉</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r>
                    <w:rPr>
                      <w:rFonts w:hint="eastAsia" w:ascii="Times New Roman" w:hAnsi="Times New Roman" w:eastAsia="宋体" w:cs="Times New Roman"/>
                      <w:color w:val="auto"/>
                      <w:lang w:eastAsia="zh-CN"/>
                    </w:rPr>
                    <w:t>项目不涉及生产用水</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r>
                    <w:rPr>
                      <w:color w:val="auto"/>
                      <w:spacing w:val="-2"/>
                      <w:lang w:eastAsia="zh-CN"/>
                    </w:rPr>
                    <w:t>本项目年用电</w:t>
                  </w:r>
                  <w:r>
                    <w:rPr>
                      <w:rFonts w:hint="eastAsia" w:ascii="Times New Roman" w:hAnsi="Times New Roman" w:eastAsia="宋体" w:cs="Times New Roman"/>
                      <w:color w:val="auto"/>
                      <w:spacing w:val="-2"/>
                      <w:lang w:eastAsia="zh-CN"/>
                    </w:rPr>
                    <w:t>20</w:t>
                  </w:r>
                  <w:r>
                    <w:rPr>
                      <w:color w:val="auto"/>
                      <w:spacing w:val="-2"/>
                      <w:lang w:eastAsia="zh-CN"/>
                    </w:rPr>
                    <w:t>万度</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w:t>
                  </w:r>
                  <w:r>
                    <w:rPr>
                      <w:color w:val="auto"/>
                      <w:spacing w:val="-2"/>
                      <w:lang w:eastAsia="zh-CN"/>
                    </w:rPr>
                    <w:t>本项目年用电</w:t>
                  </w:r>
                  <w:r>
                    <w:rPr>
                      <w:rFonts w:hint="eastAsia" w:ascii="Times New Roman" w:hAnsi="Times New Roman" w:eastAsia="宋体" w:cs="Times New Roman"/>
                      <w:color w:val="auto"/>
                      <w:spacing w:val="-2"/>
                      <w:lang w:eastAsia="zh-CN"/>
                    </w:rPr>
                    <w:t>20</w:t>
                  </w:r>
                  <w:r>
                    <w:rPr>
                      <w:color w:val="auto"/>
                      <w:spacing w:val="-2"/>
                      <w:lang w:eastAsia="zh-CN"/>
                    </w:rPr>
                    <w:t>万度</w:t>
                  </w:r>
                  <w:r>
                    <w:rPr>
                      <w:rFonts w:hint="eastAsia"/>
                      <w:color w:val="auto"/>
                      <w:spacing w:val="-2"/>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r>
                    <w:rPr>
                      <w:rFonts w:hint="eastAsia" w:ascii="Times New Roman" w:hAnsi="Times New Roman" w:eastAsia="宋体" w:cs="Times New Roman"/>
                      <w:color w:val="auto"/>
                      <w:lang w:eastAsia="zh-CN"/>
                    </w:rPr>
                    <w:t>本项目不属于高耗能企业，</w:t>
                  </w:r>
                  <w:r>
                    <w:rPr>
                      <w:color w:val="auto"/>
                      <w:spacing w:val="-2"/>
                      <w:lang w:eastAsia="zh-CN"/>
                    </w:rPr>
                    <w:t>本项目年用电</w:t>
                  </w:r>
                  <w:r>
                    <w:rPr>
                      <w:rFonts w:hint="eastAsia" w:ascii="Times New Roman" w:hAnsi="Times New Roman" w:eastAsia="宋体" w:cs="Times New Roman"/>
                      <w:color w:val="auto"/>
                      <w:spacing w:val="-2"/>
                      <w:lang w:eastAsia="zh-CN"/>
                    </w:rPr>
                    <w:t>20</w:t>
                  </w:r>
                  <w:r>
                    <w:rPr>
                      <w:color w:val="auto"/>
                      <w:spacing w:val="-2"/>
                      <w:lang w:eastAsia="zh-CN"/>
                    </w:rPr>
                    <w:t>万度</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7.</w:t>
                  </w:r>
                  <w:r>
                    <w:rPr>
                      <w:rFonts w:hint="eastAsia" w:ascii="Times New Roman" w:hAnsi="Times New Roman" w:eastAsia="宋体" w:cs="Times New Roman"/>
                      <w:color w:val="auto"/>
                      <w:lang w:eastAsia="zh-CN"/>
                    </w:rPr>
                    <w:t>项目</w:t>
                  </w:r>
                  <w:r>
                    <w:rPr>
                      <w:rFonts w:ascii="Times New Roman" w:hAnsi="Times New Roman" w:eastAsia="宋体" w:cs="Times New Roman"/>
                      <w:color w:val="auto"/>
                      <w:lang w:eastAsia="zh-CN"/>
                    </w:rPr>
                    <w:t>重点用能设备</w:t>
                  </w:r>
                  <w:r>
                    <w:rPr>
                      <w:rFonts w:hint="eastAsia" w:ascii="Times New Roman" w:hAnsi="Times New Roman" w:eastAsia="宋体" w:cs="Times New Roman"/>
                      <w:color w:val="auto"/>
                      <w:lang w:eastAsia="zh-CN"/>
                    </w:rPr>
                    <w:t>均选用低能耗设备设施</w:t>
                  </w:r>
                  <w:r>
                    <w:rPr>
                      <w:rFonts w:ascii="Times New Roman" w:hAnsi="Times New Roman" w:eastAsia="宋体" w:cs="Times New Roman"/>
                      <w:color w:val="auto"/>
                      <w:lang w:eastAsia="zh-CN"/>
                    </w:rPr>
                    <w:t>。</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8.</w:t>
                  </w:r>
                  <w:r>
                    <w:rPr>
                      <w:rFonts w:hint="eastAsia" w:ascii="Times New Roman" w:hAnsi="Times New Roman" w:eastAsia="宋体" w:cs="Times New Roman"/>
                      <w:color w:val="auto"/>
                      <w:lang w:eastAsia="zh-CN"/>
                    </w:rPr>
                    <w:t>本项目不属于</w:t>
                  </w:r>
                  <w:r>
                    <w:rPr>
                      <w:rFonts w:ascii="Times New Roman" w:hAnsi="Times New Roman" w:eastAsia="宋体" w:cs="Times New Roman"/>
                      <w:color w:val="auto"/>
                      <w:lang w:eastAsia="zh-CN"/>
                    </w:rPr>
                    <w:t>钢铁行业。</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9.</w:t>
                  </w:r>
                  <w:r>
                    <w:rPr>
                      <w:rFonts w:hint="eastAsia" w:ascii="Times New Roman" w:hAnsi="Times New Roman" w:eastAsia="宋体" w:cs="Times New Roman"/>
                      <w:color w:val="auto"/>
                      <w:lang w:eastAsia="zh-CN"/>
                    </w:rPr>
                    <w:t>本项目不属于</w:t>
                  </w:r>
                  <w:r>
                    <w:rPr>
                      <w:rFonts w:ascii="Times New Roman" w:hAnsi="Times New Roman" w:eastAsia="宋体" w:cs="Times New Roman"/>
                      <w:color w:val="auto"/>
                      <w:lang w:eastAsia="zh-CN"/>
                    </w:rPr>
                    <w:t>有色、化工、印染、烟草等行业。</w:t>
                  </w:r>
                </w:p>
              </w:tc>
              <w:tc>
                <w:tcPr>
                  <w:tcW w:w="69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bl>
          <w:p>
            <w:pPr>
              <w:kinsoku/>
              <w:spacing w:line="360" w:lineRule="auto"/>
              <w:ind w:firstLine="420" w:firstLineChars="175"/>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通过上表对比分析，本项目建设符合昆明市生态环境管控总体准入的相关要求。</w:t>
            </w:r>
          </w:p>
          <w:p>
            <w:pPr>
              <w:pStyle w:val="22"/>
              <w:kinsoku/>
              <w:spacing w:before="179" w:line="360" w:lineRule="auto"/>
              <w:jc w:val="center"/>
              <w:rPr>
                <w:rFonts w:hint="eastAsia"/>
                <w:b/>
                <w:bCs/>
                <w:color w:val="auto"/>
                <w:spacing w:val="7"/>
                <w:sz w:val="21"/>
                <w:szCs w:val="21"/>
                <w:lang w:eastAsia="zh-CN"/>
              </w:rPr>
            </w:pPr>
            <w:r>
              <w:rPr>
                <w:b/>
                <w:bCs/>
                <w:color w:val="auto"/>
                <w:spacing w:val="7"/>
                <w:sz w:val="21"/>
                <w:szCs w:val="21"/>
                <w:lang w:eastAsia="zh-CN"/>
              </w:rPr>
              <w:t>表1-</w:t>
            </w:r>
            <w:r>
              <w:rPr>
                <w:rFonts w:hint="eastAsia"/>
                <w:b/>
                <w:bCs/>
                <w:color w:val="auto"/>
                <w:spacing w:val="7"/>
                <w:sz w:val="21"/>
                <w:szCs w:val="21"/>
                <w:lang w:eastAsia="zh-CN"/>
              </w:rPr>
              <w:t>6</w:t>
            </w:r>
            <w:r>
              <w:rPr>
                <w:b/>
                <w:bCs/>
                <w:color w:val="auto"/>
                <w:spacing w:val="7"/>
                <w:sz w:val="21"/>
                <w:szCs w:val="21"/>
                <w:lang w:eastAsia="zh-CN"/>
              </w:rPr>
              <w:t>项目与</w:t>
            </w:r>
            <w:r>
              <w:rPr>
                <w:rFonts w:hint="eastAsia"/>
                <w:b/>
                <w:bCs/>
                <w:color w:val="auto"/>
                <w:spacing w:val="7"/>
                <w:sz w:val="21"/>
                <w:szCs w:val="21"/>
                <w:lang w:eastAsia="zh-CN"/>
              </w:rPr>
              <w:t>昆明市环境管控单元生态环境准入清单的符合性</w:t>
            </w:r>
          </w:p>
          <w:tbl>
            <w:tblPr>
              <w:tblStyle w:val="21"/>
              <w:tblW w:w="69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983"/>
              <w:gridCol w:w="2019"/>
              <w:gridCol w:w="2138"/>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899"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管控单元</w:t>
                  </w:r>
                </w:p>
              </w:tc>
              <w:tc>
                <w:tcPr>
                  <w:tcW w:w="983"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管控类型</w:t>
                  </w:r>
                </w:p>
              </w:tc>
              <w:tc>
                <w:tcPr>
                  <w:tcW w:w="2019"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管控要求</w:t>
                  </w:r>
                </w:p>
              </w:tc>
              <w:tc>
                <w:tcPr>
                  <w:tcW w:w="2138"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w:t>
                  </w:r>
                </w:p>
              </w:tc>
              <w:tc>
                <w:tcPr>
                  <w:tcW w:w="8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899" w:type="dxa"/>
                  <w:vMerge w:val="restart"/>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杨林经济开发区重点管控单元</w:t>
                  </w:r>
                </w:p>
              </w:tc>
              <w:tc>
                <w:tcPr>
                  <w:tcW w:w="98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空间布局约束</w:t>
                  </w:r>
                </w:p>
              </w:tc>
              <w:tc>
                <w:tcPr>
                  <w:tcW w:w="2019" w:type="dxa"/>
                  <w:shd w:val="clear" w:color="auto" w:fill="auto"/>
                  <w:vAlign w:val="center"/>
                </w:tcPr>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1.重点发展先进装备制造业、新材料产业和现代服务业。</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2.重点污染控制区内禁止新建、扩建工业园区，禁止新建、扩建重点水污染物排放的工业项目，新建、改建、扩建经营性陵园、公墓。</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3.禁止钢铁、有色冶金、基础化工、农药、电镀、造纸制浆、制革、印染、石棉制品、土硫磺和染料等企业和项目（能够实施废水循环使用的项目除外）。</w:t>
                  </w:r>
                </w:p>
              </w:tc>
              <w:tc>
                <w:tcPr>
                  <w:tcW w:w="2138"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r>
                    <w:rPr>
                      <w:rFonts w:ascii="Times New Roman" w:hAnsi="Times New Roman" w:eastAsia="宋体" w:cs="Times New Roman"/>
                      <w:color w:val="auto"/>
                      <w:lang w:eastAsia="zh-CN"/>
                    </w:rPr>
                    <w:t>项目属于家具生产项目，不属于先进装备制造业、新材料产业和现代服务业</w:t>
                  </w:r>
                  <w:r>
                    <w:rPr>
                      <w:rFonts w:hint="eastAsia" w:ascii="Times New Roman" w:hAnsi="Times New Roman" w:eastAsia="宋体" w:cs="Times New Roman"/>
                      <w:color w:val="auto"/>
                      <w:lang w:eastAsia="zh-CN"/>
                    </w:rPr>
                    <w:t>。</w:t>
                  </w:r>
                </w:p>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r>
                    <w:rPr>
                      <w:rFonts w:ascii="Times New Roman" w:hAnsi="Times New Roman" w:eastAsia="宋体" w:cs="Times New Roman"/>
                      <w:color w:val="auto"/>
                      <w:lang w:eastAsia="zh-CN"/>
                    </w:rPr>
                    <w:t>项目属于家具生产项目，位于</w:t>
                  </w:r>
                  <w:r>
                    <w:rPr>
                      <w:rFonts w:ascii="Times New Roman" w:hAnsi="Times New Roman" w:eastAsia="宋体" w:cs="Times New Roman"/>
                      <w:color w:val="auto"/>
                      <w:spacing w:val="3"/>
                      <w:lang w:eastAsia="zh-CN"/>
                    </w:rPr>
                    <w:t>嵩明杨林经济技术开发区</w:t>
                  </w:r>
                  <w:r>
                    <w:rPr>
                      <w:rFonts w:hint="eastAsia" w:ascii="Times New Roman" w:hAnsi="Times New Roman" w:eastAsia="宋体" w:cs="Times New Roman"/>
                      <w:color w:val="auto"/>
                      <w:spacing w:val="3"/>
                      <w:lang w:eastAsia="zh-CN"/>
                    </w:rPr>
                    <w:t>内，</w:t>
                  </w:r>
                  <w:r>
                    <w:rPr>
                      <w:rFonts w:hint="eastAsia" w:ascii="Times New Roman" w:hAnsi="Times New Roman" w:eastAsia="宋体" w:cs="Times New Roman"/>
                      <w:color w:val="auto"/>
                      <w:lang w:eastAsia="zh-CN"/>
                    </w:rPr>
                    <w:t>不涉及生产废水，生活污水依托工业园区已完善的收集、处理及排水管网等设施</w:t>
                  </w:r>
                  <w:r>
                    <w:rPr>
                      <w:rFonts w:ascii="Times New Roman" w:hAnsi="Times New Roman" w:eastAsia="宋体" w:cs="Times New Roman"/>
                      <w:color w:val="auto"/>
                      <w:lang w:eastAsia="zh-CN"/>
                    </w:rPr>
                    <w:t>。</w:t>
                  </w:r>
                </w:p>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r>
                    <w:rPr>
                      <w:rFonts w:ascii="Times New Roman" w:hAnsi="Times New Roman" w:eastAsia="宋体" w:cs="Times New Roman"/>
                      <w:color w:val="auto"/>
                      <w:lang w:eastAsia="zh-CN"/>
                    </w:rPr>
                    <w:t>项目属于</w:t>
                  </w:r>
                  <w:r>
                    <w:rPr>
                      <w:rFonts w:hint="eastAsia" w:ascii="Times New Roman" w:hAnsi="Times New Roman" w:eastAsia="宋体" w:cs="Times New Roman"/>
                      <w:color w:val="auto"/>
                      <w:lang w:eastAsia="zh-CN"/>
                    </w:rPr>
                    <w:t>家具</w:t>
                  </w:r>
                  <w:r>
                    <w:rPr>
                      <w:rFonts w:ascii="Times New Roman" w:hAnsi="Times New Roman" w:eastAsia="宋体" w:cs="Times New Roman"/>
                      <w:color w:val="auto"/>
                      <w:lang w:eastAsia="zh-CN"/>
                    </w:rPr>
                    <w:t>生产项目，不属于钢铁、有色冶金、基础化工、农药、电镀、造纸制浆、制革、印染、石棉制品、土硫磺和染料等企业和项目。</w:t>
                  </w:r>
                </w:p>
              </w:tc>
              <w:tc>
                <w:tcPr>
                  <w:tcW w:w="8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99" w:type="dxa"/>
                  <w:vMerge w:val="continue"/>
                  <w:vAlign w:val="center"/>
                </w:tcPr>
                <w:p>
                  <w:pPr>
                    <w:kinsoku/>
                    <w:jc w:val="center"/>
                    <w:rPr>
                      <w:rFonts w:ascii="Times New Roman" w:hAnsi="Times New Roman" w:eastAsia="宋体" w:cs="Times New Roman"/>
                      <w:color w:val="auto"/>
                      <w:lang w:eastAsia="zh-CN"/>
                    </w:rPr>
                  </w:pPr>
                </w:p>
              </w:tc>
              <w:tc>
                <w:tcPr>
                  <w:tcW w:w="98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污染物排放管控</w:t>
                  </w:r>
                </w:p>
              </w:tc>
              <w:tc>
                <w:tcPr>
                  <w:tcW w:w="2019" w:type="dxa"/>
                  <w:shd w:val="clear" w:color="auto" w:fill="auto"/>
                  <w:vAlign w:val="center"/>
                </w:tcPr>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1.污水处理厂出水水质要求达到GB18918-2002《城镇污水处理厂污染物排放标准》表1中一级A标准，各企业堆渣场、贮水池、危废水池等必须做好防渗处理。</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2.生活污水处理达标率100%，生活垃圾无害化处理率100%。</w:t>
                  </w:r>
                </w:p>
              </w:tc>
              <w:tc>
                <w:tcPr>
                  <w:tcW w:w="2138" w:type="dxa"/>
                  <w:shd w:val="clear" w:color="auto" w:fill="auto"/>
                  <w:vAlign w:val="center"/>
                </w:tcPr>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r>
                    <w:rPr>
                      <w:rFonts w:ascii="Times New Roman" w:hAnsi="Times New Roman" w:eastAsia="宋体" w:cs="Times New Roman"/>
                      <w:color w:val="auto"/>
                      <w:lang w:eastAsia="zh-CN"/>
                    </w:rPr>
                    <w:t>项目生产过程中无生产废水</w:t>
                  </w:r>
                  <w:r>
                    <w:rPr>
                      <w:rFonts w:hint="eastAsia" w:ascii="Times New Roman" w:hAnsi="Times New Roman" w:eastAsia="宋体" w:cs="Times New Roman"/>
                      <w:color w:val="auto"/>
                      <w:lang w:eastAsia="zh-CN"/>
                    </w:rPr>
                    <w:t>产生</w:t>
                  </w:r>
                  <w:r>
                    <w:rPr>
                      <w:rFonts w:ascii="Times New Roman" w:hAnsi="Times New Roman" w:eastAsia="宋体" w:cs="Times New Roman"/>
                      <w:color w:val="auto"/>
                      <w:lang w:eastAsia="zh-CN"/>
                    </w:rPr>
                    <w:t>，废水主要为生活污水，生活污水处理达标后排入杨林工业园区污水管网，最终进入嵩明县第二</w:t>
                  </w:r>
                  <w:r>
                    <w:rPr>
                      <w:rFonts w:hint="eastAsia" w:ascii="Times New Roman" w:hAnsi="Times New Roman" w:eastAsia="宋体" w:cs="Times New Roman"/>
                      <w:color w:val="auto"/>
                      <w:lang w:eastAsia="zh-CN"/>
                    </w:rPr>
                    <w:t>污水</w:t>
                  </w:r>
                  <w:r>
                    <w:rPr>
                      <w:rFonts w:ascii="Times New Roman" w:hAnsi="Times New Roman" w:eastAsia="宋体" w:cs="Times New Roman"/>
                      <w:color w:val="auto"/>
                      <w:lang w:eastAsia="zh-CN"/>
                    </w:rPr>
                    <w:t>处理厂处理。</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本项目不涉及堆渣场、贮水池、危废水池等设施。</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r>
                    <w:rPr>
                      <w:rFonts w:ascii="Times New Roman" w:hAnsi="Times New Roman" w:eastAsia="宋体" w:cs="Times New Roman"/>
                      <w:color w:val="auto"/>
                      <w:lang w:eastAsia="zh-CN"/>
                    </w:rPr>
                    <w:t>生活污水处理达标率100%，生活垃圾无害化处理率100%。</w:t>
                  </w:r>
                </w:p>
              </w:tc>
              <w:tc>
                <w:tcPr>
                  <w:tcW w:w="8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jc w:val="center"/>
              </w:trPr>
              <w:tc>
                <w:tcPr>
                  <w:tcW w:w="899" w:type="dxa"/>
                  <w:vMerge w:val="continue"/>
                  <w:vAlign w:val="center"/>
                </w:tcPr>
                <w:p>
                  <w:pPr>
                    <w:kinsoku/>
                    <w:jc w:val="center"/>
                    <w:rPr>
                      <w:rFonts w:ascii="Times New Roman" w:hAnsi="Times New Roman" w:eastAsia="宋体" w:cs="Times New Roman"/>
                      <w:color w:val="auto"/>
                      <w:lang w:eastAsia="zh-CN"/>
                    </w:rPr>
                  </w:pPr>
                </w:p>
              </w:tc>
              <w:tc>
                <w:tcPr>
                  <w:tcW w:w="983" w:type="dxa"/>
                  <w:tcBorders>
                    <w:bottom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环境风险防控</w:t>
                  </w:r>
                </w:p>
              </w:tc>
              <w:tc>
                <w:tcPr>
                  <w:tcW w:w="2019" w:type="dxa"/>
                  <w:tcBorders>
                    <w:bottom w:val="single" w:color="auto" w:sz="4" w:space="0"/>
                  </w:tcBorders>
                  <w:shd w:val="clear" w:color="auto" w:fill="auto"/>
                  <w:vAlign w:val="center"/>
                </w:tcPr>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制定突发环境事件应急预案，完善风险管理机制，加强风险控制防范。建立区域环境监测制度，加强规划实施的跟踪监测与管理。对园区地表水、地下水、空气、土壤、噪声等进行系统监测，适时跟踪环境质量变化情况，根据监测情况及时采取相应环保措施。</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2.涉重金属、持久性有机物等有毒有害污染物工业企业退出用地，须经评估符合建设用地、农用地土壤环境质量相关要求后，方可用于居住或农业用地。</w:t>
                  </w:r>
                </w:p>
              </w:tc>
              <w:tc>
                <w:tcPr>
                  <w:tcW w:w="2138" w:type="dxa"/>
                  <w:tcBorders>
                    <w:bottom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w:t>
                  </w:r>
                  <w:r>
                    <w:rPr>
                      <w:rFonts w:hint="eastAsia" w:ascii="Times New Roman" w:hAnsi="Times New Roman" w:eastAsia="宋体" w:cs="Times New Roman"/>
                      <w:color w:val="auto"/>
                      <w:lang w:eastAsia="zh-CN"/>
                    </w:rPr>
                    <w:t>环评</w:t>
                  </w:r>
                  <w:r>
                    <w:rPr>
                      <w:rFonts w:ascii="Times New Roman" w:hAnsi="Times New Roman" w:eastAsia="宋体" w:cs="Times New Roman"/>
                      <w:color w:val="auto"/>
                      <w:lang w:eastAsia="zh-CN"/>
                    </w:rPr>
                    <w:t>要求建设单位编制突发环境事件应急预案，并采取了相应的环境风险防范措施，确保项目产生的污染物不对水环境造成污染。</w:t>
                  </w:r>
                </w:p>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项目不涉及重金属、持久性有机物等有毒有害污染物。</w:t>
                  </w:r>
                </w:p>
              </w:tc>
              <w:tc>
                <w:tcPr>
                  <w:tcW w:w="885" w:type="dxa"/>
                  <w:tcBorders>
                    <w:bottom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jc w:val="center"/>
              </w:trPr>
              <w:tc>
                <w:tcPr>
                  <w:tcW w:w="899" w:type="dxa"/>
                  <w:vMerge w:val="continue"/>
                  <w:vAlign w:val="center"/>
                </w:tcPr>
                <w:p>
                  <w:pPr>
                    <w:kinsoku/>
                    <w:jc w:val="center"/>
                    <w:rPr>
                      <w:rFonts w:ascii="Times New Roman" w:hAnsi="Times New Roman" w:eastAsia="宋体" w:cs="Times New Roman"/>
                      <w:color w:val="auto"/>
                      <w:lang w:eastAsia="zh-CN"/>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资源开发效率要求</w:t>
                  </w:r>
                </w:p>
              </w:tc>
              <w:tc>
                <w:tcPr>
                  <w:tcW w:w="2019" w:type="dxa"/>
                  <w:tcBorders>
                    <w:top w:val="single" w:color="auto" w:sz="4" w:space="0"/>
                    <w:left w:val="single" w:color="auto" w:sz="4" w:space="0"/>
                    <w:bottom w:val="single" w:color="auto" w:sz="4" w:space="0"/>
                    <w:right w:val="single" w:color="auto" w:sz="4" w:space="0"/>
                  </w:tcBorders>
                  <w:shd w:val="clear" w:color="auto" w:fill="auto"/>
                  <w:vAlign w:val="center"/>
                </w:tcPr>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1.规划区工业用水循环利用率要求达到90%以上；生产废水处理后回用率2025年前达到60%，2035年前达到100%。</w:t>
                  </w:r>
                </w:p>
                <w:p>
                  <w:pPr>
                    <w:kinsoku/>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2.工业固体废物综合利用率≥85%。</w:t>
                  </w:r>
                </w:p>
              </w:tc>
              <w:tc>
                <w:tcPr>
                  <w:tcW w:w="2138" w:type="dxa"/>
                  <w:tcBorders>
                    <w:top w:val="single" w:color="auto" w:sz="4" w:space="0"/>
                    <w:left w:val="single" w:color="auto" w:sz="4" w:space="0"/>
                    <w:bottom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项目生产过程中无生产废水</w:t>
                  </w:r>
                  <w:r>
                    <w:rPr>
                      <w:rFonts w:hint="eastAsia" w:ascii="Times New Roman" w:hAnsi="Times New Roman" w:eastAsia="宋体" w:cs="Times New Roman"/>
                      <w:color w:val="auto"/>
                      <w:lang w:eastAsia="zh-CN"/>
                    </w:rPr>
                    <w:t>产生</w:t>
                  </w:r>
                  <w:r>
                    <w:rPr>
                      <w:rFonts w:ascii="Times New Roman" w:hAnsi="Times New Roman" w:eastAsia="宋体" w:cs="Times New Roman"/>
                      <w:color w:val="auto"/>
                      <w:lang w:eastAsia="zh-CN"/>
                    </w:rPr>
                    <w:t>。工业固废处置率达100%。</w:t>
                  </w:r>
                </w:p>
              </w:tc>
              <w:tc>
                <w:tcPr>
                  <w:tcW w:w="885"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r>
          </w:tbl>
          <w:p>
            <w:pPr>
              <w:pStyle w:val="22"/>
              <w:kinsoku/>
              <w:spacing w:before="182" w:line="352" w:lineRule="auto"/>
              <w:ind w:left="112" w:right="103" w:firstLine="481"/>
              <w:rPr>
                <w:rFonts w:hint="eastAsia"/>
                <w:color w:val="auto"/>
                <w:spacing w:val="-1"/>
                <w:lang w:eastAsia="zh-CN"/>
              </w:rPr>
            </w:pPr>
            <w:r>
              <w:rPr>
                <w:rFonts w:hint="eastAsia"/>
                <w:bCs/>
                <w:color w:val="auto"/>
                <w:lang w:eastAsia="zh-CN"/>
              </w:rPr>
              <w:t>通过上表对比分析，本项目建设符合《</w:t>
            </w:r>
            <w:r>
              <w:rPr>
                <w:rFonts w:hint="eastAsia"/>
                <w:color w:val="auto"/>
                <w:spacing w:val="-3"/>
                <w:lang w:eastAsia="zh-CN"/>
              </w:rPr>
              <w:t>昆明市生态环境分区管控动态更新方案</w:t>
            </w:r>
            <w:r>
              <w:rPr>
                <w:rFonts w:hint="eastAsia"/>
                <w:bCs/>
                <w:color w:val="auto"/>
                <w:lang w:eastAsia="zh-CN"/>
              </w:rPr>
              <w:t>》（2023年）的相关要求</w:t>
            </w:r>
            <w:r>
              <w:rPr>
                <w:rFonts w:hint="eastAsia"/>
                <w:color w:val="auto"/>
                <w:spacing w:val="-1"/>
                <w:lang w:eastAsia="zh-CN"/>
              </w:rPr>
              <w:t>。</w:t>
            </w:r>
          </w:p>
          <w:p>
            <w:pPr>
              <w:pStyle w:val="22"/>
              <w:kinsoku/>
              <w:spacing w:before="34" w:line="219" w:lineRule="auto"/>
              <w:ind w:left="585"/>
              <w:rPr>
                <w:rFonts w:hint="eastAsia"/>
                <w:color w:val="auto"/>
                <w:lang w:eastAsia="zh-CN"/>
              </w:rPr>
            </w:pPr>
            <w:r>
              <w:rPr>
                <w:rFonts w:hint="eastAsia" w:ascii="Times New Roman" w:hAnsi="Times New Roman" w:eastAsia="Times New Roman" w:cs="Times New Roman"/>
                <w:b/>
                <w:bCs/>
                <w:color w:val="auto"/>
                <w:spacing w:val="-5"/>
                <w:lang w:eastAsia="zh-CN"/>
              </w:rPr>
              <w:t>2</w:t>
            </w:r>
            <w:r>
              <w:rPr>
                <w:b/>
                <w:bCs/>
                <w:color w:val="auto"/>
                <w:spacing w:val="-5"/>
                <w:lang w:eastAsia="zh-CN"/>
              </w:rPr>
              <w:t>、产业政策符合性分析</w:t>
            </w:r>
          </w:p>
          <w:p>
            <w:pPr>
              <w:pStyle w:val="22"/>
              <w:kinsoku/>
              <w:spacing w:before="184" w:line="351" w:lineRule="auto"/>
              <w:ind w:left="100" w:right="116" w:firstLine="480"/>
              <w:rPr>
                <w:rFonts w:hint="eastAsia"/>
                <w:color w:val="auto"/>
                <w:spacing w:val="-1"/>
                <w:lang w:eastAsia="zh-CN"/>
              </w:rPr>
            </w:pPr>
            <w:r>
              <w:rPr>
                <w:color w:val="auto"/>
                <w:spacing w:val="12"/>
                <w:lang w:eastAsia="zh-CN"/>
              </w:rPr>
              <w:t>根据《产业结构调整指导目录（</w:t>
            </w:r>
            <w:r>
              <w:rPr>
                <w:rFonts w:ascii="Times New Roman" w:hAnsi="Times New Roman" w:eastAsia="Times New Roman" w:cs="Times New Roman"/>
                <w:color w:val="auto"/>
                <w:spacing w:val="12"/>
                <w:lang w:eastAsia="zh-CN"/>
              </w:rPr>
              <w:t>20</w:t>
            </w:r>
            <w:r>
              <w:rPr>
                <w:rFonts w:hint="eastAsia" w:ascii="Times New Roman" w:hAnsi="Times New Roman" w:eastAsia="Times New Roman" w:cs="Times New Roman"/>
                <w:color w:val="auto"/>
                <w:spacing w:val="12"/>
                <w:lang w:eastAsia="zh-CN"/>
              </w:rPr>
              <w:t>24</w:t>
            </w:r>
            <w:r>
              <w:rPr>
                <w:color w:val="auto"/>
                <w:spacing w:val="12"/>
                <w:lang w:eastAsia="zh-CN"/>
              </w:rPr>
              <w:t>本）》和国务院关于发布实施《促进产业</w:t>
            </w:r>
            <w:r>
              <w:rPr>
                <w:color w:val="auto"/>
                <w:spacing w:val="11"/>
                <w:lang w:eastAsia="zh-CN"/>
              </w:rPr>
              <w:t>结构调整暂行规</w:t>
            </w:r>
            <w:r>
              <w:rPr>
                <w:color w:val="auto"/>
                <w:spacing w:val="2"/>
                <w:lang w:eastAsia="zh-CN"/>
              </w:rPr>
              <w:t>定》（国发</w:t>
            </w:r>
            <w:r>
              <w:rPr>
                <w:rFonts w:hint="eastAsia"/>
                <w:color w:val="auto"/>
                <w:spacing w:val="2"/>
                <w:lang w:eastAsia="zh-CN"/>
              </w:rPr>
              <w:t>〔2005〕40号</w:t>
            </w:r>
            <w:r>
              <w:rPr>
                <w:color w:val="auto"/>
                <w:spacing w:val="2"/>
                <w:lang w:eastAsia="zh-CN"/>
              </w:rPr>
              <w:t>）的规定，本项目不属于限制类及淘汰类。</w:t>
            </w:r>
            <w:r>
              <w:rPr>
                <w:rFonts w:hint="eastAsia"/>
                <w:color w:val="auto"/>
                <w:spacing w:val="-1"/>
                <w:lang w:eastAsia="zh-CN"/>
              </w:rPr>
              <w:t>本项目于2024年11月21日取得了</w:t>
            </w:r>
            <w:r>
              <w:rPr>
                <w:color w:val="auto"/>
                <w:spacing w:val="-1"/>
                <w:lang w:eastAsia="zh-CN"/>
              </w:rPr>
              <w:t>嵩明县发展和改革局下发的云南省</w:t>
            </w:r>
            <w:r>
              <w:rPr>
                <w:rFonts w:hint="eastAsia"/>
                <w:color w:val="auto"/>
                <w:spacing w:val="-1"/>
                <w:lang w:eastAsia="zh-CN"/>
              </w:rPr>
              <w:t>固定资产</w:t>
            </w:r>
            <w:r>
              <w:rPr>
                <w:color w:val="auto"/>
                <w:spacing w:val="-1"/>
                <w:lang w:eastAsia="zh-CN"/>
              </w:rPr>
              <w:t>投资项目备</w:t>
            </w:r>
            <w:r>
              <w:rPr>
                <w:color w:val="auto"/>
                <w:spacing w:val="-2"/>
                <w:lang w:eastAsia="zh-CN"/>
              </w:rPr>
              <w:t>案证（备案号：</w:t>
            </w:r>
            <w:r>
              <w:rPr>
                <w:rFonts w:hint="eastAsia" w:ascii="Times New Roman" w:hAnsi="Times New Roman" w:cs="Times New Roman"/>
                <w:color w:val="auto"/>
                <w:lang w:eastAsia="zh-CN"/>
              </w:rPr>
              <w:t>2411-530127-04-01-626119</w:t>
            </w:r>
            <w:r>
              <w:rPr>
                <w:color w:val="auto"/>
                <w:lang w:eastAsia="zh-CN"/>
              </w:rPr>
              <w:t>）。</w:t>
            </w:r>
            <w:r>
              <w:rPr>
                <w:rFonts w:hint="eastAsia"/>
                <w:color w:val="auto"/>
                <w:spacing w:val="-1"/>
                <w:lang w:eastAsia="zh-CN"/>
              </w:rPr>
              <w:t>因此，本项目符合产业政策要求。</w:t>
            </w:r>
          </w:p>
          <w:p>
            <w:pPr>
              <w:pStyle w:val="22"/>
              <w:kinsoku/>
              <w:spacing w:before="41" w:line="360" w:lineRule="auto"/>
              <w:ind w:firstLine="476" w:firstLineChars="200"/>
              <w:rPr>
                <w:rFonts w:hint="eastAsia"/>
                <w:color w:val="auto"/>
                <w:lang w:eastAsia="zh-CN"/>
              </w:rPr>
            </w:pPr>
            <w:r>
              <w:rPr>
                <w:rFonts w:hint="eastAsia" w:ascii="Times New Roman" w:hAnsi="Times New Roman" w:eastAsia="Times New Roman" w:cs="Times New Roman"/>
                <w:b/>
                <w:bCs/>
                <w:color w:val="auto"/>
                <w:spacing w:val="-1"/>
                <w:lang w:eastAsia="zh-CN"/>
              </w:rPr>
              <w:t>3</w:t>
            </w:r>
            <w:r>
              <w:rPr>
                <w:b/>
                <w:bCs/>
                <w:color w:val="auto"/>
                <w:spacing w:val="-1"/>
                <w:lang w:eastAsia="zh-CN"/>
              </w:rPr>
              <w:t>、与《重点行业挥发性有机物综合治理方案》（环大气</w:t>
            </w:r>
            <w:r>
              <w:rPr>
                <w:rFonts w:hint="eastAsia"/>
                <w:b/>
                <w:bCs/>
                <w:color w:val="auto"/>
                <w:spacing w:val="-1"/>
                <w:lang w:eastAsia="zh-CN"/>
              </w:rPr>
              <w:t>〔2019〕53号</w:t>
            </w:r>
            <w:r>
              <w:rPr>
                <w:b/>
                <w:bCs/>
                <w:color w:val="auto"/>
                <w:spacing w:val="-4"/>
                <w:lang w:eastAsia="zh-CN"/>
              </w:rPr>
              <w:t>）相符性分析</w:t>
            </w:r>
          </w:p>
          <w:p>
            <w:pPr>
              <w:pStyle w:val="22"/>
              <w:kinsoku/>
              <w:spacing w:before="181" w:line="357" w:lineRule="auto"/>
              <w:ind w:left="110" w:right="102" w:firstLine="485"/>
              <w:rPr>
                <w:rFonts w:hint="eastAsia"/>
                <w:color w:val="auto"/>
                <w:lang w:eastAsia="zh-CN"/>
              </w:rPr>
            </w:pPr>
            <w:r>
              <w:rPr>
                <w:color w:val="auto"/>
                <w:spacing w:val="17"/>
                <w:lang w:eastAsia="zh-CN"/>
              </w:rPr>
              <w:t>《重点行业挥发性有机物综合治理方案》（环大气</w:t>
            </w:r>
            <w:r>
              <w:rPr>
                <w:rFonts w:hint="eastAsia"/>
                <w:color w:val="auto"/>
                <w:spacing w:val="17"/>
                <w:lang w:eastAsia="zh-CN"/>
              </w:rPr>
              <w:t>〔2019〕53号</w:t>
            </w:r>
            <w:r>
              <w:rPr>
                <w:color w:val="auto"/>
                <w:spacing w:val="-7"/>
                <w:lang w:eastAsia="zh-CN"/>
              </w:rPr>
              <w:t>）：（</w:t>
            </w:r>
            <w:r>
              <w:rPr>
                <w:color w:val="auto"/>
                <w:spacing w:val="4"/>
                <w:lang w:eastAsia="zh-CN"/>
              </w:rPr>
              <w:t>一）大力推进源头替代。通过使用水性、粉末、高固体分、</w:t>
            </w:r>
            <w:r>
              <w:rPr>
                <w:color w:val="auto"/>
                <w:spacing w:val="2"/>
                <w:lang w:eastAsia="zh-CN"/>
              </w:rPr>
              <w:t>无溶剂、辐射固化等低</w:t>
            </w:r>
            <w:r>
              <w:rPr>
                <w:rFonts w:ascii="Times New Roman" w:hAnsi="Times New Roman" w:eastAsia="Times New Roman" w:cs="Times New Roman"/>
                <w:color w:val="auto"/>
                <w:lang w:eastAsia="zh-CN"/>
              </w:rPr>
              <w:t>VOCs</w:t>
            </w:r>
            <w:r>
              <w:rPr>
                <w:color w:val="auto"/>
                <w:spacing w:val="2"/>
                <w:lang w:eastAsia="zh-CN"/>
              </w:rPr>
              <w:t>含量的涂料</w:t>
            </w:r>
            <w:r>
              <w:rPr>
                <w:rFonts w:hint="eastAsia"/>
                <w:color w:val="auto"/>
                <w:spacing w:val="2"/>
                <w:lang w:eastAsia="zh-CN"/>
              </w:rPr>
              <w:t>……</w:t>
            </w:r>
            <w:r>
              <w:rPr>
                <w:color w:val="auto"/>
                <w:spacing w:val="2"/>
                <w:lang w:eastAsia="zh-CN"/>
              </w:rPr>
              <w:t>从源头减少</w:t>
            </w:r>
            <w:r>
              <w:rPr>
                <w:rFonts w:ascii="Times New Roman" w:hAnsi="Times New Roman" w:eastAsia="Times New Roman" w:cs="Times New Roman"/>
                <w:color w:val="auto"/>
                <w:lang w:eastAsia="zh-CN"/>
              </w:rPr>
              <w:t>VOCs</w:t>
            </w:r>
            <w:r>
              <w:rPr>
                <w:color w:val="auto"/>
                <w:spacing w:val="2"/>
                <w:lang w:eastAsia="zh-CN"/>
              </w:rPr>
              <w:t>产</w:t>
            </w:r>
            <w:r>
              <w:rPr>
                <w:color w:val="auto"/>
                <w:spacing w:val="4"/>
                <w:lang w:eastAsia="zh-CN"/>
              </w:rPr>
              <w:t>生。（二）全面加强无组织排放控制</w:t>
            </w:r>
            <w:r>
              <w:rPr>
                <w:rFonts w:hint="eastAsia"/>
                <w:color w:val="auto"/>
                <w:spacing w:val="4"/>
                <w:lang w:eastAsia="zh-CN"/>
              </w:rPr>
              <w:t>……</w:t>
            </w:r>
            <w:r>
              <w:rPr>
                <w:color w:val="auto"/>
                <w:spacing w:val="4"/>
                <w:lang w:eastAsia="zh-CN"/>
              </w:rPr>
              <w:t>通过采取设备与场所密闭、</w:t>
            </w:r>
            <w:r>
              <w:rPr>
                <w:color w:val="auto"/>
                <w:spacing w:val="7"/>
                <w:lang w:eastAsia="zh-CN"/>
              </w:rPr>
              <w:t>工艺改进、废气有效收集等措施，削减</w:t>
            </w:r>
            <w:r>
              <w:rPr>
                <w:rFonts w:ascii="Times New Roman" w:hAnsi="Times New Roman" w:eastAsia="Times New Roman" w:cs="Times New Roman"/>
                <w:color w:val="auto"/>
                <w:lang w:eastAsia="zh-CN"/>
              </w:rPr>
              <w:t>VOCs</w:t>
            </w:r>
            <w:r>
              <w:rPr>
                <w:color w:val="auto"/>
                <w:spacing w:val="7"/>
                <w:lang w:eastAsia="zh-CN"/>
              </w:rPr>
              <w:t>无组织排放。提高废</w:t>
            </w:r>
            <w:r>
              <w:rPr>
                <w:color w:val="auto"/>
                <w:spacing w:val="2"/>
                <w:lang w:eastAsia="zh-CN"/>
              </w:rPr>
              <w:t>气收集率。加强</w:t>
            </w:r>
            <w:r>
              <w:rPr>
                <w:rFonts w:hint="eastAsia"/>
                <w:color w:val="auto"/>
                <w:spacing w:val="2"/>
                <w:lang w:eastAsia="zh-CN"/>
              </w:rPr>
              <w:t>……</w:t>
            </w:r>
            <w:r>
              <w:rPr>
                <w:color w:val="auto"/>
                <w:spacing w:val="2"/>
                <w:lang w:eastAsia="zh-CN"/>
              </w:rPr>
              <w:t>遵循</w:t>
            </w:r>
            <w:r>
              <w:rPr>
                <w:rFonts w:hint="eastAsia" w:ascii="Times New Roman" w:hAnsi="Times New Roman" w:eastAsia="Times New Roman" w:cs="Times New Roman"/>
                <w:color w:val="auto"/>
                <w:spacing w:val="2"/>
                <w:lang w:eastAsia="zh-CN"/>
              </w:rPr>
              <w:t>“</w:t>
            </w:r>
            <w:r>
              <w:rPr>
                <w:color w:val="auto"/>
                <w:spacing w:val="2"/>
                <w:lang w:eastAsia="zh-CN"/>
              </w:rPr>
              <w:t>应收尽收</w:t>
            </w:r>
            <w:r>
              <w:rPr>
                <w:color w:val="auto"/>
                <w:spacing w:val="1"/>
                <w:lang w:eastAsia="zh-CN"/>
              </w:rPr>
              <w:t>、分质收集</w:t>
            </w:r>
            <w:r>
              <w:rPr>
                <w:rFonts w:hint="eastAsia" w:ascii="Times New Roman" w:hAnsi="Times New Roman" w:eastAsia="Times New Roman" w:cs="Times New Roman"/>
                <w:color w:val="auto"/>
                <w:spacing w:val="1"/>
                <w:lang w:eastAsia="zh-CN"/>
              </w:rPr>
              <w:t>”</w:t>
            </w:r>
            <w:r>
              <w:rPr>
                <w:color w:val="auto"/>
                <w:spacing w:val="1"/>
                <w:lang w:eastAsia="zh-CN"/>
              </w:rPr>
              <w:t>的原则，科学将无组织</w:t>
            </w:r>
            <w:r>
              <w:rPr>
                <w:color w:val="auto"/>
                <w:spacing w:val="3"/>
                <w:lang w:eastAsia="zh-CN"/>
              </w:rPr>
              <w:t>排放转变为有组织排放进行控制。采用全密闭集气罩或密闭空间</w:t>
            </w:r>
            <w:r>
              <w:rPr>
                <w:color w:val="auto"/>
                <w:spacing w:val="2"/>
                <w:lang w:eastAsia="zh-CN"/>
              </w:rPr>
              <w:t>的，</w:t>
            </w:r>
            <w:r>
              <w:rPr>
                <w:color w:val="auto"/>
                <w:spacing w:val="3"/>
                <w:lang w:eastAsia="zh-CN"/>
              </w:rPr>
              <w:t>除行业有特殊要求外，应保持微负压状态，并根据相关规范合</w:t>
            </w:r>
            <w:r>
              <w:rPr>
                <w:color w:val="auto"/>
                <w:spacing w:val="2"/>
                <w:lang w:eastAsia="zh-CN"/>
              </w:rPr>
              <w:t>理设置通风量。采用局部集气罩的，距集气罩开口面最远处的</w:t>
            </w:r>
            <w:r>
              <w:rPr>
                <w:rFonts w:ascii="Times New Roman" w:hAnsi="Times New Roman" w:eastAsia="Times New Roman" w:cs="Times New Roman"/>
                <w:color w:val="auto"/>
                <w:lang w:eastAsia="zh-CN"/>
              </w:rPr>
              <w:t>VOCs</w:t>
            </w:r>
            <w:r>
              <w:rPr>
                <w:color w:val="auto"/>
                <w:spacing w:val="2"/>
                <w:lang w:eastAsia="zh-CN"/>
              </w:rPr>
              <w:t>无组织排放位置，控制风速应不低于</w:t>
            </w:r>
            <w:r>
              <w:rPr>
                <w:rFonts w:ascii="Times New Roman" w:hAnsi="Times New Roman" w:eastAsia="Times New Roman" w:cs="Times New Roman"/>
                <w:color w:val="auto"/>
                <w:spacing w:val="2"/>
                <w:lang w:eastAsia="zh-CN"/>
              </w:rPr>
              <w:t>0.3</w:t>
            </w:r>
            <w:r>
              <w:rPr>
                <w:color w:val="auto"/>
                <w:spacing w:val="2"/>
                <w:lang w:eastAsia="zh-CN"/>
              </w:rPr>
              <w:t>米</w:t>
            </w:r>
            <w:r>
              <w:rPr>
                <w:rFonts w:ascii="Times New Roman" w:hAnsi="Times New Roman" w:eastAsia="Times New Roman" w:cs="Times New Roman"/>
                <w:color w:val="auto"/>
                <w:spacing w:val="2"/>
                <w:lang w:eastAsia="zh-CN"/>
              </w:rPr>
              <w:t>/</w:t>
            </w:r>
            <w:r>
              <w:rPr>
                <w:color w:val="auto"/>
                <w:spacing w:val="2"/>
                <w:lang w:eastAsia="zh-CN"/>
              </w:rPr>
              <w:t>秒，有行业要求的按相关规定执</w:t>
            </w:r>
            <w:r>
              <w:rPr>
                <w:color w:val="auto"/>
                <w:spacing w:val="3"/>
                <w:lang w:eastAsia="zh-CN"/>
              </w:rPr>
              <w:t>行。（三）推进建设适宜高效的治污设施。企业新建治污设施</w:t>
            </w:r>
            <w:r>
              <w:rPr>
                <w:color w:val="auto"/>
                <w:spacing w:val="2"/>
                <w:lang w:eastAsia="zh-CN"/>
              </w:rPr>
              <w:t>或对现</w:t>
            </w:r>
            <w:r>
              <w:rPr>
                <w:color w:val="auto"/>
                <w:spacing w:val="3"/>
                <w:lang w:eastAsia="zh-CN"/>
              </w:rPr>
              <w:t>有治污设施实施改造，应依据排放废气的浓度、组分、风量，温</w:t>
            </w:r>
            <w:r>
              <w:rPr>
                <w:color w:val="auto"/>
                <w:spacing w:val="2"/>
                <w:lang w:eastAsia="zh-CN"/>
              </w:rPr>
              <w:t>度、</w:t>
            </w:r>
            <w:r>
              <w:rPr>
                <w:color w:val="auto"/>
                <w:spacing w:val="-1"/>
                <w:lang w:eastAsia="zh-CN"/>
              </w:rPr>
              <w:t>湿度、压力，以及生产工况等，合理选择治理技术。</w:t>
            </w:r>
          </w:p>
          <w:p>
            <w:pPr>
              <w:pStyle w:val="22"/>
              <w:kinsoku/>
              <w:spacing w:before="36" w:line="354" w:lineRule="auto"/>
              <w:ind w:left="110" w:right="102" w:firstLine="480"/>
              <w:rPr>
                <w:rFonts w:hint="eastAsia"/>
                <w:color w:val="auto"/>
                <w:lang w:eastAsia="zh-CN"/>
              </w:rPr>
            </w:pPr>
            <w:r>
              <w:rPr>
                <w:rFonts w:ascii="Times New Roman" w:hAnsi="Times New Roman" w:cs="Times New Roman"/>
                <w:color w:val="auto"/>
                <w:spacing w:val="4"/>
                <w:lang w:eastAsia="zh-CN"/>
              </w:rPr>
              <w:t>本项目采用VOCs含量检测合格的胶黏剂作为封边胶，不涉及高VOCs含量的溶剂型涂料、油墨、</w:t>
            </w:r>
            <w:r>
              <w:rPr>
                <w:rFonts w:hint="eastAsia" w:ascii="Times New Roman" w:hAnsi="Times New Roman" w:cs="Times New Roman"/>
                <w:color w:val="auto"/>
                <w:spacing w:val="4"/>
                <w:lang w:eastAsia="zh-CN"/>
              </w:rPr>
              <w:t>胶黏剂</w:t>
            </w:r>
            <w:r>
              <w:rPr>
                <w:rFonts w:ascii="Times New Roman" w:hAnsi="Times New Roman" w:cs="Times New Roman"/>
                <w:color w:val="auto"/>
                <w:spacing w:val="4"/>
                <w:lang w:eastAsia="zh-CN"/>
              </w:rPr>
              <w:t>等使用；封胶过程中采用</w:t>
            </w:r>
            <w:r>
              <w:rPr>
                <w:rFonts w:hint="eastAsia" w:ascii="Times New Roman" w:hAnsi="Times New Roman" w:cs="Times New Roman"/>
                <w:color w:val="auto"/>
                <w:spacing w:val="4"/>
                <w:lang w:eastAsia="zh-CN"/>
              </w:rPr>
              <w:t>盖板式</w:t>
            </w:r>
            <w:r>
              <w:rPr>
                <w:rFonts w:ascii="Times New Roman" w:hAnsi="Times New Roman" w:cs="Times New Roman"/>
                <w:color w:val="auto"/>
                <w:spacing w:val="4"/>
                <w:lang w:eastAsia="zh-CN"/>
              </w:rPr>
              <w:t>封胶设备生产，能够从源头减少有机废气排放产生量，封胶结束后开启盖板取出成品，生产全过程采用</w:t>
            </w:r>
            <w:r>
              <w:rPr>
                <w:rFonts w:hint="eastAsia"/>
                <w:color w:val="auto"/>
                <w:lang w:eastAsia="zh-CN"/>
              </w:rPr>
              <w:t>与设备紧密连接的微负压全密闭集气管道对挥发性有机物进行收集</w:t>
            </w:r>
            <w:r>
              <w:rPr>
                <w:rFonts w:ascii="Times New Roman" w:hAnsi="Times New Roman" w:cs="Times New Roman"/>
                <w:color w:val="auto"/>
                <w:spacing w:val="4"/>
                <w:lang w:eastAsia="zh-CN"/>
              </w:rPr>
              <w:t>，最终进入</w:t>
            </w:r>
            <w:r>
              <w:rPr>
                <w:rFonts w:hint="eastAsia" w:ascii="Times New Roman" w:hAnsi="Times New Roman" w:cs="Times New Roman"/>
                <w:color w:val="auto"/>
                <w:spacing w:val="4"/>
                <w:lang w:eastAsia="zh-CN"/>
              </w:rPr>
              <w:t>“</w:t>
            </w:r>
            <w:r>
              <w:rPr>
                <w:rFonts w:ascii="Times New Roman" w:hAnsi="Times New Roman" w:cs="Times New Roman"/>
                <w:color w:val="auto"/>
                <w:spacing w:val="4"/>
                <w:lang w:eastAsia="zh-CN"/>
              </w:rPr>
              <w:t>二级活性炭吸附</w:t>
            </w:r>
            <w:r>
              <w:rPr>
                <w:rFonts w:hint="eastAsia" w:ascii="Times New Roman" w:hAnsi="Times New Roman" w:cs="Times New Roman"/>
                <w:color w:val="auto"/>
                <w:spacing w:val="4"/>
                <w:lang w:eastAsia="zh-CN"/>
              </w:rPr>
              <w:t>”</w:t>
            </w:r>
            <w:r>
              <w:rPr>
                <w:rFonts w:ascii="Times New Roman" w:hAnsi="Times New Roman" w:cs="Times New Roman"/>
                <w:color w:val="auto"/>
                <w:spacing w:val="4"/>
                <w:lang w:eastAsia="zh-CN"/>
              </w:rPr>
              <w:t>处理后通过15m高排气筒排放。封边工序采取设备密闭</w:t>
            </w:r>
            <w:r>
              <w:rPr>
                <w:rFonts w:ascii="Times New Roman" w:hAnsi="Times New Roman" w:cs="Times New Roman"/>
                <w:color w:val="auto"/>
                <w:spacing w:val="7"/>
                <w:lang w:eastAsia="zh-CN"/>
              </w:rPr>
              <w:t>、废气有效收集等措施，减少</w:t>
            </w:r>
            <w:r>
              <w:rPr>
                <w:rFonts w:ascii="Times New Roman" w:hAnsi="Times New Roman" w:cs="Times New Roman"/>
                <w:color w:val="auto"/>
                <w:lang w:eastAsia="zh-CN"/>
              </w:rPr>
              <w:t>VOCs</w:t>
            </w:r>
            <w:r>
              <w:rPr>
                <w:rFonts w:ascii="Times New Roman" w:hAnsi="Times New Roman" w:cs="Times New Roman"/>
                <w:color w:val="auto"/>
                <w:spacing w:val="7"/>
                <w:lang w:eastAsia="zh-CN"/>
              </w:rPr>
              <w:t>无组织排放，</w:t>
            </w:r>
            <w:r>
              <w:rPr>
                <w:rFonts w:ascii="Times New Roman" w:hAnsi="Times New Roman" w:cs="Times New Roman"/>
                <w:color w:val="auto"/>
                <w:spacing w:val="4"/>
                <w:lang w:eastAsia="zh-CN"/>
              </w:rPr>
              <w:t>符合文件要求。</w:t>
            </w:r>
          </w:p>
          <w:p>
            <w:pPr>
              <w:pStyle w:val="22"/>
              <w:kinsoku/>
              <w:spacing w:before="32" w:line="336" w:lineRule="auto"/>
              <w:ind w:left="116" w:right="104" w:firstLine="473"/>
              <w:rPr>
                <w:rFonts w:hint="eastAsia"/>
                <w:color w:val="auto"/>
                <w:lang w:eastAsia="zh-CN"/>
              </w:rPr>
            </w:pPr>
            <w:r>
              <w:rPr>
                <w:rFonts w:hint="eastAsia" w:ascii="Times New Roman" w:hAnsi="Times New Roman" w:eastAsia="Times New Roman" w:cs="Times New Roman"/>
                <w:b/>
                <w:bCs/>
                <w:color w:val="auto"/>
                <w:spacing w:val="8"/>
                <w:lang w:eastAsia="zh-CN"/>
              </w:rPr>
              <w:t>4</w:t>
            </w:r>
            <w:r>
              <w:rPr>
                <w:b/>
                <w:bCs/>
                <w:color w:val="auto"/>
                <w:spacing w:val="8"/>
                <w:lang w:eastAsia="zh-CN"/>
              </w:rPr>
              <w:t>、与《</w:t>
            </w:r>
            <w:r>
              <w:rPr>
                <w:rFonts w:ascii="Times New Roman" w:hAnsi="Times New Roman" w:eastAsia="Times New Roman" w:cs="Times New Roman"/>
                <w:b/>
                <w:bCs/>
                <w:color w:val="auto"/>
                <w:spacing w:val="8"/>
                <w:lang w:eastAsia="zh-CN"/>
              </w:rPr>
              <w:t>2020</w:t>
            </w:r>
            <w:r>
              <w:rPr>
                <w:b/>
                <w:bCs/>
                <w:color w:val="auto"/>
                <w:spacing w:val="8"/>
                <w:lang w:eastAsia="zh-CN"/>
              </w:rPr>
              <w:t>年挥发性有机物治理攻坚方案》</w:t>
            </w:r>
            <w:r>
              <w:rPr>
                <w:rFonts w:ascii="Times New Roman" w:hAnsi="Times New Roman" w:eastAsia="Times New Roman" w:cs="Times New Roman"/>
                <w:b/>
                <w:bCs/>
                <w:color w:val="auto"/>
                <w:spacing w:val="8"/>
                <w:lang w:eastAsia="zh-CN"/>
              </w:rPr>
              <w:t>(</w:t>
            </w:r>
            <w:r>
              <w:rPr>
                <w:b/>
                <w:bCs/>
                <w:color w:val="auto"/>
                <w:spacing w:val="8"/>
                <w:lang w:eastAsia="zh-CN"/>
              </w:rPr>
              <w:t>环大气</w:t>
            </w:r>
            <w:r>
              <w:rPr>
                <w:rFonts w:hint="eastAsia"/>
                <w:b/>
                <w:bCs/>
                <w:color w:val="auto"/>
                <w:spacing w:val="8"/>
                <w:lang w:eastAsia="zh-CN"/>
              </w:rPr>
              <w:t>〔2020〕33号</w:t>
            </w:r>
            <w:r>
              <w:rPr>
                <w:b/>
                <w:bCs/>
                <w:color w:val="auto"/>
                <w:spacing w:val="-4"/>
                <w:lang w:eastAsia="zh-CN"/>
              </w:rPr>
              <w:t>）相符性分析</w:t>
            </w:r>
          </w:p>
          <w:p>
            <w:pPr>
              <w:pStyle w:val="22"/>
              <w:kinsoku/>
              <w:spacing w:before="23" w:line="360" w:lineRule="auto"/>
              <w:ind w:left="117" w:right="46" w:firstLine="524" w:firstLineChars="200"/>
              <w:jc w:val="both"/>
              <w:rPr>
                <w:rFonts w:hint="eastAsia"/>
                <w:color w:val="auto"/>
                <w:lang w:eastAsia="zh-CN"/>
              </w:rPr>
            </w:pPr>
            <w:r>
              <w:rPr>
                <w:color w:val="auto"/>
                <w:spacing w:val="11"/>
                <w:lang w:eastAsia="zh-CN"/>
              </w:rPr>
              <w:t>根据《</w:t>
            </w:r>
            <w:r>
              <w:rPr>
                <w:rFonts w:ascii="Times New Roman" w:hAnsi="Times New Roman" w:eastAsia="Times New Roman" w:cs="Times New Roman"/>
                <w:color w:val="auto"/>
                <w:spacing w:val="11"/>
                <w:lang w:eastAsia="zh-CN"/>
              </w:rPr>
              <w:t>2020</w:t>
            </w:r>
            <w:r>
              <w:rPr>
                <w:color w:val="auto"/>
                <w:spacing w:val="11"/>
                <w:lang w:eastAsia="zh-CN"/>
              </w:rPr>
              <w:t>年挥发性有机物治理攻坚方案》</w:t>
            </w:r>
            <w:r>
              <w:rPr>
                <w:rFonts w:ascii="Times New Roman" w:hAnsi="Times New Roman" w:eastAsia="Times New Roman" w:cs="Times New Roman"/>
                <w:color w:val="auto"/>
                <w:spacing w:val="11"/>
                <w:lang w:eastAsia="zh-CN"/>
              </w:rPr>
              <w:t>(</w:t>
            </w:r>
            <w:r>
              <w:rPr>
                <w:color w:val="auto"/>
                <w:spacing w:val="11"/>
                <w:lang w:eastAsia="zh-CN"/>
              </w:rPr>
              <w:t>环大气</w:t>
            </w:r>
            <w:r>
              <w:rPr>
                <w:rFonts w:hint="eastAsia"/>
                <w:color w:val="auto"/>
                <w:spacing w:val="11"/>
                <w:lang w:eastAsia="zh-CN"/>
              </w:rPr>
              <w:t>〔2020〕33号</w:t>
            </w:r>
            <w:r>
              <w:rPr>
                <w:color w:val="auto"/>
                <w:spacing w:val="17"/>
                <w:lang w:eastAsia="zh-CN"/>
              </w:rPr>
              <w:t>），</w:t>
            </w:r>
            <w:r>
              <w:rPr>
                <w:color w:val="auto"/>
                <w:spacing w:val="4"/>
                <w:lang w:eastAsia="zh-CN"/>
              </w:rPr>
              <w:t>文件要求</w:t>
            </w:r>
            <w:r>
              <w:rPr>
                <w:rFonts w:hint="eastAsia" w:ascii="Times New Roman" w:hAnsi="Times New Roman" w:eastAsia="Times New Roman" w:cs="Times New Roman"/>
                <w:color w:val="auto"/>
                <w:spacing w:val="4"/>
                <w:lang w:eastAsia="zh-CN"/>
              </w:rPr>
              <w:t>“</w:t>
            </w:r>
            <w:r>
              <w:rPr>
                <w:color w:val="auto"/>
                <w:spacing w:val="4"/>
                <w:lang w:eastAsia="zh-CN"/>
              </w:rPr>
              <w:t>大力推进源头替代，有效减少</w:t>
            </w:r>
            <w:r>
              <w:rPr>
                <w:rFonts w:ascii="Times New Roman" w:hAnsi="Times New Roman" w:eastAsia="Times New Roman" w:cs="Times New Roman"/>
                <w:color w:val="auto"/>
                <w:lang w:eastAsia="zh-CN"/>
              </w:rPr>
              <w:t>VOCs</w:t>
            </w:r>
            <w:r>
              <w:rPr>
                <w:color w:val="auto"/>
                <w:spacing w:val="4"/>
                <w:lang w:eastAsia="zh-CN"/>
              </w:rPr>
              <w:t>产生：严格落</w:t>
            </w:r>
            <w:r>
              <w:rPr>
                <w:color w:val="auto"/>
                <w:spacing w:val="6"/>
                <w:lang w:eastAsia="zh-CN"/>
              </w:rPr>
              <w:t>实国家和地方产品</w:t>
            </w:r>
            <w:r>
              <w:rPr>
                <w:rFonts w:ascii="Times New Roman" w:hAnsi="Times New Roman" w:eastAsia="Times New Roman" w:cs="Times New Roman"/>
                <w:color w:val="auto"/>
                <w:lang w:eastAsia="zh-CN"/>
              </w:rPr>
              <w:t>VOCs</w:t>
            </w:r>
            <w:r>
              <w:rPr>
                <w:color w:val="auto"/>
                <w:spacing w:val="6"/>
                <w:lang w:eastAsia="zh-CN"/>
              </w:rPr>
              <w:t>含量限值标准，全面落实</w:t>
            </w:r>
            <w:r>
              <w:rPr>
                <w:rFonts w:hint="eastAsia"/>
                <w:color w:val="auto"/>
                <w:spacing w:val="6"/>
                <w:lang w:eastAsia="zh-CN"/>
              </w:rPr>
              <w:t>……</w:t>
            </w:r>
            <w:r>
              <w:rPr>
                <w:color w:val="auto"/>
                <w:spacing w:val="6"/>
                <w:lang w:eastAsia="zh-CN"/>
              </w:rPr>
              <w:t>无组织排放控</w:t>
            </w:r>
            <w:r>
              <w:rPr>
                <w:color w:val="auto"/>
                <w:spacing w:val="3"/>
                <w:lang w:eastAsia="zh-CN"/>
              </w:rPr>
              <w:t>制：</w:t>
            </w:r>
            <w:r>
              <w:rPr>
                <w:rFonts w:ascii="Times New Roman" w:hAnsi="Times New Roman" w:eastAsia="Times New Roman" w:cs="Times New Roman"/>
                <w:color w:val="auto"/>
                <w:spacing w:val="3"/>
                <w:lang w:eastAsia="zh-CN"/>
              </w:rPr>
              <w:t>2020</w:t>
            </w:r>
            <w:r>
              <w:rPr>
                <w:color w:val="auto"/>
                <w:spacing w:val="3"/>
                <w:lang w:eastAsia="zh-CN"/>
              </w:rPr>
              <w:t>年</w:t>
            </w:r>
            <w:r>
              <w:rPr>
                <w:rFonts w:ascii="Times New Roman" w:hAnsi="Times New Roman" w:eastAsia="Times New Roman" w:cs="Times New Roman"/>
                <w:color w:val="auto"/>
                <w:spacing w:val="3"/>
                <w:lang w:eastAsia="zh-CN"/>
              </w:rPr>
              <w:t>7</w:t>
            </w:r>
            <w:r>
              <w:rPr>
                <w:color w:val="auto"/>
                <w:spacing w:val="3"/>
                <w:lang w:eastAsia="zh-CN"/>
              </w:rPr>
              <w:t>月</w:t>
            </w:r>
            <w:r>
              <w:rPr>
                <w:rFonts w:ascii="Times New Roman" w:hAnsi="Times New Roman" w:eastAsia="Times New Roman" w:cs="Times New Roman"/>
                <w:color w:val="auto"/>
                <w:spacing w:val="3"/>
                <w:lang w:eastAsia="zh-CN"/>
              </w:rPr>
              <w:t>1</w:t>
            </w:r>
            <w:r>
              <w:rPr>
                <w:color w:val="auto"/>
                <w:spacing w:val="3"/>
                <w:lang w:eastAsia="zh-CN"/>
              </w:rPr>
              <w:t>日起全面执行《挥发性有机物无组织排放控制标准》，落实无组织排放特别控制要求。各地要加大标准生效时间</w:t>
            </w:r>
            <w:r>
              <w:rPr>
                <w:color w:val="auto"/>
                <w:spacing w:val="2"/>
                <w:lang w:eastAsia="zh-CN"/>
              </w:rPr>
              <w:t>、涉</w:t>
            </w:r>
            <w:r>
              <w:rPr>
                <w:color w:val="auto"/>
                <w:spacing w:val="3"/>
                <w:lang w:eastAsia="zh-CN"/>
              </w:rPr>
              <w:t>及行业及控制要求等宣贯力度，通过现场指导、组织培训、新媒</w:t>
            </w:r>
            <w:r>
              <w:rPr>
                <w:color w:val="auto"/>
                <w:spacing w:val="2"/>
                <w:lang w:eastAsia="zh-CN"/>
              </w:rPr>
              <w:t>体信</w:t>
            </w:r>
            <w:r>
              <w:rPr>
                <w:color w:val="auto"/>
                <w:spacing w:val="9"/>
                <w:lang w:eastAsia="zh-CN"/>
              </w:rPr>
              <w:t>息推送等多种方式，督促指导企业对照标准要求开展含</w:t>
            </w:r>
            <w:r>
              <w:rPr>
                <w:rFonts w:ascii="Times New Roman" w:hAnsi="Times New Roman" w:eastAsia="Times New Roman" w:cs="Times New Roman"/>
                <w:color w:val="auto"/>
                <w:lang w:eastAsia="zh-CN"/>
              </w:rPr>
              <w:t>VOCs</w:t>
            </w:r>
            <w:r>
              <w:rPr>
                <w:color w:val="auto"/>
                <w:spacing w:val="9"/>
                <w:lang w:eastAsia="zh-CN"/>
              </w:rPr>
              <w:t>物料</w:t>
            </w:r>
            <w:r>
              <w:rPr>
                <w:color w:val="auto"/>
                <w:spacing w:val="4"/>
                <w:lang w:eastAsia="zh-CN"/>
              </w:rPr>
              <w:t>（包括含</w:t>
            </w:r>
            <w:r>
              <w:rPr>
                <w:rFonts w:ascii="Times New Roman" w:hAnsi="Times New Roman" w:eastAsia="Times New Roman" w:cs="Times New Roman"/>
                <w:color w:val="auto"/>
                <w:lang w:eastAsia="zh-CN"/>
              </w:rPr>
              <w:t>VOCs</w:t>
            </w:r>
            <w:r>
              <w:rPr>
                <w:color w:val="auto"/>
                <w:spacing w:val="4"/>
                <w:lang w:eastAsia="zh-CN"/>
              </w:rPr>
              <w:t>原辅材料、含</w:t>
            </w:r>
            <w:r>
              <w:rPr>
                <w:rFonts w:ascii="Times New Roman" w:hAnsi="Times New Roman" w:eastAsia="Times New Roman" w:cs="Times New Roman"/>
                <w:color w:val="auto"/>
                <w:lang w:eastAsia="zh-CN"/>
              </w:rPr>
              <w:t>VOCs</w:t>
            </w:r>
            <w:r>
              <w:rPr>
                <w:color w:val="auto"/>
                <w:spacing w:val="4"/>
                <w:lang w:eastAsia="zh-CN"/>
              </w:rPr>
              <w:t>产品、含</w:t>
            </w:r>
            <w:r>
              <w:rPr>
                <w:rFonts w:ascii="Times New Roman" w:hAnsi="Times New Roman" w:eastAsia="Times New Roman" w:cs="Times New Roman"/>
                <w:color w:val="auto"/>
                <w:lang w:eastAsia="zh-CN"/>
              </w:rPr>
              <w:t>VOCs</w:t>
            </w:r>
            <w:r>
              <w:rPr>
                <w:color w:val="auto"/>
                <w:spacing w:val="4"/>
                <w:lang w:eastAsia="zh-CN"/>
              </w:rPr>
              <w:t>废料以及有机</w:t>
            </w:r>
            <w:r>
              <w:rPr>
                <w:color w:val="auto"/>
                <w:spacing w:val="3"/>
                <w:lang w:eastAsia="zh-CN"/>
              </w:rPr>
              <w:t>聚合物材料等）储存、转移和输送、设备与管线组件泄漏、敞开</w:t>
            </w:r>
            <w:r>
              <w:rPr>
                <w:color w:val="auto"/>
                <w:spacing w:val="2"/>
                <w:lang w:eastAsia="zh-CN"/>
              </w:rPr>
              <w:t>液面</w:t>
            </w:r>
            <w:r>
              <w:rPr>
                <w:color w:val="auto"/>
                <w:spacing w:val="3"/>
                <w:lang w:eastAsia="zh-CN"/>
              </w:rPr>
              <w:t>逸散以及工艺过程等无组织排放环节排查整治，对达不到要求的</w:t>
            </w:r>
            <w:r>
              <w:rPr>
                <w:color w:val="auto"/>
                <w:spacing w:val="2"/>
                <w:lang w:eastAsia="zh-CN"/>
              </w:rPr>
              <w:t>加快</w:t>
            </w:r>
            <w:r>
              <w:rPr>
                <w:color w:val="auto"/>
                <w:spacing w:val="-3"/>
                <w:lang w:eastAsia="zh-CN"/>
              </w:rPr>
              <w:t>整改</w:t>
            </w:r>
            <w:r>
              <w:rPr>
                <w:rFonts w:hint="eastAsia" w:ascii="Times New Roman" w:hAnsi="Times New Roman" w:eastAsia="Times New Roman" w:cs="Times New Roman"/>
                <w:color w:val="auto"/>
                <w:spacing w:val="-3"/>
                <w:lang w:eastAsia="zh-CN"/>
              </w:rPr>
              <w:t>”</w:t>
            </w:r>
            <w:r>
              <w:rPr>
                <w:color w:val="auto"/>
                <w:spacing w:val="-3"/>
                <w:lang w:eastAsia="zh-CN"/>
              </w:rPr>
              <w:t>。</w:t>
            </w:r>
          </w:p>
          <w:p>
            <w:pPr>
              <w:kinsoku/>
              <w:spacing w:line="360" w:lineRule="auto"/>
              <w:ind w:firstLine="496" w:firstLineChars="200"/>
              <w:rPr>
                <w:rFonts w:hint="eastAsia" w:ascii="宋体" w:hAnsi="宋体" w:eastAsia="宋体" w:cs="宋体"/>
                <w:color w:val="auto"/>
                <w:spacing w:val="4"/>
                <w:sz w:val="24"/>
                <w:szCs w:val="24"/>
                <w:lang w:eastAsia="zh-CN"/>
              </w:rPr>
            </w:pPr>
            <w:r>
              <w:rPr>
                <w:rFonts w:ascii="Times New Roman" w:hAnsi="Times New Roman" w:eastAsia="宋体" w:cs="Times New Roman"/>
                <w:color w:val="auto"/>
                <w:spacing w:val="4"/>
                <w:sz w:val="24"/>
                <w:szCs w:val="24"/>
                <w:lang w:eastAsia="zh-CN"/>
              </w:rPr>
              <w:t>本项目采用VOCs含量检测合格的胶黏剂作为封边胶，不涉及高VOCs含量的溶剂型涂料、油墨、</w:t>
            </w:r>
            <w:r>
              <w:rPr>
                <w:rFonts w:hint="eastAsia" w:ascii="Times New Roman" w:hAnsi="Times New Roman" w:eastAsia="宋体" w:cs="Times New Roman"/>
                <w:color w:val="auto"/>
                <w:spacing w:val="4"/>
                <w:sz w:val="24"/>
                <w:szCs w:val="24"/>
                <w:lang w:eastAsia="zh-CN"/>
              </w:rPr>
              <w:t>胶黏剂</w:t>
            </w:r>
            <w:r>
              <w:rPr>
                <w:rFonts w:ascii="Times New Roman" w:hAnsi="Times New Roman" w:eastAsia="宋体" w:cs="Times New Roman"/>
                <w:color w:val="auto"/>
                <w:spacing w:val="4"/>
                <w:sz w:val="24"/>
                <w:szCs w:val="24"/>
                <w:lang w:eastAsia="zh-CN"/>
              </w:rPr>
              <w:t>等使用；封胶过程中采用</w:t>
            </w:r>
            <w:r>
              <w:rPr>
                <w:rFonts w:hint="eastAsia" w:ascii="Times New Roman" w:hAnsi="Times New Roman" w:eastAsia="宋体" w:cs="Times New Roman"/>
                <w:color w:val="auto"/>
                <w:spacing w:val="4"/>
                <w:sz w:val="24"/>
                <w:szCs w:val="24"/>
                <w:lang w:eastAsia="zh-CN"/>
              </w:rPr>
              <w:t>盖板式</w:t>
            </w:r>
            <w:r>
              <w:rPr>
                <w:rFonts w:ascii="Times New Roman" w:hAnsi="Times New Roman" w:eastAsia="宋体" w:cs="Times New Roman"/>
                <w:color w:val="auto"/>
                <w:spacing w:val="4"/>
                <w:sz w:val="24"/>
                <w:szCs w:val="24"/>
                <w:lang w:eastAsia="zh-CN"/>
              </w:rPr>
              <w:t>封胶设备生产，能够从源头减少有机废气排放产生量，封胶结束后开启盖板取出成品，生产全过程采用</w:t>
            </w:r>
            <w:r>
              <w:rPr>
                <w:rFonts w:hint="eastAsia"/>
                <w:color w:val="auto"/>
                <w:sz w:val="24"/>
                <w:szCs w:val="24"/>
                <w:lang w:eastAsia="zh-CN"/>
              </w:rPr>
              <w:t>与设备紧密连接的微负压全密闭集气管道对挥发性有机物进行收集</w:t>
            </w:r>
            <w:r>
              <w:rPr>
                <w:rFonts w:ascii="Times New Roman" w:hAnsi="Times New Roman" w:eastAsia="宋体" w:cs="Times New Roman"/>
                <w:color w:val="auto"/>
                <w:spacing w:val="4"/>
                <w:sz w:val="24"/>
                <w:szCs w:val="24"/>
                <w:lang w:eastAsia="zh-CN"/>
              </w:rPr>
              <w:t>，最终进入</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4"/>
                <w:sz w:val="24"/>
                <w:szCs w:val="24"/>
                <w:lang w:eastAsia="zh-CN"/>
              </w:rPr>
              <w:t>二级活性炭吸附</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4"/>
                <w:sz w:val="24"/>
                <w:szCs w:val="24"/>
                <w:lang w:eastAsia="zh-CN"/>
              </w:rPr>
              <w:t>处理后通过15m高排气筒排放。封边工序采取设备密闭</w:t>
            </w:r>
            <w:r>
              <w:rPr>
                <w:rFonts w:ascii="Times New Roman" w:hAnsi="Times New Roman" w:eastAsia="宋体" w:cs="Times New Roman"/>
                <w:color w:val="auto"/>
                <w:spacing w:val="7"/>
                <w:sz w:val="24"/>
                <w:szCs w:val="24"/>
                <w:lang w:eastAsia="zh-CN"/>
              </w:rPr>
              <w:t>、废气有效收集等措施，减少</w:t>
            </w:r>
            <w:r>
              <w:rPr>
                <w:rFonts w:ascii="Times New Roman" w:hAnsi="Times New Roman" w:eastAsia="宋体" w:cs="Times New Roman"/>
                <w:color w:val="auto"/>
                <w:sz w:val="24"/>
                <w:szCs w:val="24"/>
                <w:lang w:eastAsia="zh-CN"/>
              </w:rPr>
              <w:t>VOCs</w:t>
            </w:r>
            <w:r>
              <w:rPr>
                <w:rFonts w:ascii="Times New Roman" w:hAnsi="Times New Roman" w:eastAsia="宋体" w:cs="Times New Roman"/>
                <w:color w:val="auto"/>
                <w:spacing w:val="7"/>
                <w:sz w:val="24"/>
                <w:szCs w:val="24"/>
                <w:lang w:eastAsia="zh-CN"/>
              </w:rPr>
              <w:t>无组织排放，</w:t>
            </w:r>
            <w:r>
              <w:rPr>
                <w:rFonts w:ascii="Times New Roman" w:hAnsi="Times New Roman" w:eastAsia="宋体" w:cs="Times New Roman"/>
                <w:color w:val="auto"/>
                <w:spacing w:val="4"/>
                <w:sz w:val="24"/>
                <w:szCs w:val="24"/>
                <w:lang w:eastAsia="zh-CN"/>
              </w:rPr>
              <w:t>符合文件要求</w:t>
            </w:r>
            <w:r>
              <w:rPr>
                <w:rFonts w:ascii="宋体" w:hAnsi="宋体" w:eastAsia="宋体" w:cs="宋体"/>
                <w:color w:val="auto"/>
                <w:spacing w:val="4"/>
                <w:sz w:val="24"/>
                <w:szCs w:val="24"/>
                <w:lang w:eastAsia="zh-CN"/>
              </w:rPr>
              <w:t>。</w:t>
            </w:r>
          </w:p>
          <w:p>
            <w:pPr>
              <w:kinsoku/>
              <w:spacing w:line="360" w:lineRule="auto"/>
              <w:ind w:firstLine="512" w:firstLineChars="200"/>
              <w:rPr>
                <w:b/>
                <w:bCs/>
                <w:color w:val="auto"/>
                <w:sz w:val="24"/>
                <w:lang w:eastAsia="zh-CN"/>
              </w:rPr>
            </w:pPr>
            <w:r>
              <w:rPr>
                <w:rFonts w:ascii="Times New Roman" w:hAnsi="Times New Roman" w:cs="Times New Roman"/>
                <w:b/>
                <w:bCs/>
                <w:color w:val="auto"/>
                <w:spacing w:val="8"/>
                <w:sz w:val="24"/>
                <w:szCs w:val="24"/>
                <w:lang w:eastAsia="zh-CN"/>
              </w:rPr>
              <w:t>5、</w:t>
            </w:r>
            <w:r>
              <w:rPr>
                <w:rFonts w:hint="eastAsia"/>
                <w:b/>
                <w:bCs/>
                <w:color w:val="auto"/>
                <w:sz w:val="24"/>
                <w:lang w:eastAsia="zh-CN"/>
              </w:rPr>
              <w:t>与《云南省重点行业挥发性有机物综合治理实施方案》（云环通〔2019〕125号）相符性分析</w:t>
            </w:r>
          </w:p>
          <w:p>
            <w:pPr>
              <w:pStyle w:val="22"/>
              <w:kinsoku/>
              <w:spacing w:before="32" w:line="360" w:lineRule="auto"/>
              <w:ind w:left="104" w:right="322" w:firstLine="480"/>
              <w:rPr>
                <w:rFonts w:hint="eastAsia"/>
                <w:color w:val="auto"/>
                <w:lang w:eastAsia="zh-CN"/>
              </w:rPr>
            </w:pPr>
            <w:r>
              <w:rPr>
                <w:color w:val="auto"/>
                <w:spacing w:val="-1"/>
                <w:lang w:eastAsia="zh-CN"/>
              </w:rPr>
              <w:t>本项目与</w:t>
            </w:r>
            <w:r>
              <w:rPr>
                <w:rFonts w:hint="eastAsia"/>
                <w:color w:val="auto"/>
                <w:lang w:eastAsia="zh-CN"/>
              </w:rPr>
              <w:t>《云南省重点行业挥发性有机物综合治理实施方案》（云环通〔2019〕125号）</w:t>
            </w:r>
            <w:r>
              <w:rPr>
                <w:color w:val="auto"/>
                <w:spacing w:val="-1"/>
                <w:lang w:eastAsia="zh-CN"/>
              </w:rPr>
              <w:t>的</w:t>
            </w:r>
            <w:r>
              <w:rPr>
                <w:color w:val="auto"/>
                <w:spacing w:val="-5"/>
                <w:lang w:eastAsia="zh-CN"/>
              </w:rPr>
              <w:t>相符性分析如下。</w:t>
            </w:r>
          </w:p>
          <w:p>
            <w:pPr>
              <w:pStyle w:val="22"/>
              <w:kinsoku/>
              <w:spacing w:before="179" w:line="360" w:lineRule="auto"/>
              <w:ind w:firstLine="429" w:firstLineChars="200"/>
              <w:rPr>
                <w:rFonts w:hint="eastAsia"/>
                <w:b/>
                <w:bCs/>
                <w:color w:val="auto"/>
                <w:spacing w:val="7"/>
                <w:sz w:val="20"/>
                <w:szCs w:val="20"/>
                <w:lang w:eastAsia="zh-CN"/>
              </w:rPr>
            </w:pPr>
            <w:r>
              <w:rPr>
                <w:b/>
                <w:bCs/>
                <w:color w:val="auto"/>
                <w:spacing w:val="7"/>
                <w:sz w:val="20"/>
                <w:szCs w:val="20"/>
                <w:lang w:eastAsia="zh-CN"/>
              </w:rPr>
              <w:t>表1-</w:t>
            </w:r>
            <w:r>
              <w:rPr>
                <w:rFonts w:hint="eastAsia"/>
                <w:b/>
                <w:bCs/>
                <w:color w:val="auto"/>
                <w:spacing w:val="7"/>
                <w:sz w:val="20"/>
                <w:szCs w:val="20"/>
                <w:lang w:eastAsia="zh-CN"/>
              </w:rPr>
              <w:t>7</w:t>
            </w:r>
            <w:r>
              <w:rPr>
                <w:b/>
                <w:bCs/>
                <w:color w:val="auto"/>
                <w:spacing w:val="7"/>
                <w:sz w:val="20"/>
                <w:szCs w:val="20"/>
                <w:lang w:eastAsia="zh-CN"/>
              </w:rPr>
              <w:t>项目与</w:t>
            </w:r>
            <w:r>
              <w:rPr>
                <w:rFonts w:hint="eastAsia"/>
                <w:b/>
                <w:bCs/>
                <w:color w:val="auto"/>
                <w:spacing w:val="7"/>
                <w:sz w:val="20"/>
                <w:szCs w:val="20"/>
                <w:lang w:eastAsia="zh-CN"/>
              </w:rPr>
              <w:t>《云南省重点行业挥发性有机物综合治理实施方案》（云环通〔2019〕125号）</w:t>
            </w:r>
            <w:r>
              <w:rPr>
                <w:b/>
                <w:bCs/>
                <w:color w:val="auto"/>
                <w:spacing w:val="7"/>
                <w:sz w:val="20"/>
                <w:szCs w:val="20"/>
                <w:lang w:eastAsia="zh-CN"/>
              </w:rPr>
              <w:t>符合性对照分析</w:t>
            </w:r>
          </w:p>
          <w:p>
            <w:pPr>
              <w:kinsoku/>
              <w:spacing w:line="146" w:lineRule="exact"/>
              <w:rPr>
                <w:color w:val="auto"/>
                <w:lang w:eastAsia="zh-CN"/>
              </w:rPr>
            </w:pPr>
          </w:p>
          <w:tbl>
            <w:tblPr>
              <w:tblStyle w:val="21"/>
              <w:tblW w:w="69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3611"/>
              <w:gridCol w:w="1759"/>
              <w:gridCol w:w="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33" w:type="dxa"/>
                  <w:vAlign w:val="center"/>
                </w:tcPr>
                <w:p>
                  <w:pPr>
                    <w:kinsoku/>
                    <w:jc w:val="center"/>
                    <w:rPr>
                      <w:rFonts w:eastAsia="宋体"/>
                      <w:b/>
                      <w:bCs/>
                      <w:color w:val="auto"/>
                      <w:lang w:eastAsia="zh-CN"/>
                    </w:rPr>
                  </w:pPr>
                  <w:r>
                    <w:rPr>
                      <w:rFonts w:hint="eastAsia" w:eastAsia="宋体"/>
                      <w:b/>
                      <w:bCs/>
                      <w:color w:val="auto"/>
                      <w:lang w:eastAsia="zh-CN"/>
                    </w:rPr>
                    <w:t>序号</w:t>
                  </w:r>
                </w:p>
              </w:tc>
              <w:tc>
                <w:tcPr>
                  <w:tcW w:w="3611" w:type="dxa"/>
                  <w:vAlign w:val="center"/>
                </w:tcPr>
                <w:p>
                  <w:pPr>
                    <w:kinsoku/>
                    <w:jc w:val="center"/>
                    <w:rPr>
                      <w:b/>
                      <w:bCs/>
                      <w:color w:val="auto"/>
                    </w:rPr>
                  </w:pPr>
                  <w:r>
                    <w:rPr>
                      <w:b/>
                      <w:bCs/>
                      <w:color w:val="auto"/>
                    </w:rPr>
                    <w:t>相关要求</w:t>
                  </w:r>
                </w:p>
              </w:tc>
              <w:tc>
                <w:tcPr>
                  <w:tcW w:w="1759" w:type="dxa"/>
                  <w:vAlign w:val="center"/>
                </w:tcPr>
                <w:p>
                  <w:pPr>
                    <w:kinsoku/>
                    <w:jc w:val="center"/>
                    <w:rPr>
                      <w:b/>
                      <w:bCs/>
                      <w:color w:val="auto"/>
                    </w:rPr>
                  </w:pPr>
                  <w:r>
                    <w:rPr>
                      <w:b/>
                      <w:bCs/>
                      <w:color w:val="auto"/>
                    </w:rPr>
                    <w:t>符合性分析</w:t>
                  </w:r>
                </w:p>
              </w:tc>
              <w:tc>
                <w:tcPr>
                  <w:tcW w:w="819" w:type="dxa"/>
                  <w:vAlign w:val="center"/>
                </w:tcPr>
                <w:p>
                  <w:pPr>
                    <w:kinsoku/>
                    <w:jc w:val="center"/>
                    <w:rPr>
                      <w:b/>
                      <w:bCs/>
                      <w:color w:val="auto"/>
                      <w:lang w:eastAsia="zh-CN"/>
                    </w:rPr>
                  </w:pPr>
                  <w:r>
                    <w:rPr>
                      <w:rFonts w:hint="eastAsia"/>
                      <w:b/>
                      <w:bCs/>
                      <w:color w:val="auto"/>
                      <w:lang w:eastAsia="zh-CN"/>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jc w:val="center"/>
              </w:trPr>
              <w:tc>
                <w:tcPr>
                  <w:tcW w:w="733" w:type="dxa"/>
                  <w:vAlign w:val="center"/>
                </w:tcPr>
                <w:p>
                  <w:pPr>
                    <w:kinsoku/>
                    <w:jc w:val="center"/>
                    <w:rPr>
                      <w:rFonts w:eastAsia="宋体"/>
                      <w:color w:val="auto"/>
                      <w:lang w:eastAsia="zh-CN"/>
                    </w:rPr>
                  </w:pPr>
                  <w:r>
                    <w:rPr>
                      <w:rFonts w:hint="eastAsia" w:eastAsia="宋体"/>
                      <w:color w:val="auto"/>
                      <w:lang w:eastAsia="zh-CN"/>
                    </w:rPr>
                    <w:t>1</w:t>
                  </w:r>
                </w:p>
              </w:tc>
              <w:tc>
                <w:tcPr>
                  <w:tcW w:w="3611" w:type="dxa"/>
                  <w:vAlign w:val="center"/>
                </w:tcPr>
                <w:p>
                  <w:pPr>
                    <w:kinsoku/>
                    <w:jc w:val="center"/>
                    <w:rPr>
                      <w:color w:val="auto"/>
                      <w:lang w:eastAsia="zh-CN"/>
                    </w:rPr>
                  </w:pPr>
                  <w:r>
                    <w:rPr>
                      <w:rFonts w:hint="eastAsia" w:ascii="宋体" w:hAnsi="宋体" w:eastAsia="宋体" w:cs="宋体"/>
                      <w:color w:val="auto"/>
                      <w:shd w:val="clear" w:color="auto" w:fill="FFFFFF"/>
                      <w:lang w:eastAsia="zh-CN"/>
                    </w:rPr>
                    <w:t>（一）大力推进源头替代。通过使用水性、粉末、高固体分、无溶剂、辐射固化等低VOCs含量的涂料，水性、辐射固化、植物基等低VOCs含量的油墨，水基、热熔、无溶剂、辐射固化、改性、生物降解等低VOCs含量的胶黏剂，以及低VOCs含量、低反应活性的清洗剂等，替代溶剂型涂料、油墨、胶黏剂、清洗剂等，从源头减少VOCs产生。……在技术成熟的行业，推广使用低VOCs含量油墨和胶黏剂。鼓励加快低VOCs含量涂料、油墨、胶黏剂等研发和生产。</w:t>
                  </w:r>
                </w:p>
              </w:tc>
              <w:tc>
                <w:tcPr>
                  <w:tcW w:w="1759" w:type="dxa"/>
                  <w:vAlign w:val="center"/>
                </w:tcPr>
                <w:p>
                  <w:pPr>
                    <w:kinsoku/>
                    <w:jc w:val="center"/>
                    <w:rPr>
                      <w:color w:val="auto"/>
                      <w:lang w:eastAsia="zh-CN"/>
                    </w:rPr>
                  </w:pPr>
                  <w:r>
                    <w:rPr>
                      <w:rFonts w:ascii="Times New Roman" w:hAnsi="Times New Roman" w:eastAsia="宋体" w:cs="Times New Roman"/>
                      <w:color w:val="auto"/>
                      <w:lang w:eastAsia="zh-CN"/>
                    </w:rPr>
                    <w:t>本项目选用环境标志产品认证的环保型</w:t>
                  </w:r>
                  <w:r>
                    <w:rPr>
                      <w:rFonts w:hint="eastAsia" w:ascii="Times New Roman" w:hAnsi="Times New Roman" w:eastAsia="宋体" w:cs="Times New Roman"/>
                      <w:color w:val="auto"/>
                      <w:lang w:eastAsia="zh-CN"/>
                    </w:rPr>
                    <w:t>封边胶，</w:t>
                  </w:r>
                  <w:r>
                    <w:rPr>
                      <w:rFonts w:hint="eastAsia"/>
                      <w:color w:val="auto"/>
                      <w:lang w:eastAsia="zh-CN"/>
                    </w:rPr>
                    <w:t>封边胶</w:t>
                  </w:r>
                  <w:r>
                    <w:rPr>
                      <w:color w:val="auto"/>
                      <w:lang w:eastAsia="zh-CN"/>
                    </w:rPr>
                    <w:t>储存于</w:t>
                  </w:r>
                  <w:r>
                    <w:rPr>
                      <w:rFonts w:hint="eastAsia"/>
                      <w:color w:val="auto"/>
                      <w:lang w:eastAsia="zh-CN"/>
                    </w:rPr>
                    <w:t>密闭胶桶</w:t>
                  </w:r>
                  <w:r>
                    <w:rPr>
                      <w:color w:val="auto"/>
                      <w:lang w:eastAsia="zh-CN"/>
                    </w:rPr>
                    <w:t>中，使用时取出。</w:t>
                  </w:r>
                </w:p>
              </w:tc>
              <w:tc>
                <w:tcPr>
                  <w:tcW w:w="819" w:type="dxa"/>
                  <w:vAlign w:val="center"/>
                </w:tcPr>
                <w:p>
                  <w:pPr>
                    <w:kinsoku/>
                    <w:jc w:val="center"/>
                    <w:rPr>
                      <w:color w:val="auto"/>
                    </w:rPr>
                  </w:pPr>
                  <w:r>
                    <w:rPr>
                      <w:rFonts w:hint="eastAsia"/>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jc w:val="center"/>
              </w:trPr>
              <w:tc>
                <w:tcPr>
                  <w:tcW w:w="733" w:type="dxa"/>
                  <w:vAlign w:val="center"/>
                </w:tcPr>
                <w:p>
                  <w:pPr>
                    <w:kinsoku/>
                    <w:jc w:val="center"/>
                    <w:rPr>
                      <w:rFonts w:eastAsia="宋体"/>
                      <w:color w:val="auto"/>
                      <w:lang w:eastAsia="zh-CN"/>
                    </w:rPr>
                  </w:pPr>
                  <w:r>
                    <w:rPr>
                      <w:rFonts w:hint="eastAsia" w:eastAsia="宋体"/>
                      <w:color w:val="auto"/>
                      <w:lang w:eastAsia="zh-CN"/>
                    </w:rPr>
                    <w:t>2</w:t>
                  </w:r>
                </w:p>
              </w:tc>
              <w:tc>
                <w:tcPr>
                  <w:tcW w:w="3611" w:type="dxa"/>
                  <w:vAlign w:val="center"/>
                </w:tcPr>
                <w:p>
                  <w:pPr>
                    <w:kinsoku/>
                    <w:jc w:val="center"/>
                    <w:rPr>
                      <w:rFonts w:eastAsia="宋体"/>
                      <w:color w:val="auto"/>
                      <w:lang w:eastAsia="zh-CN"/>
                    </w:rPr>
                  </w:pPr>
                  <w:r>
                    <w:rPr>
                      <w:rFonts w:hint="eastAsia" w:ascii="宋体" w:hAnsi="宋体" w:eastAsia="宋体" w:cs="宋体"/>
                      <w:color w:val="auto"/>
                      <w:shd w:val="clear" w:color="auto" w:fill="FFFFFF"/>
                      <w:lang w:eastAsia="zh-CN"/>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提高废气收集率。遵循“应收尽收、分质收集”的原则，科学设计废气收集系统，将无组织排放转变为有组织排放进行控制。……</w:t>
                  </w:r>
                </w:p>
              </w:tc>
              <w:tc>
                <w:tcPr>
                  <w:tcW w:w="1759" w:type="dxa"/>
                  <w:vAlign w:val="center"/>
                </w:tcPr>
                <w:p>
                  <w:pPr>
                    <w:kinsoku/>
                    <w:jc w:val="center"/>
                    <w:rPr>
                      <w:color w:val="auto"/>
                      <w:lang w:eastAsia="zh-CN"/>
                    </w:rPr>
                  </w:pPr>
                  <w:r>
                    <w:rPr>
                      <w:color w:val="auto"/>
                      <w:lang w:eastAsia="zh-CN"/>
                    </w:rPr>
                    <w:t>本项目</w:t>
                  </w:r>
                  <w:r>
                    <w:rPr>
                      <w:rFonts w:hint="eastAsia"/>
                      <w:color w:val="auto"/>
                      <w:lang w:eastAsia="zh-CN"/>
                    </w:rPr>
                    <w:t>封边胶</w:t>
                  </w:r>
                  <w:r>
                    <w:rPr>
                      <w:color w:val="auto"/>
                      <w:lang w:eastAsia="zh-CN"/>
                    </w:rPr>
                    <w:t>储存于</w:t>
                  </w:r>
                  <w:r>
                    <w:rPr>
                      <w:rFonts w:hint="eastAsia"/>
                      <w:color w:val="auto"/>
                      <w:lang w:eastAsia="zh-CN"/>
                    </w:rPr>
                    <w:t>密闭胶桶</w:t>
                  </w:r>
                  <w:r>
                    <w:rPr>
                      <w:color w:val="auto"/>
                      <w:lang w:eastAsia="zh-CN"/>
                    </w:rPr>
                    <w:t>中，使用时取出。</w:t>
                  </w:r>
                  <w:r>
                    <w:rPr>
                      <w:rFonts w:ascii="Times New Roman" w:hAnsi="Times New Roman" w:eastAsia="宋体" w:cs="Times New Roman"/>
                      <w:color w:val="auto"/>
                      <w:lang w:eastAsia="zh-CN"/>
                    </w:rPr>
                    <w:t>项目封边工序采用</w:t>
                  </w:r>
                  <w:r>
                    <w:rPr>
                      <w:rFonts w:hint="eastAsia" w:ascii="Times New Roman" w:hAnsi="Times New Roman" w:eastAsia="宋体" w:cs="Times New Roman"/>
                      <w:color w:val="auto"/>
                      <w:lang w:eastAsia="zh-CN"/>
                    </w:rPr>
                    <w:t>盖板式</w:t>
                  </w:r>
                  <w:r>
                    <w:rPr>
                      <w:rFonts w:ascii="Times New Roman" w:hAnsi="Times New Roman" w:eastAsia="宋体" w:cs="Times New Roman"/>
                      <w:color w:val="auto"/>
                      <w:lang w:eastAsia="zh-CN"/>
                    </w:rPr>
                    <w:t>封胶设备生产，能够从源头减少有机废气排放产生量，封胶结束后开启盖板取出成品，</w:t>
                  </w:r>
                  <w:r>
                    <w:rPr>
                      <w:rFonts w:hint="eastAsia" w:ascii="Times New Roman" w:hAnsi="Times New Roman" w:eastAsia="宋体" w:cs="Times New Roman"/>
                      <w:color w:val="auto"/>
                      <w:lang w:eastAsia="zh-CN"/>
                    </w:rPr>
                    <w:t>生产全过程设备采用与设备紧密连接的集气管道对挥发性有机物进行收集</w:t>
                  </w:r>
                  <w:r>
                    <w:rPr>
                      <w:rFonts w:ascii="Times New Roman" w:hAnsi="Times New Roman" w:eastAsia="宋体" w:cs="Times New Roman"/>
                      <w:color w:val="auto"/>
                      <w:lang w:eastAsia="zh-CN"/>
                    </w:rPr>
                    <w:t>，</w:t>
                  </w:r>
                  <w:r>
                    <w:rPr>
                      <w:rFonts w:hint="eastAsia"/>
                      <w:color w:val="auto"/>
                      <w:lang w:eastAsia="zh-CN"/>
                    </w:rPr>
                    <w:t>最终进入“二级活性炭吸附”</w:t>
                  </w:r>
                  <w:r>
                    <w:rPr>
                      <w:color w:val="auto"/>
                      <w:lang w:eastAsia="zh-CN"/>
                    </w:rPr>
                    <w:t>处理后通过15m高排气筒</w:t>
                  </w:r>
                  <w:r>
                    <w:rPr>
                      <w:rFonts w:hint="eastAsia"/>
                      <w:color w:val="auto"/>
                      <w:lang w:eastAsia="zh-CN"/>
                    </w:rPr>
                    <w:t>（DA002）</w:t>
                  </w:r>
                  <w:r>
                    <w:rPr>
                      <w:color w:val="auto"/>
                      <w:lang w:eastAsia="zh-CN"/>
                    </w:rPr>
                    <w:t>排放。</w:t>
                  </w:r>
                  <w:r>
                    <w:rPr>
                      <w:rFonts w:hint="eastAsia" w:ascii="宋体" w:hAnsi="宋体" w:eastAsia="宋体" w:cs="宋体"/>
                      <w:color w:val="auto"/>
                      <w:lang w:eastAsia="zh-CN"/>
                    </w:rPr>
                    <w:t>有效减少</w:t>
                  </w:r>
                  <w:r>
                    <w:rPr>
                      <w:rFonts w:hint="eastAsia" w:ascii="宋体" w:hAnsi="宋体" w:eastAsia="宋体" w:cs="宋体"/>
                      <w:color w:val="auto"/>
                      <w:shd w:val="clear" w:color="auto" w:fill="FFFFFF"/>
                      <w:lang w:eastAsia="zh-CN"/>
                    </w:rPr>
                    <w:t>无组织排放量。</w:t>
                  </w:r>
                </w:p>
              </w:tc>
              <w:tc>
                <w:tcPr>
                  <w:tcW w:w="819" w:type="dxa"/>
                  <w:vAlign w:val="center"/>
                </w:tcPr>
                <w:p>
                  <w:pPr>
                    <w:kinsoku/>
                    <w:jc w:val="center"/>
                    <w:rPr>
                      <w:color w:val="auto"/>
                    </w:rPr>
                  </w:pPr>
                  <w:r>
                    <w:rPr>
                      <w:rFonts w:hint="eastAsia"/>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733" w:type="dxa"/>
                  <w:vAlign w:val="center"/>
                </w:tcPr>
                <w:p>
                  <w:pPr>
                    <w:kinsoku/>
                    <w:jc w:val="center"/>
                    <w:rPr>
                      <w:rFonts w:eastAsia="宋体"/>
                      <w:color w:val="auto"/>
                      <w:lang w:eastAsia="zh-CN"/>
                    </w:rPr>
                  </w:pPr>
                  <w:r>
                    <w:rPr>
                      <w:rFonts w:hint="eastAsia" w:eastAsia="宋体"/>
                      <w:color w:val="auto"/>
                      <w:lang w:eastAsia="zh-CN"/>
                    </w:rPr>
                    <w:t>3</w:t>
                  </w:r>
                </w:p>
              </w:tc>
              <w:tc>
                <w:tcPr>
                  <w:tcW w:w="3611" w:type="dxa"/>
                  <w:vAlign w:val="center"/>
                </w:tcPr>
                <w:p>
                  <w:pPr>
                    <w:kinsoku/>
                    <w:jc w:val="center"/>
                    <w:rPr>
                      <w:color w:val="auto"/>
                      <w:lang w:eastAsia="zh-CN"/>
                    </w:rPr>
                  </w:pPr>
                  <w:r>
                    <w:rPr>
                      <w:rFonts w:hint="eastAsia" w:ascii="宋体" w:hAnsi="宋体" w:eastAsia="宋体" w:cs="宋体"/>
                      <w:color w:val="auto"/>
                      <w:shd w:val="clear" w:color="auto" w:fill="FFFFFF"/>
                      <w:lang w:eastAsia="zh-CN"/>
                    </w:rPr>
                    <w:t>（三）推进建设适宜高效的治污设施。……鼓励企业采用多种技术的组合工艺，提高VOCs治理效率。低浓度、大风量废气，宜采用沸石转轮吸附、活性炭吸附、减风增浓等浓缩技术，提高VOCs浓度后净化处理；……。</w:t>
                  </w:r>
                </w:p>
              </w:tc>
              <w:tc>
                <w:tcPr>
                  <w:tcW w:w="1759" w:type="dxa"/>
                  <w:vAlign w:val="center"/>
                </w:tcPr>
                <w:p>
                  <w:pPr>
                    <w:kinsoku/>
                    <w:jc w:val="center"/>
                    <w:rPr>
                      <w:color w:val="auto"/>
                      <w:lang w:eastAsia="zh-CN"/>
                    </w:rPr>
                  </w:pPr>
                  <w:r>
                    <w:rPr>
                      <w:rFonts w:ascii="Times New Roman" w:hAnsi="Times New Roman" w:eastAsia="宋体" w:cs="Times New Roman"/>
                      <w:color w:val="auto"/>
                      <w:lang w:eastAsia="zh-CN"/>
                    </w:rPr>
                    <w:t>本项目不属于重点排放源，为减少有机废气的排放，</w:t>
                  </w:r>
                  <w:r>
                    <w:rPr>
                      <w:rFonts w:hint="eastAsia"/>
                      <w:color w:val="auto"/>
                      <w:lang w:eastAsia="zh-CN"/>
                    </w:rPr>
                    <w:t>封边工序设备采用与设备紧密连接的微负压全密闭集气管道对挥发性有机物进行收集，最终进入“二级活性炭吸附”</w:t>
                  </w:r>
                  <w:r>
                    <w:rPr>
                      <w:color w:val="auto"/>
                      <w:lang w:eastAsia="zh-CN"/>
                    </w:rPr>
                    <w:t>处理后通过15m高排气筒</w:t>
                  </w:r>
                  <w:r>
                    <w:rPr>
                      <w:rFonts w:hint="eastAsia"/>
                      <w:color w:val="auto"/>
                      <w:lang w:eastAsia="zh-CN"/>
                    </w:rPr>
                    <w:t>（DA002）</w:t>
                  </w:r>
                  <w:r>
                    <w:rPr>
                      <w:color w:val="auto"/>
                      <w:lang w:eastAsia="zh-CN"/>
                    </w:rPr>
                    <w:t>排放。</w:t>
                  </w:r>
                </w:p>
              </w:tc>
              <w:tc>
                <w:tcPr>
                  <w:tcW w:w="819" w:type="dxa"/>
                  <w:vAlign w:val="center"/>
                </w:tcPr>
                <w:p>
                  <w:pPr>
                    <w:kinsoku/>
                    <w:jc w:val="center"/>
                    <w:rPr>
                      <w:color w:val="auto"/>
                      <w:lang w:eastAsia="zh-CN"/>
                    </w:rPr>
                  </w:pPr>
                  <w:r>
                    <w:rPr>
                      <w:rFonts w:hint="eastAsia"/>
                      <w:color w:val="auto"/>
                      <w:lang w:eastAsia="zh-CN"/>
                    </w:rPr>
                    <w:t>符合</w:t>
                  </w:r>
                </w:p>
              </w:tc>
            </w:tr>
          </w:tbl>
          <w:p>
            <w:pPr>
              <w:kinsoku/>
              <w:spacing w:line="360" w:lineRule="auto"/>
              <w:ind w:firstLine="444" w:firstLineChars="200"/>
              <w:rPr>
                <w:b/>
                <w:bCs/>
                <w:color w:val="auto"/>
                <w:sz w:val="24"/>
                <w:lang w:eastAsia="zh-CN"/>
              </w:rPr>
            </w:pPr>
            <w:r>
              <w:rPr>
                <w:rFonts w:ascii="宋体" w:hAnsi="宋体" w:eastAsia="宋体" w:cs="宋体"/>
                <w:color w:val="auto"/>
                <w:spacing w:val="-9"/>
                <w:sz w:val="24"/>
                <w:szCs w:val="24"/>
                <w:lang w:eastAsia="zh-CN"/>
              </w:rPr>
              <w:t>根据上表分析，本项目符合</w:t>
            </w:r>
            <w:r>
              <w:rPr>
                <w:rFonts w:hint="eastAsia"/>
                <w:color w:val="auto"/>
                <w:sz w:val="24"/>
                <w:lang w:eastAsia="zh-CN"/>
              </w:rPr>
              <w:t>《云南省重点行业挥发性有机物综合治理实施方案》（云环通〔2019〕125号）</w:t>
            </w:r>
            <w:r>
              <w:rPr>
                <w:rFonts w:ascii="宋体" w:hAnsi="宋体" w:eastAsia="宋体" w:cs="宋体"/>
                <w:color w:val="auto"/>
                <w:spacing w:val="-9"/>
                <w:sz w:val="24"/>
                <w:szCs w:val="24"/>
                <w:lang w:eastAsia="zh-CN"/>
              </w:rPr>
              <w:t>中相关要求。</w:t>
            </w:r>
          </w:p>
          <w:p>
            <w:pPr>
              <w:kinsoku/>
              <w:spacing w:line="360" w:lineRule="auto"/>
              <w:ind w:firstLine="481"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6、</w:t>
            </w:r>
            <w:r>
              <w:rPr>
                <w:rFonts w:hint="eastAsia"/>
                <w:b/>
                <w:bCs/>
                <w:color w:val="auto"/>
                <w:sz w:val="24"/>
                <w:lang w:eastAsia="zh-CN"/>
              </w:rPr>
              <w:t>与《挥发性有机物（VOCs）污染防治技术政策》</w:t>
            </w:r>
            <w:r>
              <w:rPr>
                <w:rFonts w:hint="eastAsia" w:ascii="宋体" w:hAnsi="宋体" w:eastAsia="宋体" w:cs="宋体"/>
                <w:b/>
                <w:bCs/>
                <w:color w:val="auto"/>
                <w:sz w:val="24"/>
                <w:lang w:eastAsia="zh-CN"/>
              </w:rPr>
              <w:t>相符性分析</w:t>
            </w:r>
          </w:p>
          <w:p>
            <w:pPr>
              <w:pStyle w:val="22"/>
              <w:kinsoku/>
              <w:spacing w:before="32" w:line="360" w:lineRule="auto"/>
              <w:ind w:left="104" w:right="322" w:firstLine="480"/>
              <w:rPr>
                <w:rFonts w:hint="eastAsia"/>
                <w:color w:val="auto"/>
                <w:lang w:eastAsia="zh-CN"/>
              </w:rPr>
            </w:pPr>
            <w:r>
              <w:rPr>
                <w:color w:val="auto"/>
                <w:spacing w:val="-1"/>
                <w:lang w:eastAsia="zh-CN"/>
              </w:rPr>
              <w:t>本项目与</w:t>
            </w:r>
            <w:r>
              <w:rPr>
                <w:rFonts w:hint="eastAsia"/>
                <w:color w:val="auto"/>
                <w:lang w:eastAsia="zh-CN"/>
              </w:rPr>
              <w:t>《挥发性有机物（VOCs）污染防治技术政策》</w:t>
            </w:r>
            <w:r>
              <w:rPr>
                <w:color w:val="auto"/>
                <w:spacing w:val="-1"/>
                <w:lang w:eastAsia="zh-CN"/>
              </w:rPr>
              <w:t>的</w:t>
            </w:r>
            <w:r>
              <w:rPr>
                <w:color w:val="auto"/>
                <w:spacing w:val="-5"/>
                <w:lang w:eastAsia="zh-CN"/>
              </w:rPr>
              <w:t>相符性分析如下。</w:t>
            </w:r>
          </w:p>
          <w:p>
            <w:pPr>
              <w:pStyle w:val="22"/>
              <w:kinsoku/>
              <w:spacing w:before="179" w:line="360" w:lineRule="auto"/>
              <w:ind w:firstLine="429" w:firstLineChars="200"/>
              <w:rPr>
                <w:rFonts w:hint="eastAsia"/>
                <w:b/>
                <w:bCs/>
                <w:color w:val="auto"/>
                <w:spacing w:val="7"/>
                <w:sz w:val="20"/>
                <w:szCs w:val="20"/>
                <w:lang w:eastAsia="zh-CN"/>
              </w:rPr>
            </w:pPr>
            <w:r>
              <w:rPr>
                <w:b/>
                <w:bCs/>
                <w:color w:val="auto"/>
                <w:spacing w:val="7"/>
                <w:sz w:val="20"/>
                <w:szCs w:val="20"/>
                <w:lang w:eastAsia="zh-CN"/>
              </w:rPr>
              <w:t>表1-</w:t>
            </w:r>
            <w:r>
              <w:rPr>
                <w:rFonts w:hint="eastAsia"/>
                <w:b/>
                <w:bCs/>
                <w:color w:val="auto"/>
                <w:spacing w:val="7"/>
                <w:sz w:val="20"/>
                <w:szCs w:val="20"/>
                <w:lang w:eastAsia="zh-CN"/>
              </w:rPr>
              <w:t>8</w:t>
            </w:r>
            <w:r>
              <w:rPr>
                <w:b/>
                <w:bCs/>
                <w:color w:val="auto"/>
                <w:spacing w:val="7"/>
                <w:sz w:val="20"/>
                <w:szCs w:val="20"/>
                <w:lang w:eastAsia="zh-CN"/>
              </w:rPr>
              <w:t>项目与</w:t>
            </w:r>
            <w:r>
              <w:rPr>
                <w:rFonts w:hint="eastAsia"/>
                <w:b/>
                <w:bCs/>
                <w:color w:val="auto"/>
                <w:spacing w:val="7"/>
                <w:sz w:val="20"/>
                <w:szCs w:val="20"/>
                <w:lang w:eastAsia="zh-CN"/>
              </w:rPr>
              <w:t>《云南省重点行业挥发性有机物综合治理实施方案》（云环通〔2019〕125号）</w:t>
            </w:r>
            <w:r>
              <w:rPr>
                <w:b/>
                <w:bCs/>
                <w:color w:val="auto"/>
                <w:spacing w:val="7"/>
                <w:sz w:val="20"/>
                <w:szCs w:val="20"/>
                <w:lang w:eastAsia="zh-CN"/>
              </w:rPr>
              <w:t>符合性对照分析</w:t>
            </w:r>
          </w:p>
          <w:p>
            <w:pPr>
              <w:kinsoku/>
              <w:spacing w:line="146" w:lineRule="exact"/>
              <w:rPr>
                <w:color w:val="auto"/>
                <w:lang w:eastAsia="zh-CN"/>
              </w:rPr>
            </w:pPr>
          </w:p>
          <w:tbl>
            <w:tblPr>
              <w:tblStyle w:val="21"/>
              <w:tblW w:w="67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3600"/>
              <w:gridCol w:w="1923"/>
              <w:gridCol w:w="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38"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序号</w:t>
                  </w:r>
                </w:p>
              </w:tc>
              <w:tc>
                <w:tcPr>
                  <w:tcW w:w="3600"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相关要求</w:t>
                  </w:r>
                </w:p>
              </w:tc>
              <w:tc>
                <w:tcPr>
                  <w:tcW w:w="1923" w:type="dxa"/>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rPr>
                    <w:t>符合性分析</w:t>
                  </w:r>
                </w:p>
              </w:tc>
              <w:tc>
                <w:tcPr>
                  <w:tcW w:w="666"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jc w:val="center"/>
              </w:trPr>
              <w:tc>
                <w:tcPr>
                  <w:tcW w:w="53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3600" w:type="dxa"/>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（十）在涂装、印刷、粘合、工业清洗等含VOCs产品的使用过程中的VOCs污染防治技术措施包括：</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1.鼓励使用通过环境标志产品认证的环保型涂料、油墨、</w:t>
                  </w:r>
                  <w:r>
                    <w:rPr>
                      <w:rFonts w:hint="eastAsia" w:ascii="Times New Roman" w:hAnsi="Times New Roman" w:eastAsia="宋体" w:cs="Times New Roman"/>
                      <w:color w:val="auto"/>
                      <w:lang w:eastAsia="zh-CN"/>
                    </w:rPr>
                    <w:t>胶黏剂</w:t>
                  </w:r>
                  <w:r>
                    <w:rPr>
                      <w:rFonts w:ascii="Times New Roman" w:hAnsi="Times New Roman" w:eastAsia="宋体" w:cs="Times New Roman"/>
                      <w:color w:val="auto"/>
                      <w:lang w:eastAsia="zh-CN"/>
                    </w:rPr>
                    <w:t>和清洗剂；</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根据涂装工艺的不同，鼓励使用水性涂料、高固份涂料、粉末涂料、紫外光固化（UV）涂料等环保型涂料；推广采用静电喷涂、淋涂、辊涂、浸涂等效率较高的涂装工艺；应尽量避免无VOCs净化、回收措施的露天喷涂作业；</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3.在印刷工艺中推广使用水性油墨，印铁制罐行业鼓励使用紫外光固化（UV）油墨，书刊印刷行业鼓励使用预涂膜技术；</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4.鼓励在人造板、制鞋、皮革制品、包装材料等粘合过程中使用水基型、热熔型等环保型</w:t>
                  </w:r>
                  <w:r>
                    <w:rPr>
                      <w:rFonts w:hint="eastAsia" w:ascii="Times New Roman" w:hAnsi="Times New Roman" w:eastAsia="宋体" w:cs="Times New Roman"/>
                      <w:color w:val="auto"/>
                      <w:lang w:eastAsia="zh-CN"/>
                    </w:rPr>
                    <w:t>胶黏剂</w:t>
                  </w:r>
                  <w:r>
                    <w:rPr>
                      <w:rFonts w:ascii="Times New Roman" w:hAnsi="Times New Roman" w:eastAsia="宋体" w:cs="Times New Roman"/>
                      <w:color w:val="auto"/>
                      <w:lang w:eastAsia="zh-CN"/>
                    </w:rPr>
                    <w:t>，在复合膜的生产中推广无溶剂复合及共挤出复合技术；</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5.淘汰以三氟三氯乙烷、甲基氯仿和四氯化碳为清洗剂或溶剂的生产工艺。清洗过程中产生的废溶剂宜密闭收集，有回收价值的废溶剂经处理后回用，其他废溶剂应妥善处置；</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6.含VOCs产品的使用过程中，应采取废气收集措施，提高废气收集效率，减少废气的无组织排放与逸散，并对收集后的废气进行回收或处理后达标排放。</w:t>
                  </w:r>
                </w:p>
              </w:tc>
              <w:tc>
                <w:tcPr>
                  <w:tcW w:w="1923" w:type="dxa"/>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1、本项目选用环境标志产品认证的环保型胶黏剂；</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2、本项目不涉及涂装；</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3、本项目不涉及印刷工艺；</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4、项目为家具制造行业，不属于人造板、制鞋、皮革制品、包装材料行业；</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5、项目生产过程中不涉及三氟三氯乙烷、甲基氯仿和四氯化碳为清洗剂或溶剂的生产工艺；</w:t>
                  </w:r>
                </w:p>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6、本项目封边胶储存于密闭胶桶中，使用时取出。封胶过程中采用</w:t>
                  </w:r>
                  <w:r>
                    <w:rPr>
                      <w:rFonts w:hint="eastAsia" w:ascii="Times New Roman" w:hAnsi="Times New Roman" w:eastAsia="宋体" w:cs="Times New Roman"/>
                      <w:color w:val="auto"/>
                      <w:lang w:eastAsia="zh-CN"/>
                    </w:rPr>
                    <w:t>盖板式</w:t>
                  </w:r>
                  <w:r>
                    <w:rPr>
                      <w:rFonts w:ascii="Times New Roman" w:hAnsi="Times New Roman" w:eastAsia="宋体" w:cs="Times New Roman"/>
                      <w:color w:val="auto"/>
                      <w:lang w:eastAsia="zh-CN"/>
                    </w:rPr>
                    <w:t>封胶设备生产，能够从源头减少有机废气排放产生量，封胶结束后开启盖板取出成品，</w:t>
                  </w:r>
                  <w:r>
                    <w:rPr>
                      <w:rFonts w:hint="eastAsia" w:ascii="Times New Roman" w:hAnsi="Times New Roman" w:eastAsia="宋体" w:cs="Times New Roman"/>
                      <w:color w:val="auto"/>
                      <w:lang w:eastAsia="zh-CN"/>
                    </w:rPr>
                    <w:t>生产全过程设备采用与设备紧密连接的集气管道对挥发性有机物进行收集</w:t>
                  </w:r>
                  <w:r>
                    <w:rPr>
                      <w:rFonts w:ascii="Times New Roman" w:hAnsi="Times New Roman" w:eastAsia="宋体" w:cs="Times New Roman"/>
                      <w:color w:val="auto"/>
                      <w:lang w:eastAsia="zh-CN"/>
                    </w:rPr>
                    <w:t>，最终进入</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二级活性炭吸附</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处理后通过15m高排气筒（DA002）排放。</w:t>
                  </w:r>
                </w:p>
              </w:tc>
              <w:tc>
                <w:tcPr>
                  <w:tcW w:w="666"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jc w:val="center"/>
              </w:trPr>
              <w:tc>
                <w:tcPr>
                  <w:tcW w:w="53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3600" w:type="dxa"/>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923" w:type="dxa"/>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本项目为减少有机废气的排放，封胶过程中采用</w:t>
                  </w:r>
                  <w:r>
                    <w:rPr>
                      <w:rFonts w:hint="eastAsia" w:ascii="Times New Roman" w:hAnsi="Times New Roman" w:eastAsia="宋体" w:cs="Times New Roman"/>
                      <w:color w:val="auto"/>
                      <w:lang w:eastAsia="zh-CN"/>
                    </w:rPr>
                    <w:t>盖板式</w:t>
                  </w:r>
                  <w:r>
                    <w:rPr>
                      <w:rFonts w:ascii="Times New Roman" w:hAnsi="Times New Roman" w:eastAsia="宋体" w:cs="Times New Roman"/>
                      <w:color w:val="auto"/>
                      <w:lang w:eastAsia="zh-CN"/>
                    </w:rPr>
                    <w:t>封胶设备生产，封胶结束后开启盖板取出成品，生产全过程设备采用</w:t>
                  </w:r>
                  <w:r>
                    <w:rPr>
                      <w:rFonts w:hint="eastAsia"/>
                      <w:color w:val="auto"/>
                      <w:lang w:eastAsia="zh-CN"/>
                    </w:rPr>
                    <w:t>与设备紧密连接的微负压全密闭集气管道对挥发性有机物进行收集</w:t>
                  </w:r>
                  <w:r>
                    <w:rPr>
                      <w:rFonts w:ascii="Times New Roman" w:hAnsi="Times New Roman" w:eastAsia="宋体" w:cs="Times New Roman"/>
                      <w:color w:val="auto"/>
                      <w:lang w:eastAsia="zh-CN"/>
                    </w:rPr>
                    <w:t>，</w:t>
                  </w:r>
                  <w:r>
                    <w:rPr>
                      <w:rFonts w:hint="eastAsia"/>
                      <w:color w:val="auto"/>
                      <w:lang w:eastAsia="zh-CN"/>
                    </w:rPr>
                    <w:t>最终进入“二级活性炭吸附”</w:t>
                  </w:r>
                  <w:r>
                    <w:rPr>
                      <w:color w:val="auto"/>
                      <w:lang w:eastAsia="zh-CN"/>
                    </w:rPr>
                    <w:t>处理后通过15m高排气筒</w:t>
                  </w:r>
                  <w:r>
                    <w:rPr>
                      <w:rFonts w:hint="eastAsia"/>
                      <w:color w:val="auto"/>
                      <w:lang w:eastAsia="zh-CN"/>
                    </w:rPr>
                    <w:t>（DA002）</w:t>
                  </w:r>
                  <w:r>
                    <w:rPr>
                      <w:color w:val="auto"/>
                      <w:lang w:eastAsia="zh-CN"/>
                    </w:rPr>
                    <w:t>排放。</w:t>
                  </w:r>
                </w:p>
              </w:tc>
              <w:tc>
                <w:tcPr>
                  <w:tcW w:w="666"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pPr>
              <w:kinsoku/>
              <w:spacing w:line="360" w:lineRule="auto"/>
              <w:ind w:firstLine="444" w:firstLineChars="200"/>
              <w:rPr>
                <w:color w:val="auto"/>
                <w:spacing w:val="-8"/>
                <w:lang w:eastAsia="zh-CN"/>
              </w:rPr>
            </w:pPr>
            <w:r>
              <w:rPr>
                <w:rFonts w:ascii="宋体" w:hAnsi="宋体" w:eastAsia="宋体" w:cs="宋体"/>
                <w:color w:val="auto"/>
                <w:spacing w:val="-9"/>
                <w:sz w:val="24"/>
                <w:szCs w:val="24"/>
                <w:lang w:eastAsia="zh-CN"/>
              </w:rPr>
              <w:t>根据上表分析，本项目符合</w:t>
            </w:r>
            <w:r>
              <w:rPr>
                <w:rFonts w:hint="eastAsia"/>
                <w:color w:val="auto"/>
                <w:sz w:val="24"/>
                <w:lang w:eastAsia="zh-CN"/>
              </w:rPr>
              <w:t>《云南省重点行业挥发性有机物综合治理实施方案》（云环通〔2019〕125号）</w:t>
            </w:r>
            <w:r>
              <w:rPr>
                <w:rFonts w:ascii="宋体" w:hAnsi="宋体" w:eastAsia="宋体" w:cs="宋体"/>
                <w:color w:val="auto"/>
                <w:spacing w:val="-9"/>
                <w:sz w:val="24"/>
                <w:szCs w:val="24"/>
                <w:lang w:eastAsia="zh-CN"/>
              </w:rPr>
              <w:t>中相关要求。</w:t>
            </w:r>
          </w:p>
          <w:p>
            <w:pPr>
              <w:pStyle w:val="22"/>
              <w:kinsoku/>
              <w:spacing w:before="34" w:line="347" w:lineRule="auto"/>
              <w:ind w:left="106" w:right="274" w:firstLine="486"/>
              <w:rPr>
                <w:rFonts w:hint="eastAsia"/>
                <w:color w:val="auto"/>
                <w:lang w:eastAsia="zh-CN"/>
              </w:rPr>
            </w:pPr>
            <w:r>
              <w:rPr>
                <w:rFonts w:hint="eastAsia" w:ascii="Times New Roman" w:hAnsi="Times New Roman" w:cs="Times New Roman"/>
                <w:b/>
                <w:bCs/>
                <w:color w:val="auto"/>
                <w:spacing w:val="-2"/>
                <w:lang w:eastAsia="zh-CN"/>
              </w:rPr>
              <w:t>7</w:t>
            </w:r>
            <w:r>
              <w:rPr>
                <w:b/>
                <w:bCs/>
                <w:color w:val="auto"/>
                <w:spacing w:val="-2"/>
                <w:lang w:eastAsia="zh-CN"/>
              </w:rPr>
              <w:t>、与《挥发性有机物无组织排放控制标准》（</w:t>
            </w:r>
            <w:r>
              <w:rPr>
                <w:rFonts w:ascii="Times New Roman" w:hAnsi="Times New Roman" w:eastAsia="Times New Roman" w:cs="Times New Roman"/>
                <w:b/>
                <w:bCs/>
                <w:color w:val="auto"/>
                <w:spacing w:val="-2"/>
                <w:lang w:eastAsia="zh-CN"/>
              </w:rPr>
              <w:t>GB37822-2019</w:t>
            </w:r>
            <w:r>
              <w:rPr>
                <w:b/>
                <w:bCs/>
                <w:color w:val="auto"/>
                <w:spacing w:val="-2"/>
                <w:lang w:eastAsia="zh-CN"/>
              </w:rPr>
              <w:t>）相符</w:t>
            </w:r>
            <w:r>
              <w:rPr>
                <w:b/>
                <w:bCs/>
                <w:color w:val="auto"/>
                <w:spacing w:val="-6"/>
                <w:lang w:eastAsia="zh-CN"/>
              </w:rPr>
              <w:t>性分析</w:t>
            </w:r>
          </w:p>
          <w:p>
            <w:pPr>
              <w:pStyle w:val="22"/>
              <w:kinsoku/>
              <w:spacing w:before="32" w:line="330" w:lineRule="auto"/>
              <w:ind w:left="104" w:right="322" w:firstLine="480"/>
              <w:rPr>
                <w:rFonts w:hint="eastAsia"/>
                <w:color w:val="auto"/>
                <w:lang w:eastAsia="zh-CN"/>
              </w:rPr>
            </w:pPr>
            <w:r>
              <w:rPr>
                <w:color w:val="auto"/>
                <w:spacing w:val="-1"/>
                <w:lang w:eastAsia="zh-CN"/>
              </w:rPr>
              <w:t>本项目与《挥发性有机物无组织排放控制标准》（</w:t>
            </w:r>
            <w:r>
              <w:rPr>
                <w:rFonts w:ascii="Times New Roman" w:hAnsi="Times New Roman" w:eastAsia="Times New Roman" w:cs="Times New Roman"/>
                <w:color w:val="auto"/>
                <w:spacing w:val="-1"/>
                <w:lang w:eastAsia="zh-CN"/>
              </w:rPr>
              <w:t>GB37822-2019</w:t>
            </w:r>
            <w:r>
              <w:rPr>
                <w:color w:val="auto"/>
                <w:spacing w:val="-1"/>
                <w:lang w:eastAsia="zh-CN"/>
              </w:rPr>
              <w:t>）的</w:t>
            </w:r>
            <w:r>
              <w:rPr>
                <w:color w:val="auto"/>
                <w:spacing w:val="-5"/>
                <w:lang w:eastAsia="zh-CN"/>
              </w:rPr>
              <w:t>相符性分析如下。</w:t>
            </w:r>
          </w:p>
          <w:p>
            <w:pPr>
              <w:pStyle w:val="22"/>
              <w:kinsoku/>
              <w:spacing w:before="179" w:line="360" w:lineRule="auto"/>
              <w:ind w:firstLine="429" w:firstLineChars="200"/>
              <w:rPr>
                <w:rFonts w:hint="eastAsia"/>
                <w:b/>
                <w:bCs/>
                <w:color w:val="auto"/>
                <w:spacing w:val="7"/>
                <w:sz w:val="20"/>
                <w:szCs w:val="20"/>
                <w:lang w:eastAsia="zh-CN"/>
              </w:rPr>
            </w:pPr>
            <w:r>
              <w:rPr>
                <w:b/>
                <w:bCs/>
                <w:color w:val="auto"/>
                <w:spacing w:val="7"/>
                <w:sz w:val="20"/>
                <w:szCs w:val="20"/>
                <w:lang w:eastAsia="zh-CN"/>
              </w:rPr>
              <w:t>表1-</w:t>
            </w:r>
            <w:r>
              <w:rPr>
                <w:rFonts w:hint="eastAsia"/>
                <w:b/>
                <w:bCs/>
                <w:color w:val="auto"/>
                <w:spacing w:val="7"/>
                <w:sz w:val="20"/>
                <w:szCs w:val="20"/>
                <w:lang w:eastAsia="zh-CN"/>
              </w:rPr>
              <w:t>9</w:t>
            </w:r>
            <w:r>
              <w:rPr>
                <w:b/>
                <w:bCs/>
                <w:color w:val="auto"/>
                <w:spacing w:val="7"/>
                <w:sz w:val="20"/>
                <w:szCs w:val="20"/>
                <w:lang w:eastAsia="zh-CN"/>
              </w:rPr>
              <w:t>项目与《挥发性有机物无组织排放控制标准》（GB37822-2019）符合性对照分析</w:t>
            </w:r>
          </w:p>
          <w:p>
            <w:pPr>
              <w:kinsoku/>
              <w:spacing w:line="146" w:lineRule="exact"/>
              <w:rPr>
                <w:color w:val="auto"/>
                <w:lang w:eastAsia="zh-CN"/>
              </w:rPr>
            </w:pPr>
          </w:p>
          <w:tbl>
            <w:tblPr>
              <w:tblStyle w:val="21"/>
              <w:tblW w:w="67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2416"/>
              <w:gridCol w:w="2910"/>
              <w:gridCol w:w="6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56" w:type="dxa"/>
                  <w:vAlign w:val="center"/>
                </w:tcPr>
                <w:p>
                  <w:pPr>
                    <w:kinsoku/>
                    <w:jc w:val="center"/>
                    <w:rPr>
                      <w:rFonts w:eastAsia="宋体"/>
                      <w:b/>
                      <w:bCs/>
                      <w:color w:val="auto"/>
                      <w:lang w:eastAsia="zh-CN"/>
                    </w:rPr>
                  </w:pPr>
                  <w:r>
                    <w:rPr>
                      <w:rFonts w:hint="eastAsia" w:eastAsia="宋体"/>
                      <w:b/>
                      <w:bCs/>
                      <w:color w:val="auto"/>
                      <w:lang w:eastAsia="zh-CN"/>
                    </w:rPr>
                    <w:t>序号</w:t>
                  </w:r>
                </w:p>
              </w:tc>
              <w:tc>
                <w:tcPr>
                  <w:tcW w:w="2416" w:type="dxa"/>
                  <w:vAlign w:val="center"/>
                </w:tcPr>
                <w:p>
                  <w:pPr>
                    <w:kinsoku/>
                    <w:jc w:val="center"/>
                    <w:rPr>
                      <w:b/>
                      <w:bCs/>
                      <w:color w:val="auto"/>
                    </w:rPr>
                  </w:pPr>
                  <w:r>
                    <w:rPr>
                      <w:b/>
                      <w:bCs/>
                      <w:color w:val="auto"/>
                    </w:rPr>
                    <w:t>相关要求</w:t>
                  </w:r>
                </w:p>
              </w:tc>
              <w:tc>
                <w:tcPr>
                  <w:tcW w:w="2910" w:type="dxa"/>
                  <w:vAlign w:val="center"/>
                </w:tcPr>
                <w:p>
                  <w:pPr>
                    <w:kinsoku/>
                    <w:jc w:val="center"/>
                    <w:rPr>
                      <w:b/>
                      <w:bCs/>
                      <w:color w:val="auto"/>
                    </w:rPr>
                  </w:pPr>
                  <w:r>
                    <w:rPr>
                      <w:b/>
                      <w:bCs/>
                      <w:color w:val="auto"/>
                    </w:rPr>
                    <w:t>符合性分析</w:t>
                  </w:r>
                </w:p>
              </w:tc>
              <w:tc>
                <w:tcPr>
                  <w:tcW w:w="645" w:type="dxa"/>
                  <w:vAlign w:val="center"/>
                </w:tcPr>
                <w:p>
                  <w:pPr>
                    <w:kinsoku/>
                    <w:jc w:val="center"/>
                    <w:rPr>
                      <w:b/>
                      <w:bCs/>
                      <w:color w:val="auto"/>
                      <w:lang w:eastAsia="zh-CN"/>
                    </w:rPr>
                  </w:pPr>
                  <w:r>
                    <w:rPr>
                      <w:rFonts w:hint="eastAsia"/>
                      <w:b/>
                      <w:bCs/>
                      <w:color w:val="auto"/>
                      <w:lang w:eastAsia="zh-CN"/>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jc w:val="center"/>
              </w:trPr>
              <w:tc>
                <w:tcPr>
                  <w:tcW w:w="756" w:type="dxa"/>
                  <w:vAlign w:val="center"/>
                </w:tcPr>
                <w:p>
                  <w:pPr>
                    <w:kinsoku/>
                    <w:jc w:val="center"/>
                    <w:rPr>
                      <w:rFonts w:eastAsia="宋体"/>
                      <w:color w:val="auto"/>
                      <w:lang w:eastAsia="zh-CN"/>
                    </w:rPr>
                  </w:pPr>
                  <w:r>
                    <w:rPr>
                      <w:rFonts w:hint="eastAsia" w:eastAsia="宋体"/>
                      <w:color w:val="auto"/>
                      <w:lang w:eastAsia="zh-CN"/>
                    </w:rPr>
                    <w:t>1</w:t>
                  </w:r>
                </w:p>
              </w:tc>
              <w:tc>
                <w:tcPr>
                  <w:tcW w:w="2416" w:type="dxa"/>
                  <w:vAlign w:val="center"/>
                </w:tcPr>
                <w:p>
                  <w:pPr>
                    <w:kinsoku/>
                    <w:jc w:val="center"/>
                    <w:rPr>
                      <w:color w:val="auto"/>
                      <w:lang w:eastAsia="zh-CN"/>
                    </w:rPr>
                  </w:pPr>
                  <w:r>
                    <w:rPr>
                      <w:color w:val="auto"/>
                      <w:lang w:eastAsia="zh-CN"/>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910" w:type="dxa"/>
                  <w:vAlign w:val="center"/>
                </w:tcPr>
                <w:p>
                  <w:pPr>
                    <w:kinsoku/>
                    <w:jc w:val="center"/>
                    <w:rPr>
                      <w:color w:val="auto"/>
                      <w:lang w:eastAsia="zh-CN"/>
                    </w:rPr>
                  </w:pPr>
                  <w:r>
                    <w:rPr>
                      <w:rFonts w:ascii="Times New Roman" w:hAnsi="Times New Roman" w:eastAsia="宋体" w:cs="Times New Roman"/>
                      <w:color w:val="auto"/>
                      <w:lang w:eastAsia="zh-CN"/>
                    </w:rPr>
                    <w:t>项目VOCs废气收集处理系统发生故障或检修时，对应的生产工艺设备停止运行，待检修完毕后同步投入使用。</w:t>
                  </w:r>
                </w:p>
              </w:tc>
              <w:tc>
                <w:tcPr>
                  <w:tcW w:w="645" w:type="dxa"/>
                  <w:vAlign w:val="center"/>
                </w:tcPr>
                <w:p>
                  <w:pPr>
                    <w:kinsoku/>
                    <w:jc w:val="center"/>
                    <w:rPr>
                      <w:color w:val="auto"/>
                    </w:rPr>
                  </w:pPr>
                  <w:r>
                    <w:rPr>
                      <w:rFonts w:hint="eastAsia"/>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jc w:val="center"/>
              </w:trPr>
              <w:tc>
                <w:tcPr>
                  <w:tcW w:w="756" w:type="dxa"/>
                  <w:vAlign w:val="center"/>
                </w:tcPr>
                <w:p>
                  <w:pPr>
                    <w:kinsoku/>
                    <w:jc w:val="center"/>
                    <w:rPr>
                      <w:rFonts w:eastAsia="宋体"/>
                      <w:color w:val="auto"/>
                      <w:lang w:eastAsia="zh-CN"/>
                    </w:rPr>
                  </w:pPr>
                  <w:r>
                    <w:rPr>
                      <w:rFonts w:hint="eastAsia" w:eastAsia="宋体"/>
                      <w:color w:val="auto"/>
                      <w:lang w:eastAsia="zh-CN"/>
                    </w:rPr>
                    <w:t>2</w:t>
                  </w:r>
                </w:p>
              </w:tc>
              <w:tc>
                <w:tcPr>
                  <w:tcW w:w="2416" w:type="dxa"/>
                  <w:vAlign w:val="center"/>
                </w:tcPr>
                <w:p>
                  <w:pPr>
                    <w:kinsoku/>
                    <w:jc w:val="center"/>
                    <w:rPr>
                      <w:color w:val="auto"/>
                      <w:lang w:eastAsia="zh-CN"/>
                    </w:rPr>
                  </w:pPr>
                  <w:r>
                    <w:rPr>
                      <w:color w:val="auto"/>
                      <w:lang w:eastAsia="zh-CN"/>
                    </w:rPr>
                    <w:t>收集的废气中NMHC初始排放速率≥3kg/h时，应配置VOCs处理设施，处</w:t>
                  </w:r>
                </w:p>
                <w:p>
                  <w:pPr>
                    <w:kinsoku/>
                    <w:jc w:val="center"/>
                    <w:rPr>
                      <w:color w:val="auto"/>
                      <w:lang w:eastAsia="zh-CN"/>
                    </w:rPr>
                  </w:pPr>
                  <w:r>
                    <w:rPr>
                      <w:color w:val="auto"/>
                      <w:lang w:eastAsia="zh-CN"/>
                    </w:rPr>
                    <w:t>理效率不应低于80%；对于重点地区，收集的废气中NMHC初始排放速≥2kg/h时，应配置VOCs处理设施，处理效率不应低于80%；采用的原辅材料符合国家有关低VOCs含量产品规定的除外。</w:t>
                  </w:r>
                </w:p>
              </w:tc>
              <w:tc>
                <w:tcPr>
                  <w:tcW w:w="2910" w:type="dxa"/>
                  <w:vAlign w:val="center"/>
                </w:tcPr>
                <w:p>
                  <w:pPr>
                    <w:kinsoku/>
                    <w:jc w:val="center"/>
                    <w:rPr>
                      <w:color w:val="auto"/>
                      <w:lang w:eastAsia="zh-CN"/>
                    </w:rPr>
                  </w:pPr>
                  <w:r>
                    <w:rPr>
                      <w:color w:val="auto"/>
                      <w:lang w:eastAsia="zh-CN"/>
                    </w:rPr>
                    <w:t>本项目不属于重点排放源，VOCs初始排放速率为0.</w:t>
                  </w:r>
                  <w:r>
                    <w:rPr>
                      <w:rFonts w:hint="eastAsia"/>
                      <w:color w:val="auto"/>
                      <w:lang w:eastAsia="zh-CN"/>
                    </w:rPr>
                    <w:t>042</w:t>
                  </w:r>
                  <w:r>
                    <w:rPr>
                      <w:color w:val="auto"/>
                      <w:lang w:eastAsia="zh-CN"/>
                    </w:rPr>
                    <w:t>kg/h&lt;3kg/h，为减少有机废气的排放，</w:t>
                  </w:r>
                  <w:r>
                    <w:rPr>
                      <w:rFonts w:ascii="Times New Roman" w:hAnsi="Times New Roman" w:eastAsia="宋体" w:cs="Times New Roman"/>
                      <w:color w:val="auto"/>
                      <w:lang w:eastAsia="zh-CN"/>
                    </w:rPr>
                    <w:t>封胶过程中采用</w:t>
                  </w:r>
                  <w:r>
                    <w:rPr>
                      <w:rFonts w:hint="eastAsia" w:ascii="Times New Roman" w:hAnsi="Times New Roman" w:eastAsia="宋体" w:cs="Times New Roman"/>
                      <w:color w:val="auto"/>
                      <w:lang w:eastAsia="zh-CN"/>
                    </w:rPr>
                    <w:t>盖板式</w:t>
                  </w:r>
                  <w:r>
                    <w:rPr>
                      <w:rFonts w:ascii="Times New Roman" w:hAnsi="Times New Roman" w:eastAsia="宋体" w:cs="Times New Roman"/>
                      <w:color w:val="auto"/>
                      <w:lang w:eastAsia="zh-CN"/>
                    </w:rPr>
                    <w:t>封胶设备生产，封胶结束后开启盖板取出成品，</w:t>
                  </w:r>
                  <w:r>
                    <w:rPr>
                      <w:rFonts w:hint="eastAsia" w:ascii="Times New Roman" w:hAnsi="Times New Roman" w:eastAsia="宋体" w:cs="Times New Roman"/>
                      <w:color w:val="auto"/>
                      <w:lang w:eastAsia="zh-CN"/>
                    </w:rPr>
                    <w:t>生产全过程设备采用与设备紧密连接的集气管道，</w:t>
                  </w:r>
                  <w:r>
                    <w:rPr>
                      <w:rFonts w:hint="eastAsia" w:ascii="Times New Roman" w:hAnsi="Times New Roman" w:eastAsia="宋体" w:cs="Times New Roman"/>
                      <w:color w:val="auto"/>
                      <w:lang w:val="en-US" w:eastAsia="zh-CN"/>
                    </w:rPr>
                    <w:t>在微负压条件下</w:t>
                  </w:r>
                  <w:r>
                    <w:rPr>
                      <w:rFonts w:hint="eastAsia" w:ascii="Times New Roman" w:hAnsi="Times New Roman" w:eastAsia="宋体" w:cs="Times New Roman"/>
                      <w:color w:val="auto"/>
                      <w:lang w:eastAsia="zh-CN"/>
                    </w:rPr>
                    <w:t>对挥发性有机物进行收集</w:t>
                  </w:r>
                  <w:r>
                    <w:rPr>
                      <w:rFonts w:ascii="Times New Roman" w:hAnsi="Times New Roman" w:eastAsia="宋体" w:cs="Times New Roman"/>
                      <w:color w:val="auto"/>
                      <w:lang w:eastAsia="zh-CN"/>
                    </w:rPr>
                    <w:t>，</w:t>
                  </w:r>
                  <w:r>
                    <w:rPr>
                      <w:rFonts w:hint="eastAsia"/>
                      <w:color w:val="auto"/>
                      <w:lang w:eastAsia="zh-CN"/>
                    </w:rPr>
                    <w:t>最终进入“二级活性炭吸附”</w:t>
                  </w:r>
                  <w:r>
                    <w:rPr>
                      <w:color w:val="auto"/>
                      <w:lang w:eastAsia="zh-CN"/>
                    </w:rPr>
                    <w:t>处理后通过15m高排气筒</w:t>
                  </w:r>
                  <w:r>
                    <w:rPr>
                      <w:rFonts w:hint="eastAsia"/>
                      <w:color w:val="auto"/>
                      <w:lang w:eastAsia="zh-CN"/>
                    </w:rPr>
                    <w:t>（DA002）</w:t>
                  </w:r>
                  <w:r>
                    <w:rPr>
                      <w:color w:val="auto"/>
                      <w:lang w:eastAsia="zh-CN"/>
                    </w:rPr>
                    <w:t>排放。</w:t>
                  </w:r>
                </w:p>
              </w:tc>
              <w:tc>
                <w:tcPr>
                  <w:tcW w:w="645" w:type="dxa"/>
                  <w:vAlign w:val="center"/>
                </w:tcPr>
                <w:p>
                  <w:pPr>
                    <w:kinsoku/>
                    <w:jc w:val="center"/>
                    <w:rPr>
                      <w:color w:val="auto"/>
                    </w:rPr>
                  </w:pPr>
                  <w:r>
                    <w:rPr>
                      <w:rFonts w:hint="eastAsia"/>
                      <w:color w:val="auto"/>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756" w:type="dxa"/>
                  <w:vAlign w:val="center"/>
                </w:tcPr>
                <w:p>
                  <w:pPr>
                    <w:kinsoku/>
                    <w:jc w:val="center"/>
                    <w:rPr>
                      <w:rFonts w:eastAsia="宋体"/>
                      <w:color w:val="auto"/>
                      <w:lang w:eastAsia="zh-CN"/>
                    </w:rPr>
                  </w:pPr>
                  <w:r>
                    <w:rPr>
                      <w:rFonts w:hint="eastAsia" w:eastAsia="宋体"/>
                      <w:color w:val="auto"/>
                      <w:lang w:eastAsia="zh-CN"/>
                    </w:rPr>
                    <w:t>3</w:t>
                  </w:r>
                </w:p>
              </w:tc>
              <w:tc>
                <w:tcPr>
                  <w:tcW w:w="2416" w:type="dxa"/>
                  <w:vAlign w:val="center"/>
                </w:tcPr>
                <w:p>
                  <w:pPr>
                    <w:kinsoku/>
                    <w:jc w:val="center"/>
                    <w:rPr>
                      <w:color w:val="auto"/>
                      <w:lang w:eastAsia="zh-CN"/>
                    </w:rPr>
                  </w:pPr>
                  <w:r>
                    <w:rPr>
                      <w:color w:val="auto"/>
                      <w:lang w:eastAsia="zh-CN"/>
                    </w:rPr>
                    <w:t>VOCs物料应储存于密闭的容器、包装袋、储罐、储库、料仓中。</w:t>
                  </w:r>
                </w:p>
              </w:tc>
              <w:tc>
                <w:tcPr>
                  <w:tcW w:w="2910" w:type="dxa"/>
                  <w:vAlign w:val="center"/>
                </w:tcPr>
                <w:p>
                  <w:pPr>
                    <w:kinsoku/>
                    <w:jc w:val="center"/>
                    <w:rPr>
                      <w:color w:val="auto"/>
                      <w:lang w:eastAsia="zh-CN"/>
                    </w:rPr>
                  </w:pPr>
                  <w:r>
                    <w:rPr>
                      <w:color w:val="auto"/>
                      <w:lang w:eastAsia="zh-CN"/>
                    </w:rPr>
                    <w:t>本项目</w:t>
                  </w:r>
                  <w:r>
                    <w:rPr>
                      <w:rFonts w:hint="eastAsia"/>
                      <w:color w:val="auto"/>
                      <w:lang w:eastAsia="zh-CN"/>
                    </w:rPr>
                    <w:t>封边胶</w:t>
                  </w:r>
                  <w:r>
                    <w:rPr>
                      <w:color w:val="auto"/>
                      <w:lang w:eastAsia="zh-CN"/>
                    </w:rPr>
                    <w:t>储存于</w:t>
                  </w:r>
                  <w:r>
                    <w:rPr>
                      <w:rFonts w:hint="eastAsia"/>
                      <w:color w:val="auto"/>
                      <w:lang w:eastAsia="zh-CN"/>
                    </w:rPr>
                    <w:t>密闭胶桶</w:t>
                  </w:r>
                  <w:r>
                    <w:rPr>
                      <w:color w:val="auto"/>
                      <w:lang w:eastAsia="zh-CN"/>
                    </w:rPr>
                    <w:t>中，使用时取出。</w:t>
                  </w:r>
                </w:p>
              </w:tc>
              <w:tc>
                <w:tcPr>
                  <w:tcW w:w="645" w:type="dxa"/>
                  <w:vAlign w:val="center"/>
                </w:tcPr>
                <w:p>
                  <w:pPr>
                    <w:kinsoku/>
                    <w:jc w:val="center"/>
                    <w:rPr>
                      <w:color w:val="auto"/>
                      <w:lang w:eastAsia="zh-CN"/>
                    </w:rPr>
                  </w:pPr>
                  <w:r>
                    <w:rPr>
                      <w:rFonts w:hint="eastAsia"/>
                      <w:color w:val="auto"/>
                      <w:lang w:eastAsia="zh-CN"/>
                    </w:rPr>
                    <w:t>符合</w:t>
                  </w:r>
                </w:p>
              </w:tc>
            </w:tr>
          </w:tbl>
          <w:p>
            <w:pPr>
              <w:kinsoku/>
              <w:spacing w:line="360" w:lineRule="auto"/>
              <w:ind w:firstLine="444" w:firstLineChars="200"/>
              <w:rPr>
                <w:rFonts w:hint="eastAsia" w:ascii="宋体" w:hAnsi="宋体" w:eastAsia="宋体" w:cs="宋体"/>
                <w:color w:val="auto"/>
                <w:spacing w:val="-9"/>
                <w:sz w:val="24"/>
                <w:szCs w:val="24"/>
                <w:lang w:eastAsia="zh-CN"/>
              </w:rPr>
            </w:pPr>
            <w:r>
              <w:rPr>
                <w:rFonts w:ascii="宋体" w:hAnsi="宋体" w:eastAsia="宋体" w:cs="宋体"/>
                <w:color w:val="auto"/>
                <w:spacing w:val="-9"/>
                <w:sz w:val="24"/>
                <w:szCs w:val="24"/>
                <w:lang w:eastAsia="zh-CN"/>
              </w:rPr>
              <w:t>根据上表分析，本项目符合《挥发性有机物无组织排放控制标准》（GB37822-2019）中相关要求。</w:t>
            </w:r>
          </w:p>
          <w:p>
            <w:pPr>
              <w:pStyle w:val="22"/>
              <w:kinsoku/>
              <w:spacing w:before="33" w:line="219" w:lineRule="auto"/>
              <w:ind w:left="597"/>
              <w:rPr>
                <w:rFonts w:hint="eastAsia"/>
                <w:color w:val="auto"/>
                <w:lang w:eastAsia="zh-CN"/>
              </w:rPr>
            </w:pPr>
            <w:r>
              <w:rPr>
                <w:rFonts w:hint="eastAsia" w:ascii="Times New Roman" w:hAnsi="Times New Roman" w:eastAsia="Times New Roman" w:cs="Times New Roman"/>
                <w:b/>
                <w:bCs/>
                <w:color w:val="auto"/>
                <w:spacing w:val="-3"/>
                <w:lang w:eastAsia="zh-CN"/>
              </w:rPr>
              <w:t>8</w:t>
            </w:r>
            <w:r>
              <w:rPr>
                <w:b/>
                <w:bCs/>
                <w:color w:val="auto"/>
                <w:spacing w:val="-3"/>
                <w:lang w:eastAsia="zh-CN"/>
              </w:rPr>
              <w:t>、与国务院《关于深入打好污染防治攻坚战的意见》相符性</w:t>
            </w:r>
          </w:p>
          <w:p>
            <w:pPr>
              <w:pStyle w:val="22"/>
              <w:kinsoku/>
              <w:spacing w:before="182" w:line="345" w:lineRule="auto"/>
              <w:ind w:left="129" w:right="27" w:firstLine="468"/>
              <w:rPr>
                <w:rFonts w:hint="eastAsia"/>
                <w:color w:val="auto"/>
                <w:lang w:eastAsia="zh-CN"/>
              </w:rPr>
            </w:pPr>
            <w:r>
              <w:rPr>
                <w:color w:val="auto"/>
                <w:spacing w:val="-9"/>
                <w:lang w:eastAsia="zh-CN"/>
              </w:rPr>
              <w:t>根据国务院</w:t>
            </w:r>
            <w:r>
              <w:rPr>
                <w:rFonts w:ascii="Times New Roman" w:hAnsi="Times New Roman" w:eastAsia="Times New Roman" w:cs="Times New Roman"/>
                <w:color w:val="auto"/>
                <w:spacing w:val="-9"/>
                <w:lang w:eastAsia="zh-CN"/>
              </w:rPr>
              <w:t>2021</w:t>
            </w:r>
            <w:r>
              <w:rPr>
                <w:color w:val="auto"/>
                <w:spacing w:val="-9"/>
                <w:lang w:eastAsia="zh-CN"/>
              </w:rPr>
              <w:t>年</w:t>
            </w:r>
            <w:r>
              <w:rPr>
                <w:rFonts w:ascii="Times New Roman" w:hAnsi="Times New Roman" w:eastAsia="Times New Roman" w:cs="Times New Roman"/>
                <w:color w:val="auto"/>
                <w:spacing w:val="-9"/>
                <w:lang w:eastAsia="zh-CN"/>
              </w:rPr>
              <w:t>11</w:t>
            </w:r>
            <w:r>
              <w:rPr>
                <w:color w:val="auto"/>
                <w:spacing w:val="-9"/>
                <w:lang w:eastAsia="zh-CN"/>
              </w:rPr>
              <w:t>月</w:t>
            </w:r>
            <w:r>
              <w:rPr>
                <w:rFonts w:ascii="Times New Roman" w:hAnsi="Times New Roman" w:eastAsia="Times New Roman" w:cs="Times New Roman"/>
                <w:color w:val="auto"/>
                <w:spacing w:val="-9"/>
                <w:lang w:eastAsia="zh-CN"/>
              </w:rPr>
              <w:t>2</w:t>
            </w:r>
            <w:r>
              <w:rPr>
                <w:color w:val="auto"/>
                <w:spacing w:val="-9"/>
                <w:lang w:eastAsia="zh-CN"/>
              </w:rPr>
              <w:t>日发布的《关于深入打好污染防治攻坚</w:t>
            </w:r>
            <w:r>
              <w:rPr>
                <w:color w:val="auto"/>
                <w:spacing w:val="-19"/>
                <w:lang w:eastAsia="zh-CN"/>
              </w:rPr>
              <w:t>战的意见》进行分析，具体见表</w:t>
            </w:r>
            <w:r>
              <w:rPr>
                <w:rFonts w:ascii="Times New Roman" w:hAnsi="Times New Roman" w:eastAsia="Times New Roman" w:cs="Times New Roman"/>
                <w:color w:val="auto"/>
                <w:spacing w:val="-19"/>
                <w:lang w:eastAsia="zh-CN"/>
              </w:rPr>
              <w:t>1-</w:t>
            </w:r>
            <w:r>
              <w:rPr>
                <w:rFonts w:hint="eastAsia" w:ascii="Times New Roman" w:hAnsi="Times New Roman" w:cs="Times New Roman"/>
                <w:color w:val="auto"/>
                <w:spacing w:val="-19"/>
                <w:lang w:eastAsia="zh-CN"/>
              </w:rPr>
              <w:t>10</w:t>
            </w:r>
            <w:r>
              <w:rPr>
                <w:color w:val="auto"/>
                <w:spacing w:val="-19"/>
                <w:lang w:eastAsia="zh-CN"/>
              </w:rPr>
              <w:t>。</w:t>
            </w:r>
          </w:p>
          <w:p>
            <w:pPr>
              <w:pStyle w:val="22"/>
              <w:kinsoku/>
              <w:spacing w:before="179" w:line="360" w:lineRule="auto"/>
              <w:ind w:firstLine="429" w:firstLineChars="200"/>
              <w:rPr>
                <w:rFonts w:hint="eastAsia"/>
                <w:b/>
                <w:bCs/>
                <w:color w:val="auto"/>
                <w:spacing w:val="6"/>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10</w:t>
            </w:r>
            <w:r>
              <w:rPr>
                <w:b/>
                <w:bCs/>
                <w:color w:val="auto"/>
                <w:spacing w:val="7"/>
                <w:sz w:val="20"/>
                <w:szCs w:val="20"/>
                <w:lang w:eastAsia="zh-CN"/>
              </w:rPr>
              <w:t>项目与国务院《关于深入打好污染防治攻坚战的意见</w:t>
            </w:r>
            <w:r>
              <w:rPr>
                <w:b/>
                <w:bCs/>
                <w:color w:val="auto"/>
                <w:spacing w:val="6"/>
                <w:sz w:val="20"/>
                <w:szCs w:val="20"/>
                <w:lang w:eastAsia="zh-CN"/>
              </w:rPr>
              <w:t>》相符性</w:t>
            </w:r>
          </w:p>
          <w:tbl>
            <w:tblPr>
              <w:tblStyle w:val="17"/>
              <w:tblW w:w="6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564"/>
              <w:gridCol w:w="283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widowControl w:val="0"/>
                    <w:kinsoku/>
                    <w:jc w:val="center"/>
                    <w:rPr>
                      <w:color w:val="auto"/>
                    </w:rPr>
                  </w:pPr>
                  <w:r>
                    <w:rPr>
                      <w:color w:val="auto"/>
                    </w:rPr>
                    <w:t>序号</w:t>
                  </w:r>
                </w:p>
              </w:tc>
              <w:tc>
                <w:tcPr>
                  <w:tcW w:w="2564" w:type="dxa"/>
                  <w:vAlign w:val="center"/>
                </w:tcPr>
                <w:p>
                  <w:pPr>
                    <w:widowControl w:val="0"/>
                    <w:kinsoku/>
                    <w:jc w:val="center"/>
                    <w:rPr>
                      <w:color w:val="auto"/>
                    </w:rPr>
                  </w:pPr>
                  <w:r>
                    <w:rPr>
                      <w:color w:val="auto"/>
                    </w:rPr>
                    <w:t>意见具体要求</w:t>
                  </w:r>
                </w:p>
              </w:tc>
              <w:tc>
                <w:tcPr>
                  <w:tcW w:w="2835" w:type="dxa"/>
                  <w:vAlign w:val="center"/>
                </w:tcPr>
                <w:p>
                  <w:pPr>
                    <w:widowControl w:val="0"/>
                    <w:kinsoku/>
                    <w:jc w:val="center"/>
                    <w:rPr>
                      <w:color w:val="auto"/>
                    </w:rPr>
                  </w:pPr>
                  <w:r>
                    <w:rPr>
                      <w:color w:val="auto"/>
                    </w:rPr>
                    <w:t>本项目情况</w:t>
                  </w:r>
                </w:p>
              </w:tc>
              <w:tc>
                <w:tcPr>
                  <w:tcW w:w="686" w:type="dxa"/>
                  <w:vAlign w:val="center"/>
                </w:tcPr>
                <w:p>
                  <w:pPr>
                    <w:widowControl w:val="0"/>
                    <w:kinsoku/>
                    <w:jc w:val="center"/>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widowControl w:val="0"/>
                    <w:kinsoku/>
                    <w:jc w:val="center"/>
                    <w:rPr>
                      <w:color w:val="auto"/>
                    </w:rPr>
                  </w:pPr>
                  <w:r>
                    <w:rPr>
                      <w:color w:val="auto"/>
                    </w:rPr>
                    <w:t>1</w:t>
                  </w:r>
                </w:p>
              </w:tc>
              <w:tc>
                <w:tcPr>
                  <w:tcW w:w="2564" w:type="dxa"/>
                  <w:vAlign w:val="center"/>
                </w:tcPr>
                <w:p>
                  <w:pPr>
                    <w:widowControl w:val="0"/>
                    <w:kinsoku/>
                    <w:jc w:val="center"/>
                    <w:rPr>
                      <w:color w:val="auto"/>
                      <w:lang w:eastAsia="zh-CN"/>
                    </w:rPr>
                  </w:pPr>
                  <w:r>
                    <w:rPr>
                      <w:color w:val="auto"/>
                      <w:lang w:eastAsia="zh-CN"/>
                    </w:rPr>
                    <w:t>（七）坚决遏制高耗能高排放项目盲目发展。重点区域严禁新增钢铁、焦化、水泥熟料、平板玻璃、电解铝、氧化铝、煤化工产能；严格执行钢铁、水泥、平板玻璃等行业产能置换实施办法。</w:t>
                  </w:r>
                </w:p>
              </w:tc>
              <w:tc>
                <w:tcPr>
                  <w:tcW w:w="2835" w:type="dxa"/>
                  <w:vAlign w:val="center"/>
                </w:tcPr>
                <w:p>
                  <w:pPr>
                    <w:widowControl w:val="0"/>
                    <w:kinsoku/>
                    <w:jc w:val="center"/>
                    <w:rPr>
                      <w:color w:val="auto"/>
                      <w:lang w:eastAsia="zh-CN"/>
                    </w:rPr>
                  </w:pPr>
                  <w:r>
                    <w:rPr>
                      <w:color w:val="auto"/>
                      <w:lang w:eastAsia="zh-CN"/>
                    </w:rPr>
                    <w:t>本项目主要生产</w:t>
                  </w:r>
                  <w:r>
                    <w:rPr>
                      <w:rFonts w:hint="eastAsia"/>
                      <w:color w:val="auto"/>
                      <w:lang w:eastAsia="zh-CN"/>
                    </w:rPr>
                    <w:t>家具</w:t>
                  </w:r>
                  <w:r>
                    <w:rPr>
                      <w:color w:val="auto"/>
                      <w:lang w:eastAsia="zh-CN"/>
                    </w:rPr>
                    <w:t>，使用的能源为电能，属于清洁能源，项目能耗较低，污染物排放量小，且不属于钢铁、焦化、水泥熟料、平板玻璃、电解铝、氧化铝、煤化工行业。</w:t>
                  </w:r>
                </w:p>
              </w:tc>
              <w:tc>
                <w:tcPr>
                  <w:tcW w:w="686"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widowControl w:val="0"/>
                    <w:kinsoku/>
                    <w:jc w:val="center"/>
                    <w:rPr>
                      <w:color w:val="auto"/>
                    </w:rPr>
                  </w:pPr>
                  <w:r>
                    <w:rPr>
                      <w:color w:val="auto"/>
                    </w:rPr>
                    <w:t>2</w:t>
                  </w:r>
                </w:p>
              </w:tc>
              <w:tc>
                <w:tcPr>
                  <w:tcW w:w="2564" w:type="dxa"/>
                  <w:vAlign w:val="center"/>
                </w:tcPr>
                <w:p>
                  <w:pPr>
                    <w:widowControl w:val="0"/>
                    <w:kinsoku/>
                    <w:jc w:val="center"/>
                    <w:rPr>
                      <w:color w:val="auto"/>
                      <w:lang w:eastAsia="zh-CN"/>
                    </w:rPr>
                  </w:pPr>
                  <w:r>
                    <w:rPr>
                      <w:color w:val="auto"/>
                      <w:lang w:eastAsia="zh-CN"/>
                    </w:rPr>
                    <w:t>（九）加强生态环境分区管控。将生态保护红线、环境质量底线、资源利用上线的硬约束落实到环境管控单元，建立差别化的生态环境准入清单，加强</w:t>
                  </w:r>
                  <w:r>
                    <w:rPr>
                      <w:rFonts w:hint="eastAsia"/>
                      <w:color w:val="auto"/>
                      <w:lang w:eastAsia="zh-CN"/>
                    </w:rPr>
                    <w:t>“</w:t>
                  </w:r>
                  <w:r>
                    <w:rPr>
                      <w:color w:val="auto"/>
                      <w:lang w:eastAsia="zh-CN"/>
                    </w:rPr>
                    <w:t>三线一单</w:t>
                  </w:r>
                  <w:r>
                    <w:rPr>
                      <w:rFonts w:hint="eastAsia"/>
                      <w:color w:val="auto"/>
                      <w:lang w:eastAsia="zh-CN"/>
                    </w:rPr>
                    <w:t>”</w:t>
                  </w:r>
                  <w:r>
                    <w:rPr>
                      <w:color w:val="auto"/>
                      <w:lang w:eastAsia="zh-CN"/>
                    </w:rPr>
                    <w:t>成果在政策制定、环境准入、园区管理、执法监管等方面的应用。</w:t>
                  </w:r>
                </w:p>
              </w:tc>
              <w:tc>
                <w:tcPr>
                  <w:tcW w:w="2835" w:type="dxa"/>
                  <w:vAlign w:val="center"/>
                </w:tcPr>
                <w:p>
                  <w:pPr>
                    <w:widowControl w:val="0"/>
                    <w:kinsoku/>
                    <w:jc w:val="center"/>
                    <w:rPr>
                      <w:color w:val="auto"/>
                      <w:lang w:eastAsia="zh-CN"/>
                    </w:rPr>
                  </w:pPr>
                  <w:r>
                    <w:rPr>
                      <w:color w:val="auto"/>
                      <w:lang w:eastAsia="zh-CN"/>
                    </w:rPr>
                    <w:t>根据前文分析，本项目符合</w:t>
                  </w:r>
                  <w:r>
                    <w:rPr>
                      <w:rFonts w:hint="eastAsia"/>
                      <w:color w:val="auto"/>
                      <w:lang w:eastAsia="zh-CN"/>
                    </w:rPr>
                    <w:t>《昆明市生态环境分区管控动态更新方案（2023年）》的相关要求</w:t>
                  </w:r>
                  <w:r>
                    <w:rPr>
                      <w:color w:val="auto"/>
                      <w:lang w:eastAsia="zh-CN"/>
                    </w:rPr>
                    <w:t>。</w:t>
                  </w:r>
                </w:p>
              </w:tc>
              <w:tc>
                <w:tcPr>
                  <w:tcW w:w="686"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5" w:type="dxa"/>
                  <w:vAlign w:val="center"/>
                </w:tcPr>
                <w:p>
                  <w:pPr>
                    <w:widowControl w:val="0"/>
                    <w:kinsoku/>
                    <w:jc w:val="center"/>
                    <w:rPr>
                      <w:color w:val="auto"/>
                    </w:rPr>
                  </w:pPr>
                  <w:r>
                    <w:rPr>
                      <w:color w:val="auto"/>
                    </w:rPr>
                    <w:t>3</w:t>
                  </w:r>
                </w:p>
              </w:tc>
              <w:tc>
                <w:tcPr>
                  <w:tcW w:w="2564" w:type="dxa"/>
                  <w:vAlign w:val="center"/>
                </w:tcPr>
                <w:p>
                  <w:pPr>
                    <w:widowControl w:val="0"/>
                    <w:kinsoku/>
                    <w:jc w:val="center"/>
                    <w:rPr>
                      <w:color w:val="auto"/>
                      <w:lang w:eastAsia="zh-CN"/>
                    </w:rPr>
                  </w:pPr>
                  <w:r>
                    <w:rPr>
                      <w:color w:val="auto"/>
                      <w:lang w:eastAsia="zh-CN"/>
                    </w:rPr>
                    <w:t>（十四）加强大气面源和噪声污染治理。强化施工、道路、堆场、裸露地面等扬尘管控。实施噪声污染防治行动，加快解决群众关心的突出噪声问题。</w:t>
                  </w:r>
                </w:p>
              </w:tc>
              <w:tc>
                <w:tcPr>
                  <w:tcW w:w="2835" w:type="dxa"/>
                  <w:vAlign w:val="center"/>
                </w:tcPr>
                <w:p>
                  <w:pPr>
                    <w:widowControl w:val="0"/>
                    <w:kinsoku/>
                    <w:jc w:val="center"/>
                    <w:rPr>
                      <w:color w:val="auto"/>
                      <w:lang w:eastAsia="zh-CN"/>
                    </w:rPr>
                  </w:pPr>
                  <w:r>
                    <w:rPr>
                      <w:color w:val="auto"/>
                      <w:lang w:eastAsia="zh-CN"/>
                    </w:rPr>
                    <w:t>本项目运营期</w:t>
                  </w:r>
                  <w:r>
                    <w:rPr>
                      <w:rFonts w:hint="eastAsia"/>
                      <w:color w:val="auto"/>
                      <w:lang w:eastAsia="zh-CN"/>
                    </w:rPr>
                    <w:t>废气经环境保护措施后，可满足</w:t>
                  </w:r>
                  <w:r>
                    <w:rPr>
                      <w:rFonts w:hint="eastAsia" w:ascii="Times New Roman" w:hAnsi="Times New Roman" w:eastAsia="Times New Roman" w:cs="Times New Roman"/>
                      <w:color w:val="auto"/>
                      <w:spacing w:val="3"/>
                      <w:lang w:eastAsia="zh-CN"/>
                    </w:rPr>
                    <w:t>《挥发性有机物无组织排放控制标准》（GB37822—2019）及《大气污染物综合排放标准》（GB16297-1996）</w:t>
                  </w:r>
                  <w:r>
                    <w:rPr>
                      <w:rFonts w:ascii="Times New Roman" w:hAnsi="Times New Roman" w:cs="Times New Roman"/>
                      <w:color w:val="auto"/>
                      <w:spacing w:val="1"/>
                      <w:lang w:eastAsia="zh-CN"/>
                    </w:rPr>
                    <w:t>《大气污染物综合排放标准》(GB16297-1996)</w:t>
                  </w:r>
                  <w:r>
                    <w:rPr>
                      <w:rFonts w:hint="eastAsia" w:ascii="Times New Roman" w:hAnsi="Times New Roman" w:cs="Times New Roman"/>
                      <w:color w:val="auto"/>
                      <w:spacing w:val="1"/>
                      <w:lang w:eastAsia="zh-CN"/>
                    </w:rPr>
                    <w:t>相关要求。</w:t>
                  </w:r>
                  <w:r>
                    <w:rPr>
                      <w:color w:val="auto"/>
                      <w:lang w:eastAsia="zh-CN"/>
                    </w:rPr>
                    <w:t>噪声经过合理布局、隔声、减振等措施后，厂界噪声达到《工业企业厂界环境噪声排放标准》（GB12348-2008）中3类标准，</w:t>
                  </w:r>
                  <w:r>
                    <w:rPr>
                      <w:rFonts w:hint="eastAsia"/>
                      <w:color w:val="auto"/>
                      <w:lang w:eastAsia="zh-CN"/>
                    </w:rPr>
                    <w:t>项目区敏感点为距离本项目234m的黄家坡村，距离本项目较远，</w:t>
                  </w:r>
                  <w:r>
                    <w:rPr>
                      <w:color w:val="auto"/>
                      <w:lang w:eastAsia="zh-CN"/>
                    </w:rPr>
                    <w:t>不会造成扰民现象</w:t>
                  </w:r>
                </w:p>
              </w:tc>
              <w:tc>
                <w:tcPr>
                  <w:tcW w:w="686" w:type="dxa"/>
                  <w:vAlign w:val="center"/>
                </w:tcPr>
                <w:p>
                  <w:pPr>
                    <w:widowControl w:val="0"/>
                    <w:kinsoku/>
                    <w:jc w:val="center"/>
                    <w:rPr>
                      <w:color w:val="auto"/>
                      <w:lang w:eastAsia="zh-CN"/>
                    </w:rPr>
                  </w:pPr>
                  <w:r>
                    <w:rPr>
                      <w:color w:val="auto"/>
                      <w:lang w:eastAsia="zh-CN"/>
                    </w:rPr>
                    <w:t>符合</w:t>
                  </w:r>
                </w:p>
              </w:tc>
            </w:tr>
          </w:tbl>
          <w:p>
            <w:pPr>
              <w:pStyle w:val="22"/>
              <w:kinsoku/>
              <w:spacing w:before="35" w:line="345" w:lineRule="auto"/>
              <w:ind w:left="137" w:right="46" w:firstLine="463"/>
              <w:rPr>
                <w:rFonts w:hint="eastAsia"/>
                <w:color w:val="auto"/>
                <w:lang w:eastAsia="zh-CN"/>
              </w:rPr>
            </w:pPr>
            <w:r>
              <w:rPr>
                <w:color w:val="auto"/>
                <w:spacing w:val="3"/>
                <w:lang w:eastAsia="zh-CN"/>
              </w:rPr>
              <w:t>综上所述，本项目建设符合国务院关于深入打好污染防治攻坚战</w:t>
            </w:r>
            <w:r>
              <w:rPr>
                <w:color w:val="auto"/>
                <w:spacing w:val="-6"/>
                <w:lang w:eastAsia="zh-CN"/>
              </w:rPr>
              <w:t>的意见要求</w:t>
            </w:r>
            <w:r>
              <w:rPr>
                <w:rFonts w:hint="eastAsia"/>
                <w:color w:val="auto"/>
                <w:spacing w:val="-6"/>
                <w:lang w:eastAsia="zh-CN"/>
              </w:rPr>
              <w:t>。</w:t>
            </w:r>
          </w:p>
          <w:p>
            <w:pPr>
              <w:pStyle w:val="22"/>
              <w:kinsoku/>
              <w:spacing w:before="31" w:line="219" w:lineRule="auto"/>
              <w:ind w:left="589"/>
              <w:rPr>
                <w:rFonts w:hint="eastAsia"/>
                <w:color w:val="auto"/>
                <w:lang w:eastAsia="zh-CN"/>
              </w:rPr>
            </w:pPr>
            <w:r>
              <w:rPr>
                <w:rFonts w:hint="eastAsia" w:ascii="Times New Roman" w:hAnsi="Times New Roman" w:eastAsia="Times New Roman" w:cs="Times New Roman"/>
                <w:b/>
                <w:bCs/>
                <w:color w:val="auto"/>
                <w:spacing w:val="-4"/>
                <w:lang w:eastAsia="zh-CN"/>
              </w:rPr>
              <w:t>9</w:t>
            </w:r>
            <w:r>
              <w:rPr>
                <w:b/>
                <w:bCs/>
                <w:color w:val="auto"/>
                <w:spacing w:val="-4"/>
                <w:lang w:eastAsia="zh-CN"/>
              </w:rPr>
              <w:t>、与《云南省牛栏江保护条例》符合性分析</w:t>
            </w:r>
          </w:p>
          <w:p>
            <w:pPr>
              <w:pStyle w:val="22"/>
              <w:kinsoku/>
              <w:spacing w:before="183" w:line="352" w:lineRule="auto"/>
              <w:ind w:left="110" w:right="102" w:firstLine="480"/>
              <w:jc w:val="both"/>
              <w:rPr>
                <w:rFonts w:hint="eastAsia"/>
                <w:color w:val="auto"/>
                <w:lang w:eastAsia="zh-CN"/>
              </w:rPr>
            </w:pPr>
            <w:r>
              <w:rPr>
                <w:color w:val="auto"/>
                <w:spacing w:val="3"/>
                <w:lang w:eastAsia="zh-CN"/>
              </w:rPr>
              <w:t>根据《</w:t>
            </w:r>
            <w:r>
              <w:rPr>
                <w:rFonts w:hint="eastAsia"/>
                <w:color w:val="auto"/>
                <w:spacing w:val="3"/>
                <w:lang w:eastAsia="zh-CN"/>
              </w:rPr>
              <w:t>云南省牛栏江保护条例</w:t>
            </w:r>
            <w:r>
              <w:rPr>
                <w:color w:val="auto"/>
                <w:spacing w:val="3"/>
                <w:lang w:eastAsia="zh-CN"/>
              </w:rPr>
              <w:t>》，牛栏江流域实行分区保护，牛栏江德泽水库坝址以上集水区域为牛栏江流域上游保护区，牛</w:t>
            </w:r>
            <w:r>
              <w:rPr>
                <w:color w:val="auto"/>
                <w:spacing w:val="2"/>
                <w:lang w:eastAsia="zh-CN"/>
              </w:rPr>
              <w:t>栏江德</w:t>
            </w:r>
            <w:r>
              <w:rPr>
                <w:color w:val="auto"/>
                <w:spacing w:val="3"/>
                <w:lang w:eastAsia="zh-CN"/>
              </w:rPr>
              <w:t>泽水库坝址以下集水区域为牛栏江流域下游保护区，本项目位</w:t>
            </w:r>
            <w:r>
              <w:rPr>
                <w:color w:val="auto"/>
                <w:spacing w:val="2"/>
                <w:lang w:eastAsia="zh-CN"/>
              </w:rPr>
              <w:t>于德泽</w:t>
            </w:r>
            <w:r>
              <w:rPr>
                <w:color w:val="auto"/>
                <w:spacing w:val="-1"/>
                <w:lang w:eastAsia="zh-CN"/>
              </w:rPr>
              <w:t>水库坝址以上集水区域，属于牛栏江流域上游保护区。</w:t>
            </w:r>
          </w:p>
          <w:p>
            <w:pPr>
              <w:pStyle w:val="22"/>
              <w:kinsoku/>
              <w:spacing w:before="37" w:line="346" w:lineRule="auto"/>
              <w:ind w:left="111" w:right="102" w:firstLine="484"/>
              <w:rPr>
                <w:rFonts w:hint="eastAsia"/>
                <w:color w:val="auto"/>
                <w:lang w:eastAsia="zh-CN"/>
              </w:rPr>
            </w:pPr>
            <w:r>
              <w:rPr>
                <w:color w:val="auto"/>
                <w:spacing w:val="3"/>
                <w:lang w:eastAsia="zh-CN"/>
              </w:rPr>
              <w:t>牛栏江流域上游保护区划分为水源保护核心区、重点污染控</w:t>
            </w:r>
            <w:r>
              <w:rPr>
                <w:color w:val="auto"/>
                <w:spacing w:val="2"/>
                <w:lang w:eastAsia="zh-CN"/>
              </w:rPr>
              <w:t>制区</w:t>
            </w:r>
            <w:r>
              <w:rPr>
                <w:color w:val="auto"/>
                <w:spacing w:val="-1"/>
                <w:lang w:eastAsia="zh-CN"/>
              </w:rPr>
              <w:t>和重点水源涵养区，本项目所属流域分区分析如下：</w:t>
            </w:r>
          </w:p>
          <w:p>
            <w:pPr>
              <w:pStyle w:val="22"/>
              <w:kinsoku/>
              <w:spacing w:before="28" w:line="227" w:lineRule="auto"/>
              <w:ind w:left="1560"/>
              <w:rPr>
                <w:rFonts w:hint="eastAsia"/>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1-</w:t>
            </w:r>
            <w:r>
              <w:rPr>
                <w:rFonts w:hint="eastAsia" w:ascii="Times New Roman" w:hAnsi="Times New Roman" w:cs="Times New Roman"/>
                <w:b/>
                <w:bCs/>
                <w:color w:val="auto"/>
                <w:spacing w:val="6"/>
                <w:sz w:val="20"/>
                <w:szCs w:val="20"/>
                <w:lang w:eastAsia="zh-CN"/>
              </w:rPr>
              <w:t>11</w:t>
            </w:r>
            <w:r>
              <w:rPr>
                <w:b/>
                <w:bCs/>
                <w:color w:val="auto"/>
                <w:spacing w:val="6"/>
                <w:sz w:val="20"/>
                <w:szCs w:val="20"/>
                <w:lang w:eastAsia="zh-CN"/>
              </w:rPr>
              <w:t>本项目与云南省牛栏江流域分区范围分析</w:t>
            </w:r>
          </w:p>
          <w:p>
            <w:pPr>
              <w:kinsoku/>
              <w:spacing w:line="131" w:lineRule="exact"/>
              <w:rPr>
                <w:color w:val="auto"/>
                <w:lang w:eastAsia="zh-CN"/>
              </w:rPr>
            </w:pPr>
          </w:p>
          <w:tbl>
            <w:tblPr>
              <w:tblStyle w:val="21"/>
              <w:tblW w:w="677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3"/>
              <w:gridCol w:w="4668"/>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63" w:type="dxa"/>
                  <w:vAlign w:val="center"/>
                </w:tcPr>
                <w:p>
                  <w:pPr>
                    <w:kinsoku/>
                    <w:jc w:val="center"/>
                    <w:rPr>
                      <w:b/>
                      <w:bCs/>
                      <w:color w:val="auto"/>
                    </w:rPr>
                  </w:pPr>
                  <w:r>
                    <w:rPr>
                      <w:b/>
                      <w:bCs/>
                      <w:color w:val="auto"/>
                    </w:rPr>
                    <w:t>保护分区</w:t>
                  </w:r>
                </w:p>
              </w:tc>
              <w:tc>
                <w:tcPr>
                  <w:tcW w:w="4668" w:type="dxa"/>
                  <w:vAlign w:val="center"/>
                </w:tcPr>
                <w:p>
                  <w:pPr>
                    <w:kinsoku/>
                    <w:jc w:val="center"/>
                    <w:rPr>
                      <w:b/>
                      <w:bCs/>
                      <w:color w:val="auto"/>
                    </w:rPr>
                  </w:pPr>
                  <w:r>
                    <w:rPr>
                      <w:b/>
                      <w:bCs/>
                      <w:color w:val="auto"/>
                    </w:rPr>
                    <w:t>保护区范围</w:t>
                  </w:r>
                </w:p>
              </w:tc>
              <w:tc>
                <w:tcPr>
                  <w:tcW w:w="945" w:type="dxa"/>
                  <w:vAlign w:val="center"/>
                </w:tcPr>
                <w:p>
                  <w:pPr>
                    <w:kinsoku/>
                    <w:jc w:val="center"/>
                    <w:rPr>
                      <w:b/>
                      <w:bCs/>
                      <w:color w:val="auto"/>
                    </w:rPr>
                  </w:pPr>
                  <w:r>
                    <w:rPr>
                      <w:b/>
                      <w:bCs/>
                      <w:color w:val="auto"/>
                    </w:rPr>
                    <w:t>本项目情况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2" w:hRule="atLeast"/>
                <w:jc w:val="center"/>
              </w:trPr>
              <w:tc>
                <w:tcPr>
                  <w:tcW w:w="1163" w:type="dxa"/>
                  <w:vAlign w:val="center"/>
                </w:tcPr>
                <w:p>
                  <w:pPr>
                    <w:kinsoku/>
                    <w:jc w:val="center"/>
                    <w:rPr>
                      <w:color w:val="auto"/>
                    </w:rPr>
                  </w:pPr>
                  <w:r>
                    <w:rPr>
                      <w:color w:val="auto"/>
                    </w:rPr>
                    <w:t>水源保护核心区</w:t>
                  </w:r>
                </w:p>
              </w:tc>
              <w:tc>
                <w:tcPr>
                  <w:tcW w:w="4668" w:type="dxa"/>
                  <w:vAlign w:val="center"/>
                </w:tcPr>
                <w:p>
                  <w:pPr>
                    <w:kinsoku/>
                    <w:jc w:val="center"/>
                    <w:rPr>
                      <w:color w:val="auto"/>
                      <w:lang w:eastAsia="zh-CN"/>
                    </w:rPr>
                  </w:pPr>
                  <w:r>
                    <w:rPr>
                      <w:color w:val="auto"/>
                      <w:lang w:eastAsia="zh-CN"/>
                    </w:rPr>
                    <w:t>包括德泽水库库区和德泽水库以上牛栏江干流区。德泽水库库区为德泽水库正常蓄水位1790米水面及沿岸外延</w:t>
                  </w:r>
                  <w:r>
                    <w:rPr>
                      <w:rFonts w:hint="eastAsia"/>
                      <w:color w:val="auto"/>
                      <w:lang w:eastAsia="zh-CN"/>
                    </w:rPr>
                    <w:t>780</w:t>
                  </w:r>
                  <w:r>
                    <w:rPr>
                      <w:color w:val="auto"/>
                      <w:lang w:eastAsia="zh-CN"/>
                    </w:rPr>
                    <w:t>米的范围，区域范围超过一级山脊线的，按照一级山脊线划定；德泽水库以上牛栏江干流区指德泽水库以上干流（包括干流源头矣纳岔口至对龙河河段）水域及两岸外延1000米的范围，区域范围超过一级山脊线的，按照一级山脊线划定。</w:t>
                  </w:r>
                </w:p>
              </w:tc>
              <w:tc>
                <w:tcPr>
                  <w:tcW w:w="945" w:type="dxa"/>
                  <w:vMerge w:val="restart"/>
                  <w:tcBorders>
                    <w:bottom w:val="nil"/>
                  </w:tcBorders>
                  <w:vAlign w:val="center"/>
                </w:tcPr>
                <w:p>
                  <w:pPr>
                    <w:kinsoku/>
                    <w:jc w:val="center"/>
                    <w:rPr>
                      <w:color w:val="auto"/>
                      <w:lang w:eastAsia="zh-CN"/>
                    </w:rPr>
                  </w:pPr>
                  <w:r>
                    <w:rPr>
                      <w:rFonts w:hint="eastAsia"/>
                      <w:color w:val="auto"/>
                      <w:lang w:eastAsia="zh-CN"/>
                    </w:rPr>
                    <w:t>本项目位于</w:t>
                  </w:r>
                  <w:r>
                    <w:rPr>
                      <w:rFonts w:hint="eastAsia"/>
                    </w:rPr>
                    <w:t>花庄河</w:t>
                  </w:r>
                  <w:r>
                    <w:rPr>
                      <w:rFonts w:hint="eastAsia"/>
                      <w:lang w:eastAsia="zh-CN"/>
                    </w:rPr>
                    <w:t>（</w:t>
                  </w:r>
                  <w:r>
                    <w:rPr>
                      <w:rFonts w:hint="eastAsia"/>
                      <w:lang w:val="en-US" w:eastAsia="zh-CN"/>
                    </w:rPr>
                    <w:t>对龙河</w:t>
                  </w:r>
                  <w:r>
                    <w:rPr>
                      <w:rFonts w:hint="eastAsia"/>
                      <w:lang w:eastAsia="zh-CN"/>
                    </w:rPr>
                    <w:t>）</w:t>
                  </w:r>
                  <w:r>
                    <w:rPr>
                      <w:rFonts w:hint="eastAsia"/>
                      <w:color w:val="auto"/>
                      <w:lang w:eastAsia="zh-CN"/>
                    </w:rPr>
                    <w:t>东南面1247</w:t>
                  </w:r>
                  <w:r>
                    <w:rPr>
                      <w:color w:val="auto"/>
                      <w:lang w:eastAsia="zh-CN"/>
                    </w:rPr>
                    <w:t>m</w:t>
                  </w:r>
                  <w:r>
                    <w:rPr>
                      <w:rFonts w:hint="eastAsia"/>
                      <w:color w:val="auto"/>
                      <w:lang w:eastAsia="zh-CN"/>
                    </w:rPr>
                    <w:t>处，属于牛栏江流域</w:t>
                  </w:r>
                </w:p>
                <w:p>
                  <w:pPr>
                    <w:kinsoku/>
                    <w:jc w:val="center"/>
                    <w:rPr>
                      <w:color w:val="auto"/>
                      <w:lang w:eastAsia="zh-CN"/>
                    </w:rPr>
                  </w:pPr>
                  <w:r>
                    <w:rPr>
                      <w:rFonts w:hint="eastAsia"/>
                      <w:color w:val="auto"/>
                      <w:lang w:eastAsia="zh-CN"/>
                    </w:rPr>
                    <w:t>重点污染控制区</w:t>
                  </w:r>
                  <w:r>
                    <w:rPr>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jc w:val="center"/>
              </w:trPr>
              <w:tc>
                <w:tcPr>
                  <w:tcW w:w="1163" w:type="dxa"/>
                  <w:vAlign w:val="center"/>
                </w:tcPr>
                <w:p>
                  <w:pPr>
                    <w:kinsoku/>
                    <w:jc w:val="center"/>
                    <w:rPr>
                      <w:color w:val="auto"/>
                    </w:rPr>
                  </w:pPr>
                  <w:r>
                    <w:rPr>
                      <w:color w:val="auto"/>
                    </w:rPr>
                    <w:t>重点污染控制区</w:t>
                  </w:r>
                </w:p>
              </w:tc>
              <w:tc>
                <w:tcPr>
                  <w:tcW w:w="4668" w:type="dxa"/>
                  <w:vAlign w:val="center"/>
                </w:tcPr>
                <w:p>
                  <w:pPr>
                    <w:kinsoku/>
                    <w:jc w:val="center"/>
                    <w:rPr>
                      <w:color w:val="auto"/>
                      <w:lang w:eastAsia="zh-CN"/>
                    </w:rPr>
                  </w:pPr>
                  <w:r>
                    <w:rPr>
                      <w:color w:val="auto"/>
                      <w:lang w:eastAsia="zh-CN"/>
                    </w:rPr>
                    <w:t>为水源保护核心区以外，流域范围内的坝址以及花庄河、果马河、普沙河、弥良河、对龙河、杨林河、匡郎河、前进河、马龙河水域及两岸外延3000米的区域，区域范围超过一级山脊线的，按照一级山脊线划定。</w:t>
                  </w:r>
                </w:p>
              </w:tc>
              <w:tc>
                <w:tcPr>
                  <w:tcW w:w="945" w:type="dxa"/>
                  <w:vMerge w:val="continue"/>
                  <w:tcBorders>
                    <w:top w:val="nil"/>
                    <w:bottom w:val="nil"/>
                  </w:tcBorders>
                  <w:vAlign w:val="center"/>
                </w:tcPr>
                <w:p>
                  <w:pPr>
                    <w:kinsoku/>
                    <w:jc w:val="cente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1163" w:type="dxa"/>
                  <w:vAlign w:val="center"/>
                </w:tcPr>
                <w:p>
                  <w:pPr>
                    <w:kinsoku/>
                    <w:jc w:val="center"/>
                    <w:rPr>
                      <w:color w:val="auto"/>
                    </w:rPr>
                  </w:pPr>
                  <w:r>
                    <w:rPr>
                      <w:color w:val="auto"/>
                    </w:rPr>
                    <w:t>重点水源涵养区</w:t>
                  </w:r>
                </w:p>
              </w:tc>
              <w:tc>
                <w:tcPr>
                  <w:tcW w:w="4668" w:type="dxa"/>
                  <w:vAlign w:val="center"/>
                </w:tcPr>
                <w:p>
                  <w:pPr>
                    <w:kinsoku/>
                    <w:jc w:val="center"/>
                    <w:rPr>
                      <w:color w:val="auto"/>
                      <w:lang w:eastAsia="zh-CN"/>
                    </w:rPr>
                  </w:pPr>
                  <w:r>
                    <w:rPr>
                      <w:color w:val="auto"/>
                      <w:lang w:eastAsia="zh-CN"/>
                    </w:rPr>
                    <w:t>为流域范围内除水源保护核心区、重点污染控制区以外的集水区域。</w:t>
                  </w:r>
                </w:p>
              </w:tc>
              <w:tc>
                <w:tcPr>
                  <w:tcW w:w="945" w:type="dxa"/>
                  <w:vMerge w:val="continue"/>
                  <w:tcBorders>
                    <w:top w:val="nil"/>
                  </w:tcBorders>
                  <w:vAlign w:val="center"/>
                </w:tcPr>
                <w:p>
                  <w:pPr>
                    <w:kinsoku/>
                    <w:jc w:val="center"/>
                    <w:rPr>
                      <w:color w:val="auto"/>
                      <w:lang w:eastAsia="zh-CN"/>
                    </w:rPr>
                  </w:pPr>
                </w:p>
              </w:tc>
            </w:tr>
          </w:tbl>
          <w:p>
            <w:pPr>
              <w:pStyle w:val="22"/>
              <w:kinsoku/>
              <w:spacing w:before="38" w:line="350" w:lineRule="auto"/>
              <w:ind w:left="111" w:right="102" w:firstLine="479"/>
              <w:jc w:val="both"/>
              <w:rPr>
                <w:rFonts w:hint="eastAsia"/>
                <w:color w:val="auto"/>
                <w:lang w:eastAsia="zh-CN"/>
              </w:rPr>
            </w:pPr>
            <w:r>
              <w:rPr>
                <w:color w:val="auto"/>
                <w:spacing w:val="2"/>
                <w:lang w:eastAsia="zh-CN"/>
              </w:rPr>
              <w:t>根据表</w:t>
            </w:r>
            <w:r>
              <w:rPr>
                <w:rFonts w:ascii="Times New Roman" w:hAnsi="Times New Roman" w:eastAsia="Times New Roman" w:cs="Times New Roman"/>
                <w:color w:val="auto"/>
                <w:spacing w:val="2"/>
                <w:lang w:eastAsia="zh-CN"/>
              </w:rPr>
              <w:t>1-</w:t>
            </w:r>
            <w:r>
              <w:rPr>
                <w:rFonts w:hint="eastAsia" w:ascii="Times New Roman" w:hAnsi="Times New Roman" w:cs="Times New Roman"/>
                <w:color w:val="auto"/>
                <w:spacing w:val="2"/>
                <w:lang w:eastAsia="zh-CN"/>
              </w:rPr>
              <w:t>11</w:t>
            </w:r>
            <w:r>
              <w:rPr>
                <w:color w:val="auto"/>
                <w:spacing w:val="2"/>
                <w:lang w:eastAsia="zh-CN"/>
              </w:rPr>
              <w:t>分析，项目所在地位于牛栏江流域重点污染控制区范</w:t>
            </w:r>
            <w:r>
              <w:rPr>
                <w:color w:val="auto"/>
                <w:spacing w:val="3"/>
                <w:lang w:eastAsia="zh-CN"/>
              </w:rPr>
              <w:t>围内，本项目以《云南省牛栏江保护条例》规定的牛栏江流</w:t>
            </w:r>
            <w:r>
              <w:rPr>
                <w:color w:val="auto"/>
                <w:spacing w:val="2"/>
                <w:lang w:eastAsia="zh-CN"/>
              </w:rPr>
              <w:t>域上游保</w:t>
            </w:r>
            <w:r>
              <w:rPr>
                <w:color w:val="auto"/>
                <w:spacing w:val="-1"/>
                <w:lang w:eastAsia="zh-CN"/>
              </w:rPr>
              <w:t>护区重点污染控制区保护要求符合性如下：</w:t>
            </w:r>
          </w:p>
          <w:p>
            <w:pPr>
              <w:pStyle w:val="22"/>
              <w:kinsoku/>
              <w:spacing w:before="28" w:line="227" w:lineRule="auto"/>
              <w:ind w:left="823"/>
              <w:rPr>
                <w:rFonts w:hint="eastAsia"/>
                <w:color w:val="auto"/>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12</w:t>
            </w:r>
            <w:r>
              <w:rPr>
                <w:b/>
                <w:bCs/>
                <w:color w:val="auto"/>
                <w:spacing w:val="7"/>
                <w:sz w:val="20"/>
                <w:szCs w:val="20"/>
                <w:lang w:eastAsia="zh-CN"/>
              </w:rPr>
              <w:t>本项目与牛栏江流域重点污染控制区保护要求符合性分析</w:t>
            </w:r>
          </w:p>
          <w:p>
            <w:pPr>
              <w:kinsoku/>
              <w:spacing w:line="133" w:lineRule="exact"/>
              <w:rPr>
                <w:color w:val="auto"/>
                <w:lang w:eastAsia="zh-CN"/>
              </w:rPr>
            </w:pPr>
          </w:p>
          <w:tbl>
            <w:tblPr>
              <w:tblStyle w:val="21"/>
              <w:tblW w:w="68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27"/>
              <w:gridCol w:w="2284"/>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3427" w:type="dxa"/>
                  <w:vAlign w:val="center"/>
                </w:tcPr>
                <w:p>
                  <w:pPr>
                    <w:kinsoku/>
                    <w:jc w:val="center"/>
                    <w:rPr>
                      <w:b/>
                      <w:bCs/>
                      <w:color w:val="auto"/>
                      <w:lang w:eastAsia="zh-CN"/>
                    </w:rPr>
                  </w:pPr>
                  <w:r>
                    <w:rPr>
                      <w:b/>
                      <w:bCs/>
                      <w:color w:val="auto"/>
                      <w:lang w:eastAsia="zh-CN"/>
                    </w:rPr>
                    <w:t>重点污染控制区的禁止行为</w:t>
                  </w:r>
                </w:p>
              </w:tc>
              <w:tc>
                <w:tcPr>
                  <w:tcW w:w="2284" w:type="dxa"/>
                  <w:vAlign w:val="center"/>
                </w:tcPr>
                <w:p>
                  <w:pPr>
                    <w:kinsoku/>
                    <w:jc w:val="center"/>
                    <w:rPr>
                      <w:b/>
                      <w:bCs/>
                      <w:color w:val="auto"/>
                    </w:rPr>
                  </w:pPr>
                  <w:r>
                    <w:rPr>
                      <w:b/>
                      <w:bCs/>
                      <w:color w:val="auto"/>
                    </w:rPr>
                    <w:t>本项目情况</w:t>
                  </w:r>
                </w:p>
              </w:tc>
              <w:tc>
                <w:tcPr>
                  <w:tcW w:w="1095" w:type="dxa"/>
                  <w:vAlign w:val="center"/>
                </w:tcPr>
                <w:p>
                  <w:pPr>
                    <w:kinsoku/>
                    <w:jc w:val="center"/>
                    <w:rPr>
                      <w:b/>
                      <w:bCs/>
                      <w:color w:val="auto"/>
                    </w:rPr>
                  </w:pPr>
                  <w:r>
                    <w:rPr>
                      <w:b/>
                      <w:bCs/>
                      <w:color w:val="auto"/>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3427" w:type="dxa"/>
                  <w:vAlign w:val="center"/>
                </w:tcPr>
                <w:p>
                  <w:pPr>
                    <w:kinsoku/>
                    <w:jc w:val="center"/>
                    <w:rPr>
                      <w:color w:val="auto"/>
                      <w:lang w:eastAsia="zh-CN"/>
                    </w:rPr>
                  </w:pPr>
                  <w:r>
                    <w:rPr>
                      <w:color w:val="auto"/>
                      <w:lang w:eastAsia="zh-CN"/>
                    </w:rPr>
                    <w:t>（一）盗伐、滥伐林木和破坏草地；</w:t>
                  </w:r>
                </w:p>
              </w:tc>
              <w:tc>
                <w:tcPr>
                  <w:tcW w:w="2284" w:type="dxa"/>
                  <w:vAlign w:val="center"/>
                </w:tcPr>
                <w:p>
                  <w:pPr>
                    <w:kinsoku/>
                    <w:jc w:val="center"/>
                    <w:rPr>
                      <w:color w:val="auto"/>
                    </w:rPr>
                  </w:pPr>
                  <w:r>
                    <w:rPr>
                      <w:color w:val="auto"/>
                    </w:rPr>
                    <w:t>无此行为</w:t>
                  </w:r>
                </w:p>
              </w:tc>
              <w:tc>
                <w:tcPr>
                  <w:tcW w:w="1095" w:type="dxa"/>
                  <w:vAlign w:val="center"/>
                </w:tcPr>
                <w:p>
                  <w:pPr>
                    <w:kinsoku/>
                    <w:jc w:val="center"/>
                    <w:rPr>
                      <w:color w:val="auto"/>
                    </w:rPr>
                  </w:pPr>
                  <w:r>
                    <w:rPr>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427" w:type="dxa"/>
                  <w:vAlign w:val="center"/>
                </w:tcPr>
                <w:p>
                  <w:pPr>
                    <w:kinsoku/>
                    <w:jc w:val="both"/>
                    <w:rPr>
                      <w:color w:val="auto"/>
                      <w:lang w:eastAsia="zh-CN"/>
                    </w:rPr>
                  </w:pPr>
                  <w:r>
                    <w:rPr>
                      <w:color w:val="auto"/>
                      <w:lang w:eastAsia="zh-CN"/>
                    </w:rPr>
                    <w:t>（二）使用高毒、高残留农药；</w:t>
                  </w:r>
                </w:p>
              </w:tc>
              <w:tc>
                <w:tcPr>
                  <w:tcW w:w="2284" w:type="dxa"/>
                  <w:vAlign w:val="center"/>
                </w:tcPr>
                <w:p>
                  <w:pPr>
                    <w:kinsoku/>
                    <w:jc w:val="center"/>
                    <w:rPr>
                      <w:color w:val="auto"/>
                    </w:rPr>
                  </w:pPr>
                  <w:r>
                    <w:rPr>
                      <w:color w:val="auto"/>
                    </w:rPr>
                    <w:t>无此行为</w:t>
                  </w:r>
                </w:p>
              </w:tc>
              <w:tc>
                <w:tcPr>
                  <w:tcW w:w="1095" w:type="dxa"/>
                  <w:vAlign w:val="center"/>
                </w:tcPr>
                <w:p>
                  <w:pPr>
                    <w:kinsoku/>
                    <w:jc w:val="center"/>
                    <w:rPr>
                      <w:color w:val="auto"/>
                    </w:rPr>
                  </w:pPr>
                  <w:r>
                    <w:rPr>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427" w:type="dxa"/>
                  <w:vAlign w:val="center"/>
                </w:tcPr>
                <w:p>
                  <w:pPr>
                    <w:kinsoku/>
                    <w:jc w:val="center"/>
                    <w:rPr>
                      <w:color w:val="auto"/>
                      <w:lang w:eastAsia="zh-CN"/>
                    </w:rPr>
                  </w:pPr>
                  <w:r>
                    <w:rPr>
                      <w:color w:val="auto"/>
                      <w:lang w:eastAsia="zh-CN"/>
                    </w:rPr>
                    <w:t>（三）利用溶洞、渗井、渗坑、裂缝排放、倾倒含有毒有害物质的废水、废渣；</w:t>
                  </w:r>
                </w:p>
              </w:tc>
              <w:tc>
                <w:tcPr>
                  <w:tcW w:w="2284"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项目生产过程中不使用水，无生产废水外排，外排废水主要为生活污水，生活污水进入化粪池（10m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）处理，排入杨林工业园区污水管网，最终进入嵩明县第二污水处理厂处理。项目一般固废收集后出售给废品回收公司，危险废物分类收集暂存</w:t>
                  </w:r>
                </w:p>
                <w:p>
                  <w:pPr>
                    <w:kinsoku/>
                    <w:jc w:val="center"/>
                    <w:rPr>
                      <w:color w:val="auto"/>
                      <w:lang w:eastAsia="zh-CN"/>
                    </w:rPr>
                  </w:pPr>
                  <w:r>
                    <w:rPr>
                      <w:rFonts w:ascii="Times New Roman" w:hAnsi="Times New Roman" w:eastAsia="宋体" w:cs="Times New Roman"/>
                      <w:color w:val="auto"/>
                      <w:lang w:eastAsia="zh-CN"/>
                    </w:rPr>
                    <w:t>于危废暂存间，委托有危险废物处理资质的单位外运处置。</w:t>
                  </w:r>
                </w:p>
              </w:tc>
              <w:tc>
                <w:tcPr>
                  <w:tcW w:w="1095" w:type="dxa"/>
                  <w:vMerge w:val="restart"/>
                  <w:vAlign w:val="center"/>
                </w:tcPr>
                <w:p>
                  <w:pPr>
                    <w:kinsoku/>
                    <w:jc w:val="center"/>
                    <w:rPr>
                      <w:color w:val="auto"/>
                    </w:rPr>
                  </w:pPr>
                  <w:r>
                    <w:rPr>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427" w:type="dxa"/>
                  <w:vAlign w:val="center"/>
                </w:tcPr>
                <w:p>
                  <w:pPr>
                    <w:kinsoku/>
                    <w:jc w:val="center"/>
                    <w:rPr>
                      <w:color w:val="auto"/>
                      <w:lang w:eastAsia="zh-CN"/>
                    </w:rPr>
                  </w:pPr>
                  <w:r>
                    <w:rPr>
                      <w:color w:val="auto"/>
                      <w:lang w:eastAsia="zh-CN"/>
                    </w:rPr>
                    <w:t>（四）向水体排放废水、倾倒工业废渣、城镇垃圾或者其他废弃物；</w:t>
                  </w:r>
                </w:p>
              </w:tc>
              <w:tc>
                <w:tcPr>
                  <w:tcW w:w="2284" w:type="dxa"/>
                  <w:vMerge w:val="continue"/>
                  <w:vAlign w:val="center"/>
                </w:tcPr>
                <w:p>
                  <w:pPr>
                    <w:kinsoku/>
                    <w:jc w:val="center"/>
                    <w:rPr>
                      <w:color w:val="auto"/>
                      <w:lang w:eastAsia="zh-CN"/>
                    </w:rPr>
                  </w:pPr>
                </w:p>
              </w:tc>
              <w:tc>
                <w:tcPr>
                  <w:tcW w:w="1095" w:type="dxa"/>
                  <w:vMerge w:val="continue"/>
                  <w:vAlign w:val="center"/>
                </w:tcPr>
                <w:p>
                  <w:pPr>
                    <w:kinsoku/>
                    <w:jc w:val="cente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427" w:type="dxa"/>
                  <w:vAlign w:val="center"/>
                </w:tcPr>
                <w:p>
                  <w:pPr>
                    <w:kinsoku/>
                    <w:jc w:val="center"/>
                    <w:rPr>
                      <w:color w:val="auto"/>
                      <w:lang w:eastAsia="zh-CN"/>
                    </w:rPr>
                  </w:pPr>
                  <w:r>
                    <w:rPr>
                      <w:color w:val="auto"/>
                      <w:lang w:eastAsia="zh-CN"/>
                    </w:rPr>
                    <w:t>（五）在江河、渠道、水库最高水位线以下的滩地、岸坡堆放、存贮固体废弃物或者其他污染物；</w:t>
                  </w:r>
                </w:p>
              </w:tc>
              <w:tc>
                <w:tcPr>
                  <w:tcW w:w="2284" w:type="dxa"/>
                  <w:vMerge w:val="continue"/>
                  <w:vAlign w:val="center"/>
                </w:tcPr>
                <w:p>
                  <w:pPr>
                    <w:kinsoku/>
                    <w:jc w:val="center"/>
                    <w:rPr>
                      <w:color w:val="auto"/>
                      <w:lang w:eastAsia="zh-CN"/>
                    </w:rPr>
                  </w:pPr>
                </w:p>
              </w:tc>
              <w:tc>
                <w:tcPr>
                  <w:tcW w:w="1095" w:type="dxa"/>
                  <w:vMerge w:val="continue"/>
                  <w:vAlign w:val="center"/>
                </w:tcPr>
                <w:p>
                  <w:pPr>
                    <w:kinsoku/>
                    <w:jc w:val="cente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427" w:type="dxa"/>
                  <w:vAlign w:val="center"/>
                </w:tcPr>
                <w:p>
                  <w:pPr>
                    <w:kinsoku/>
                    <w:jc w:val="center"/>
                    <w:rPr>
                      <w:color w:val="auto"/>
                      <w:lang w:eastAsia="zh-CN"/>
                    </w:rPr>
                  </w:pPr>
                  <w:r>
                    <w:rPr>
                      <w:color w:val="auto"/>
                      <w:lang w:eastAsia="zh-CN"/>
                    </w:rPr>
                    <w:t>（六）利用无防渗漏措施的渠沟、坑塘等输送或者贮存含有毒污染物的废水、含病原体的污水或者其他废弃物。</w:t>
                  </w:r>
                </w:p>
              </w:tc>
              <w:tc>
                <w:tcPr>
                  <w:tcW w:w="2284" w:type="dxa"/>
                  <w:vMerge w:val="continue"/>
                  <w:vAlign w:val="center"/>
                </w:tcPr>
                <w:p>
                  <w:pPr>
                    <w:kinsoku/>
                    <w:jc w:val="center"/>
                    <w:rPr>
                      <w:color w:val="auto"/>
                      <w:lang w:eastAsia="zh-CN"/>
                    </w:rPr>
                  </w:pPr>
                </w:p>
              </w:tc>
              <w:tc>
                <w:tcPr>
                  <w:tcW w:w="1095" w:type="dxa"/>
                  <w:vMerge w:val="continue"/>
                  <w:vAlign w:val="center"/>
                </w:tcPr>
                <w:p>
                  <w:pPr>
                    <w:kinsoku/>
                    <w:jc w:val="center"/>
                    <w:rPr>
                      <w:color w:val="auto"/>
                      <w:lang w:eastAsia="zh-CN"/>
                    </w:rPr>
                  </w:pPr>
                </w:p>
              </w:tc>
            </w:tr>
          </w:tbl>
          <w:p>
            <w:pPr>
              <w:pStyle w:val="22"/>
              <w:kinsoku/>
              <w:spacing w:before="179" w:line="360" w:lineRule="auto"/>
              <w:ind w:left="0" w:leftChars="0" w:firstLine="418" w:firstLineChars="170"/>
              <w:rPr>
                <w:rFonts w:hint="eastAsia"/>
                <w:color w:val="auto"/>
                <w:spacing w:val="-1"/>
                <w:lang w:eastAsia="zh-CN"/>
              </w:rPr>
            </w:pPr>
            <w:r>
              <w:rPr>
                <w:color w:val="auto"/>
                <w:spacing w:val="3"/>
                <w:lang w:eastAsia="zh-CN"/>
              </w:rPr>
              <w:t>综上所述，本项目位于牛栏江流域上游保护区重点污染控制区范围内，项目建设和运营期不涉及重点污染控制区禁止进行的</w:t>
            </w:r>
            <w:r>
              <w:rPr>
                <w:color w:val="auto"/>
                <w:spacing w:val="2"/>
                <w:lang w:eastAsia="zh-CN"/>
              </w:rPr>
              <w:t>行为，因</w:t>
            </w:r>
            <w:r>
              <w:rPr>
                <w:color w:val="auto"/>
                <w:spacing w:val="-1"/>
                <w:lang w:eastAsia="zh-CN"/>
              </w:rPr>
              <w:t>此本项目的建设符合《云南省牛栏江保护条例》的要求。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21" w:firstLineChars="175"/>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10、与</w:t>
            </w:r>
            <w:r>
              <w:rPr>
                <w:rFonts w:hint="default" w:ascii="Times New Roman" w:hAnsi="Times New Roman" w:eastAsia="宋体" w:cs="Times New Roman"/>
                <w:b/>
                <w:bCs/>
                <w:color w:val="auto"/>
                <w:kern w:val="0"/>
                <w:sz w:val="24"/>
                <w:szCs w:val="24"/>
                <w:highlight w:val="none"/>
                <w:lang w:val="en-US" w:eastAsia="zh-CN"/>
              </w:rPr>
              <w:t>《牛栏江流域（云南部分）水环境保护规划（2009-2030）》</w:t>
            </w:r>
            <w:r>
              <w:rPr>
                <w:rFonts w:hint="eastAsia" w:ascii="Times New Roman" w:hAnsi="Times New Roman" w:eastAsia="宋体" w:cs="Times New Roman"/>
                <w:b/>
                <w:bCs/>
                <w:color w:val="auto"/>
                <w:kern w:val="0"/>
                <w:sz w:val="24"/>
                <w:szCs w:val="24"/>
                <w:highlight w:val="none"/>
                <w:lang w:val="en-US" w:eastAsia="zh-CN"/>
              </w:rPr>
              <w:t>符合性分析</w:t>
            </w:r>
          </w:p>
          <w:p>
            <w:pPr>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《牛栏江流域（云南部分）水环境保护规划（2009-2030）》将牛栏江流域（云南段）分为牛栏江德泽水库以上水环境重点保护区（调水水源区）和牛栏江德泽水库以下生态环境保护区（下游区）。项目位于牛栏江</w:t>
            </w:r>
            <w:r>
              <w:rPr>
                <w:rFonts w:hint="eastAsia" w:ascii="Times New Roman" w:hAnsi="Times New Roman" w:eastAsia="宋体" w:cs="Times New Roman"/>
                <w:color w:val="auto"/>
                <w:kern w:val="2"/>
                <w:sz w:val="24"/>
                <w:szCs w:val="24"/>
                <w:highlight w:val="none"/>
                <w:lang w:val="en-US" w:eastAsia="zh-CN" w:bidi="ar-SA"/>
              </w:rPr>
              <w:t>下游</w:t>
            </w:r>
            <w:r>
              <w:rPr>
                <w:rFonts w:hint="default" w:ascii="Times New Roman" w:hAnsi="Times New Roman" w:eastAsia="宋体" w:cs="Times New Roman"/>
                <w:color w:val="auto"/>
                <w:kern w:val="2"/>
                <w:sz w:val="24"/>
                <w:szCs w:val="24"/>
                <w:highlight w:val="none"/>
                <w:lang w:val="en-US" w:eastAsia="zh-CN" w:bidi="ar-SA"/>
              </w:rPr>
              <w:t>区。</w:t>
            </w:r>
            <w:r>
              <w:rPr>
                <w:rFonts w:hint="eastAsia" w:ascii="Times New Roman" w:hAnsi="Times New Roman" w:eastAsia="宋体"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项目与《牛栏江流域（云南部分）水环境保护规划（2009-2030）》</w:t>
            </w:r>
            <w:r>
              <w:rPr>
                <w:rFonts w:hint="eastAsia" w:ascii="Times New Roman" w:hAnsi="Times New Roman" w:eastAsia="宋体" w:cs="Times New Roman"/>
                <w:color w:val="auto"/>
                <w:kern w:val="2"/>
                <w:sz w:val="24"/>
                <w:szCs w:val="24"/>
                <w:highlight w:val="none"/>
                <w:lang w:val="en-US" w:eastAsia="zh-CN" w:bidi="ar-SA"/>
              </w:rPr>
              <w:t>符合性</w:t>
            </w:r>
            <w:r>
              <w:rPr>
                <w:rFonts w:hint="default" w:ascii="Times New Roman" w:hAnsi="Times New Roman" w:eastAsia="宋体" w:cs="Times New Roman"/>
                <w:color w:val="auto"/>
                <w:kern w:val="2"/>
                <w:sz w:val="24"/>
                <w:szCs w:val="24"/>
                <w:highlight w:val="none"/>
                <w:lang w:val="en-US" w:eastAsia="zh-CN" w:bidi="ar-SA"/>
              </w:rPr>
              <w:t>分析如下表所示：</w:t>
            </w:r>
          </w:p>
          <w:p>
            <w:pPr>
              <w:pStyle w:val="22"/>
              <w:kinsoku/>
              <w:adjustRightInd/>
              <w:snapToGrid/>
              <w:spacing w:line="360" w:lineRule="auto"/>
              <w:jc w:val="center"/>
              <w:rPr>
                <w:rFonts w:hint="default" w:ascii="Times New Roman" w:hAnsi="Times New Roman" w:eastAsia="宋体" w:cs="Times New Roman"/>
                <w:b/>
                <w:bCs/>
                <w:color w:val="auto"/>
                <w:spacing w:val="7"/>
                <w:sz w:val="20"/>
                <w:szCs w:val="20"/>
                <w:highlight w:val="none"/>
                <w:lang w:eastAsia="zh-CN"/>
              </w:rPr>
            </w:pPr>
            <w:r>
              <w:rPr>
                <w:rFonts w:hint="default" w:ascii="Times New Roman" w:hAnsi="Times New Roman" w:eastAsia="宋体" w:cs="Times New Roman"/>
                <w:b/>
                <w:bCs/>
                <w:color w:val="auto"/>
                <w:spacing w:val="7"/>
                <w:sz w:val="20"/>
                <w:szCs w:val="20"/>
                <w:highlight w:val="none"/>
                <w:lang w:eastAsia="zh-CN"/>
              </w:rPr>
              <w:t>表</w:t>
            </w:r>
            <w:r>
              <w:rPr>
                <w:rFonts w:hint="eastAsia" w:ascii="Times New Roman" w:hAnsi="Times New Roman" w:eastAsia="宋体" w:cs="Times New Roman"/>
                <w:b/>
                <w:bCs/>
                <w:color w:val="auto"/>
                <w:spacing w:val="7"/>
                <w:sz w:val="20"/>
                <w:szCs w:val="20"/>
                <w:highlight w:val="none"/>
                <w:lang w:val="en-US" w:eastAsia="zh-CN"/>
              </w:rPr>
              <w:t>1-</w:t>
            </w:r>
            <w:r>
              <w:rPr>
                <w:rFonts w:hint="eastAsia" w:ascii="Times New Roman" w:hAnsi="Times New Roman" w:cs="Times New Roman"/>
                <w:b/>
                <w:bCs/>
                <w:color w:val="auto"/>
                <w:spacing w:val="7"/>
                <w:sz w:val="20"/>
                <w:szCs w:val="20"/>
                <w:highlight w:val="none"/>
                <w:lang w:val="en-US" w:eastAsia="zh-CN"/>
              </w:rPr>
              <w:t>13</w:t>
            </w:r>
            <w:r>
              <w:rPr>
                <w:rFonts w:hint="eastAsia" w:ascii="Times New Roman" w:hAnsi="Times New Roman" w:eastAsia="宋体" w:cs="Times New Roman"/>
                <w:b/>
                <w:bCs/>
                <w:color w:val="auto"/>
                <w:spacing w:val="7"/>
                <w:sz w:val="20"/>
                <w:szCs w:val="20"/>
                <w:highlight w:val="none"/>
                <w:lang w:val="en-US" w:eastAsia="zh-CN"/>
              </w:rPr>
              <w:t xml:space="preserve">  </w:t>
            </w:r>
            <w:r>
              <w:rPr>
                <w:rFonts w:hint="default" w:ascii="Times New Roman" w:hAnsi="Times New Roman" w:eastAsia="宋体" w:cs="Times New Roman"/>
                <w:b/>
                <w:bCs/>
                <w:color w:val="auto"/>
                <w:spacing w:val="7"/>
                <w:sz w:val="20"/>
                <w:szCs w:val="20"/>
                <w:highlight w:val="none"/>
                <w:lang w:eastAsia="zh-CN"/>
              </w:rPr>
              <w:t>项目与牛栏江流域（云南部分）水环境保护规划协调性表</w:t>
            </w:r>
          </w:p>
          <w:tbl>
            <w:tblPr>
              <w:tblStyle w:val="16"/>
              <w:tblW w:w="6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528"/>
              <w:gridCol w:w="4256"/>
              <w:gridCol w:w="1367"/>
              <w:gridCol w:w="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240" w:type="dxa"/>
                  <w:vMerge w:val="restart"/>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序号</w:t>
                  </w:r>
                </w:p>
              </w:tc>
              <w:tc>
                <w:tcPr>
                  <w:tcW w:w="4784" w:type="dxa"/>
                  <w:gridSpan w:val="2"/>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牛栏江流域（云南部分）水环境保护规划</w:t>
                  </w:r>
                </w:p>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（2009-2030年）</w:t>
                  </w:r>
                </w:p>
              </w:tc>
              <w:tc>
                <w:tcPr>
                  <w:tcW w:w="1367" w:type="dxa"/>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kern w:val="0"/>
                      <w:szCs w:val="21"/>
                      <w:highlight w:val="none"/>
                      <w:lang w:val="en-US" w:eastAsia="zh-CN" w:bidi="ar"/>
                    </w:rPr>
                    <w:t>本项目情况</w:t>
                  </w:r>
                </w:p>
              </w:tc>
              <w:tc>
                <w:tcPr>
                  <w:tcW w:w="448" w:type="dxa"/>
                  <w:vMerge w:val="restart"/>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bCs/>
                      <w:color w:val="auto"/>
                      <w:szCs w:val="21"/>
                      <w:highlight w:val="none"/>
                      <w:lang w:eastAsia="zh-CN"/>
                    </w:rPr>
                  </w:pPr>
                  <w:r>
                    <w:rPr>
                      <w:rFonts w:hint="eastAsia" w:ascii="Times New Roman" w:hAnsi="Times New Roman" w:cs="Times New Roman"/>
                      <w:b/>
                      <w:bCs/>
                      <w:color w:val="auto"/>
                      <w:kern w:val="0"/>
                      <w:szCs w:val="21"/>
                      <w:highlight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240" w:type="dxa"/>
                  <w:vMerge w:val="continue"/>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kern w:val="0"/>
                      <w:szCs w:val="21"/>
                      <w:highlight w:val="none"/>
                      <w:lang w:bidi="ar"/>
                    </w:rPr>
                  </w:pPr>
                </w:p>
              </w:tc>
              <w:tc>
                <w:tcPr>
                  <w:tcW w:w="528" w:type="dxa"/>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项目</w:t>
                  </w:r>
                </w:p>
              </w:tc>
              <w:tc>
                <w:tcPr>
                  <w:tcW w:w="4256" w:type="dxa"/>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具体规划内容</w:t>
                  </w:r>
                </w:p>
              </w:tc>
              <w:tc>
                <w:tcPr>
                  <w:tcW w:w="1367" w:type="dxa"/>
                  <w:vMerge w:val="continue"/>
                  <w:noWrap/>
                  <w:tcMar>
                    <w:top w:w="15" w:type="dxa"/>
                    <w:left w:w="15" w:type="dxa"/>
                    <w:right w:w="15" w:type="dxa"/>
                  </w:tcMar>
                  <w:vAlign w:val="center"/>
                </w:tcPr>
                <w:p>
                  <w:pPr>
                    <w:widowControl/>
                    <w:jc w:val="both"/>
                    <w:textAlignment w:val="center"/>
                    <w:rPr>
                      <w:rFonts w:hint="default" w:ascii="Times New Roman" w:hAnsi="Times New Roman" w:cs="Times New Roman"/>
                      <w:color w:val="auto"/>
                      <w:szCs w:val="21"/>
                      <w:highlight w:val="none"/>
                    </w:rPr>
                  </w:pPr>
                </w:p>
              </w:tc>
              <w:tc>
                <w:tcPr>
                  <w:tcW w:w="448" w:type="dxa"/>
                  <w:vMerge w:val="continue"/>
                  <w:noWrap/>
                  <w:tcMar>
                    <w:top w:w="15" w:type="dxa"/>
                    <w:left w:w="15" w:type="dxa"/>
                    <w:right w:w="15" w:type="dxa"/>
                  </w:tcMar>
                  <w:vAlign w:val="center"/>
                </w:tcPr>
                <w:p>
                  <w:pPr>
                    <w:widowControl/>
                    <w:jc w:val="center"/>
                    <w:textAlignment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4" w:hRule="atLeast"/>
                <w:jc w:val="center"/>
              </w:trPr>
              <w:tc>
                <w:tcPr>
                  <w:tcW w:w="240"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w:t>
                  </w:r>
                </w:p>
              </w:tc>
              <w:tc>
                <w:tcPr>
                  <w:tcW w:w="528" w:type="dxa"/>
                  <w:noWrap/>
                  <w:tcMar>
                    <w:top w:w="15" w:type="dxa"/>
                    <w:left w:w="15" w:type="dxa"/>
                    <w:right w:w="15" w:type="dxa"/>
                  </w:tcMar>
                  <w:vAlign w:val="center"/>
                </w:tcPr>
                <w:p>
                  <w:pPr>
                    <w:widowControl/>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规划总体目标</w:t>
                  </w:r>
                </w:p>
              </w:tc>
              <w:tc>
                <w:tcPr>
                  <w:tcW w:w="4256" w:type="dxa"/>
                  <w:noWrap/>
                  <w:tcMar>
                    <w:top w:w="15" w:type="dxa"/>
                    <w:left w:w="15" w:type="dxa"/>
                    <w:right w:w="15" w:type="dxa"/>
                  </w:tcMar>
                  <w:vAlign w:val="center"/>
                </w:tcPr>
                <w:p>
                  <w:pPr>
                    <w:widowControl/>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严格控制主要污染物及有毒有害物质的排放，切实控制重点工业污染源及城镇生活污染源，大力削减农业农村面源污染负荷，加强生态保障体系建设，有效控制流域水土流失，提高水源涵养能力，保障城镇及农村饮用水安全，生态环境得到有效恢复和全面保护，确保牛栏江调水水源区和下游区水质达到并稳定保持《地表水环境质量标准》（GB3838-2002）Ⅲ类水质标准，促进区域可持续发展。</w:t>
                  </w:r>
                </w:p>
              </w:tc>
              <w:tc>
                <w:tcPr>
                  <w:tcW w:w="1367" w:type="dxa"/>
                  <w:vMerge w:val="restart"/>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项目生产过程中</w:t>
                  </w:r>
                  <w:r>
                    <w:rPr>
                      <w:rFonts w:hint="eastAsia" w:ascii="Times New Roman" w:hAnsi="Times New Roman" w:eastAsia="宋体" w:cs="Times New Roman"/>
                      <w:color w:val="auto"/>
                      <w:kern w:val="0"/>
                      <w:szCs w:val="21"/>
                      <w:highlight w:val="none"/>
                      <w:lang w:val="en-US" w:eastAsia="zh-CN" w:bidi="ar"/>
                    </w:rPr>
                    <w:t>不使用水</w:t>
                  </w:r>
                  <w:r>
                    <w:rPr>
                      <w:rFonts w:hint="default" w:ascii="Times New Roman" w:hAnsi="Times New Roman" w:cs="Times New Roman"/>
                      <w:color w:val="auto"/>
                      <w:kern w:val="0"/>
                      <w:szCs w:val="21"/>
                      <w:highlight w:val="none"/>
                      <w:lang w:bidi="ar"/>
                    </w:rPr>
                    <w:t>；</w:t>
                  </w:r>
                  <w:r>
                    <w:rPr>
                      <w:rFonts w:ascii="Times New Roman" w:hAnsi="Times New Roman" w:eastAsia="宋体" w:cs="Times New Roman"/>
                      <w:color w:val="auto"/>
                      <w:lang w:eastAsia="zh-CN"/>
                    </w:rPr>
                    <w:t>无生产废水外排，外排废水主要为生活污水，生活污水进入化粪池（10m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）处理，排入杨林工业园区污水管网，最终进入嵩明县第二污水处理厂处理</w:t>
                  </w:r>
                  <w:r>
                    <w:rPr>
                      <w:rFonts w:hint="eastAsia" w:ascii="Times New Roman" w:hAnsi="Times New Roman" w:eastAsia="宋体"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不会影响牛栏江的水质。</w:t>
                  </w:r>
                </w:p>
              </w:tc>
              <w:tc>
                <w:tcPr>
                  <w:tcW w:w="448"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1" w:hRule="atLeast"/>
                <w:jc w:val="center"/>
              </w:trPr>
              <w:tc>
                <w:tcPr>
                  <w:tcW w:w="240"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w:t>
                  </w:r>
                </w:p>
              </w:tc>
              <w:tc>
                <w:tcPr>
                  <w:tcW w:w="528" w:type="dxa"/>
                  <w:vMerge w:val="restart"/>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规划任务</w:t>
                  </w:r>
                </w:p>
              </w:tc>
              <w:tc>
                <w:tcPr>
                  <w:tcW w:w="4256" w:type="dxa"/>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落实国家产业政策和有关环保政策，实现企业废水零排放。制定“牛栏江调水水源区工业企业零排放行动计划”，到2012年12月31日，实现牛栏江调水水源区工业废水零排放。在调水水源区，通过贯彻落实国家产业政策大检查和环保设施专项检查、排污许可证制度、强制清洁生产审核等措施，确保实现园区和工业企业废水零排放。</w:t>
                  </w:r>
                </w:p>
              </w:tc>
              <w:tc>
                <w:tcPr>
                  <w:tcW w:w="1367" w:type="dxa"/>
                  <w:vMerge w:val="continue"/>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p>
              </w:tc>
              <w:tc>
                <w:tcPr>
                  <w:tcW w:w="448"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jc w:val="center"/>
              </w:trPr>
              <w:tc>
                <w:tcPr>
                  <w:tcW w:w="240"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w:t>
                  </w:r>
                </w:p>
              </w:tc>
              <w:tc>
                <w:tcPr>
                  <w:tcW w:w="528" w:type="dxa"/>
                  <w:vMerge w:val="continue"/>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p>
              </w:tc>
              <w:tc>
                <w:tcPr>
                  <w:tcW w:w="4256" w:type="dxa"/>
                  <w:noWrap/>
                  <w:tcMar>
                    <w:top w:w="15" w:type="dxa"/>
                    <w:left w:w="15" w:type="dxa"/>
                    <w:right w:w="15" w:type="dxa"/>
                  </w:tcMar>
                  <w:vAlign w:val="center"/>
                </w:tcPr>
                <w:p>
                  <w:pPr>
                    <w:widowControl/>
                    <w:jc w:val="both"/>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①严格工业企业环境管理。严格环境准入政策，避免新污染物输入。调水水源区不得建设不符合国家产业政策的工业项目及高污染工业项目，包括</w:t>
                  </w:r>
                  <w:r>
                    <w:rPr>
                      <w:rFonts w:hint="default" w:ascii="Times New Roman" w:hAnsi="Times New Roman" w:cs="Times New Roman"/>
                      <w:b/>
                      <w:bCs/>
                      <w:color w:val="auto"/>
                      <w:kern w:val="0"/>
                      <w:szCs w:val="21"/>
                      <w:highlight w:val="none"/>
                      <w:lang w:bidi="ar"/>
                    </w:rPr>
                    <w:t>污染严重的钢铁、有色冶金、基础化工、农药、电镀、造纸制浆、制革、印染、石棉制品、土硫磺和染料</w:t>
                  </w:r>
                  <w:r>
                    <w:rPr>
                      <w:rFonts w:hint="default" w:ascii="Times New Roman" w:hAnsi="Times New Roman" w:cs="Times New Roman"/>
                      <w:color w:val="auto"/>
                      <w:kern w:val="0"/>
                      <w:szCs w:val="21"/>
                      <w:highlight w:val="none"/>
                      <w:lang w:bidi="ar"/>
                    </w:rPr>
                    <w:t>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p>
                  <w:pPr>
                    <w:widowControl/>
                    <w:jc w:val="both"/>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②严格工业固体废弃物管理，实现固体废弃物安全处置。</w:t>
                  </w:r>
                </w:p>
                <w:p>
                  <w:pPr>
                    <w:widowControl/>
                    <w:jc w:val="both"/>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Cs w:val="21"/>
                      <w:highlight w:val="none"/>
                      <w:lang w:bidi="ar"/>
                    </w:rPr>
                    <w:t>发展循环经济和低碳经济。鼓励在流域内发展寻环境经济和低碳经济，建设环境友好型企业，减少污染物排放。</w:t>
                  </w:r>
                </w:p>
              </w:tc>
              <w:tc>
                <w:tcPr>
                  <w:tcW w:w="1367" w:type="dxa"/>
                  <w:noWrap/>
                  <w:tcMar>
                    <w:top w:w="15" w:type="dxa"/>
                    <w:left w:w="15" w:type="dxa"/>
                    <w:right w:w="15" w:type="dxa"/>
                  </w:tcMar>
                  <w:vAlign w:val="center"/>
                </w:tcPr>
                <w:p>
                  <w:pPr>
                    <w:widowControl/>
                    <w:jc w:val="both"/>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Cs w:val="21"/>
                      <w:highlight w:val="none"/>
                      <w:lang w:bidi="ar"/>
                    </w:rPr>
                    <w:t>项目</w:t>
                  </w:r>
                  <w:r>
                    <w:rPr>
                      <w:rFonts w:hint="eastAsia" w:ascii="Times New Roman" w:hAnsi="Times New Roman" w:eastAsia="宋体" w:cs="Times New Roman"/>
                      <w:color w:val="auto"/>
                      <w:kern w:val="0"/>
                      <w:szCs w:val="21"/>
                      <w:highlight w:val="none"/>
                      <w:lang w:val="en-US" w:eastAsia="zh-CN" w:bidi="ar"/>
                    </w:rPr>
                    <w:t>不</w:t>
                  </w:r>
                  <w:r>
                    <w:rPr>
                      <w:rFonts w:hint="default" w:ascii="Times New Roman" w:hAnsi="Times New Roman" w:cs="Times New Roman"/>
                      <w:color w:val="auto"/>
                      <w:kern w:val="0"/>
                      <w:szCs w:val="21"/>
                      <w:highlight w:val="none"/>
                      <w:lang w:bidi="ar"/>
                    </w:rPr>
                    <w:t>位于调水水源区，项目符合国家产业政策，不属于规定中高污染项目；项目</w:t>
                  </w:r>
                  <w:r>
                    <w:rPr>
                      <w:rFonts w:hint="eastAsia" w:ascii="Times New Roman" w:hAnsi="Times New Roman" w:cs="Times New Roman"/>
                      <w:color w:val="auto"/>
                      <w:kern w:val="0"/>
                      <w:szCs w:val="21"/>
                      <w:highlight w:val="none"/>
                      <w:lang w:val="en-US" w:eastAsia="zh-CN" w:bidi="ar"/>
                    </w:rPr>
                    <w:t>无外排废水，废水零排放</w:t>
                  </w:r>
                  <w:r>
                    <w:rPr>
                      <w:rFonts w:hint="default" w:ascii="Times New Roman" w:hAnsi="Times New Roman" w:cs="Times New Roman"/>
                      <w:color w:val="auto"/>
                      <w:kern w:val="0"/>
                      <w:szCs w:val="21"/>
                      <w:highlight w:val="none"/>
                      <w:lang w:bidi="ar"/>
                    </w:rPr>
                    <w:t>；</w:t>
                  </w:r>
                  <w:r>
                    <w:rPr>
                      <w:rFonts w:hint="eastAsia" w:ascii="Times New Roman" w:hAnsi="Times New Roman" w:cs="Times New Roman"/>
                      <w:color w:val="auto"/>
                      <w:kern w:val="0"/>
                      <w:szCs w:val="21"/>
                      <w:highlight w:val="none"/>
                      <w:lang w:val="en-US" w:eastAsia="zh-CN" w:bidi="ar"/>
                    </w:rPr>
                    <w:t>项目为家具制造行业，项目生</w:t>
                  </w:r>
                  <w:r>
                    <w:rPr>
                      <w:rFonts w:ascii="Times New Roman" w:hAnsi="Times New Roman" w:eastAsia="宋体" w:cs="Times New Roman"/>
                      <w:color w:val="auto"/>
                      <w:lang w:eastAsia="zh-CN"/>
                    </w:rPr>
                    <w:t>产过</w:t>
                  </w:r>
                  <w:r>
                    <w:rPr>
                      <w:rFonts w:hint="eastAsia" w:ascii="Times New Roman" w:hAnsi="Times New Roman" w:eastAsia="宋体" w:cs="Times New Roman"/>
                      <w:color w:val="auto"/>
                      <w:lang w:eastAsia="zh-CN"/>
                    </w:rPr>
                    <w:t>程中</w:t>
                  </w:r>
                  <w:r>
                    <w:rPr>
                      <w:rFonts w:ascii="Times New Roman" w:hAnsi="Times New Roman" w:eastAsia="宋体" w:cs="Times New Roman"/>
                      <w:color w:val="auto"/>
                      <w:lang w:eastAsia="zh-CN"/>
                    </w:rPr>
                    <w:t>产生的</w:t>
                  </w:r>
                  <w:r>
                    <w:rPr>
                      <w:rFonts w:hint="eastAsia" w:ascii="Times New Roman" w:hAnsi="Times New Roman" w:eastAsia="宋体" w:cs="Times New Roman"/>
                      <w:color w:val="auto"/>
                      <w:lang w:val="en-US" w:eastAsia="zh-CN"/>
                    </w:rPr>
                    <w:t>废胶、废胶桶、</w:t>
                  </w:r>
                  <w:r>
                    <w:rPr>
                      <w:rFonts w:ascii="Times New Roman" w:hAnsi="Times New Roman" w:eastAsia="宋体" w:cs="Times New Roman"/>
                      <w:color w:val="auto"/>
                      <w:lang w:eastAsia="zh-CN"/>
                    </w:rPr>
                    <w:t>废边角料、收尘灰</w:t>
                  </w:r>
                  <w:r>
                    <w:rPr>
                      <w:rFonts w:hint="eastAsia" w:ascii="Times New Roman" w:hAnsi="Times New Roman" w:cs="Times New Roman"/>
                      <w:color w:val="auto"/>
                      <w:kern w:val="0"/>
                      <w:szCs w:val="21"/>
                      <w:highlight w:val="none"/>
                      <w:lang w:val="en-US" w:eastAsia="zh-CN" w:bidi="ar"/>
                    </w:rPr>
                    <w:t>等外售综合利用，危险废物暂存于危废暂存间委托有资质的单位定期清运。</w:t>
                  </w:r>
                </w:p>
              </w:tc>
              <w:tc>
                <w:tcPr>
                  <w:tcW w:w="448" w:type="dxa"/>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符合</w:t>
                  </w:r>
                </w:p>
              </w:tc>
            </w:tr>
          </w:tbl>
          <w:p>
            <w:pPr>
              <w:pStyle w:val="22"/>
              <w:kinsoku/>
              <w:adjustRightInd/>
              <w:snapToGrid/>
              <w:spacing w:line="360" w:lineRule="auto"/>
              <w:ind w:firstLine="480" w:firstLineChars="200"/>
              <w:jc w:val="both"/>
              <w:rPr>
                <w:rFonts w:ascii="Times New Roman" w:hAnsi="Times New Roman" w:cs="Times New Roman"/>
                <w:color w:val="auto"/>
                <w:spacing w:val="-1"/>
                <w:highlight w:val="none"/>
                <w:lang w:eastAsia="zh-CN"/>
              </w:rPr>
            </w:pPr>
            <w:r>
              <w:rPr>
                <w:rFonts w:hint="eastAsia" w:ascii="Times New Roman" w:hAnsi="Times New Roman" w:eastAsia="宋体" w:cs="Times New Roman"/>
                <w:color w:val="auto"/>
                <w:kern w:val="2"/>
                <w:sz w:val="24"/>
                <w:szCs w:val="24"/>
                <w:highlight w:val="none"/>
                <w:lang w:val="en-US" w:eastAsia="zh-CN" w:bidi="ar-SA"/>
              </w:rPr>
              <w:t>由上表可知，项目建设符合</w:t>
            </w:r>
            <w:r>
              <w:rPr>
                <w:rFonts w:hint="default" w:ascii="Times New Roman" w:hAnsi="Times New Roman" w:eastAsia="宋体" w:cs="Times New Roman"/>
                <w:color w:val="auto"/>
                <w:kern w:val="2"/>
                <w:sz w:val="24"/>
                <w:szCs w:val="24"/>
                <w:highlight w:val="none"/>
                <w:lang w:val="en-US" w:eastAsia="zh-CN" w:bidi="ar-SA"/>
              </w:rPr>
              <w:t>《牛栏江流域（云南部分）水环境保护规划（2009-2030）》</w:t>
            </w:r>
            <w:r>
              <w:rPr>
                <w:rFonts w:hint="eastAsia" w:ascii="Times New Roman" w:hAnsi="Times New Roman" w:eastAsia="宋体" w:cs="Times New Roman"/>
                <w:color w:val="auto"/>
                <w:kern w:val="2"/>
                <w:sz w:val="24"/>
                <w:szCs w:val="24"/>
                <w:highlight w:val="none"/>
                <w:lang w:val="en-US" w:eastAsia="zh-CN" w:bidi="ar-SA"/>
              </w:rPr>
              <w:t>的相关要求。</w:t>
            </w:r>
          </w:p>
          <w:p>
            <w:pPr>
              <w:pStyle w:val="22"/>
              <w:kinsoku/>
              <w:adjustRightInd/>
              <w:snapToGrid/>
              <w:spacing w:line="360" w:lineRule="auto"/>
              <w:ind w:firstLine="485" w:firstLineChars="200"/>
              <w:rPr>
                <w:rFonts w:ascii="Times New Roman" w:hAnsi="Times New Roman" w:cs="Times New Roman"/>
                <w:b/>
                <w:bCs/>
                <w:color w:val="auto"/>
                <w:spacing w:val="1"/>
                <w:highlight w:val="none"/>
                <w:lang w:eastAsia="zh-CN"/>
              </w:rPr>
            </w:pPr>
            <w:r>
              <w:rPr>
                <w:rFonts w:hint="eastAsia" w:ascii="Times New Roman" w:hAnsi="Times New Roman" w:cs="Times New Roman"/>
                <w:b/>
                <w:bCs/>
                <w:color w:val="auto"/>
                <w:spacing w:val="1"/>
                <w:highlight w:val="none"/>
                <w:lang w:val="en-US" w:eastAsia="zh-CN"/>
              </w:rPr>
              <w:t>11</w:t>
            </w:r>
            <w:r>
              <w:rPr>
                <w:rFonts w:ascii="Times New Roman" w:hAnsi="Times New Roman" w:cs="Times New Roman"/>
                <w:b/>
                <w:bCs/>
                <w:color w:val="auto"/>
                <w:spacing w:val="1"/>
                <w:highlight w:val="none"/>
                <w:lang w:eastAsia="zh-CN"/>
              </w:rPr>
              <w:t>、《牛栏江（昆明段）水污染防治工作方案》的相符性分析</w:t>
            </w:r>
          </w:p>
          <w:p>
            <w:pPr>
              <w:pStyle w:val="22"/>
              <w:kinsoku/>
              <w:adjustRightInd/>
              <w:snapToGrid/>
              <w:spacing w:line="360" w:lineRule="auto"/>
              <w:ind w:firstLine="492" w:firstLineChars="200"/>
              <w:jc w:val="both"/>
              <w:rPr>
                <w:rFonts w:ascii="Times New Roman" w:hAnsi="Times New Roman" w:cs="Times New Roman"/>
                <w:color w:val="auto"/>
                <w:spacing w:val="3"/>
                <w:highlight w:val="none"/>
                <w:lang w:eastAsia="zh-CN"/>
              </w:rPr>
            </w:pPr>
            <w:r>
              <w:rPr>
                <w:rFonts w:ascii="Times New Roman" w:hAnsi="Times New Roman" w:cs="Times New Roman"/>
                <w:color w:val="auto"/>
                <w:spacing w:val="3"/>
                <w:highlight w:val="none"/>
                <w:lang w:eastAsia="zh-CN"/>
              </w:rPr>
              <w:t>项目与《昆明市人民政府关于印发牛栏江（昆明段）水污染防治工作方案的通知》（昆政办〔2011〕33号）的相符性分析见下表。</w:t>
            </w:r>
          </w:p>
          <w:p>
            <w:pPr>
              <w:pStyle w:val="22"/>
              <w:kinsoku/>
              <w:adjustRightInd/>
              <w:snapToGrid/>
              <w:spacing w:line="360" w:lineRule="auto"/>
              <w:jc w:val="center"/>
              <w:rPr>
                <w:rFonts w:ascii="Times New Roman" w:hAnsi="Times New Roman" w:cs="Times New Roman"/>
                <w:b/>
                <w:bCs/>
                <w:color w:val="auto"/>
                <w:spacing w:val="7"/>
                <w:sz w:val="20"/>
                <w:szCs w:val="20"/>
                <w:highlight w:val="none"/>
                <w:lang w:eastAsia="zh-CN"/>
              </w:rPr>
            </w:pPr>
            <w:r>
              <w:rPr>
                <w:rFonts w:ascii="Times New Roman" w:hAnsi="Times New Roman" w:cs="Times New Roman"/>
                <w:b/>
                <w:bCs/>
                <w:color w:val="auto"/>
                <w:spacing w:val="7"/>
                <w:sz w:val="20"/>
                <w:szCs w:val="20"/>
                <w:highlight w:val="none"/>
                <w:lang w:eastAsia="zh-CN"/>
              </w:rPr>
              <w:t>表1-</w:t>
            </w:r>
            <w:r>
              <w:rPr>
                <w:rFonts w:hint="eastAsia" w:ascii="Times New Roman" w:hAnsi="Times New Roman" w:cs="Times New Roman"/>
                <w:b/>
                <w:bCs/>
                <w:color w:val="auto"/>
                <w:spacing w:val="7"/>
                <w:sz w:val="20"/>
                <w:szCs w:val="20"/>
                <w:highlight w:val="none"/>
                <w:lang w:val="en-US" w:eastAsia="zh-CN"/>
              </w:rPr>
              <w:t xml:space="preserve">14  </w:t>
            </w:r>
            <w:r>
              <w:rPr>
                <w:rFonts w:ascii="Times New Roman" w:hAnsi="Times New Roman" w:cs="Times New Roman"/>
                <w:b/>
                <w:bCs/>
                <w:color w:val="auto"/>
                <w:spacing w:val="7"/>
                <w:sz w:val="20"/>
                <w:szCs w:val="20"/>
                <w:highlight w:val="none"/>
                <w:lang w:eastAsia="zh-CN"/>
              </w:rPr>
              <w:t>项目与《牛栏江（昆明段）水污染防治工作方案》符合性分析</w:t>
            </w:r>
          </w:p>
          <w:tbl>
            <w:tblPr>
              <w:tblStyle w:val="17"/>
              <w:tblW w:w="7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6"/>
              <w:gridCol w:w="21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066" w:type="dxa"/>
                  <w:vAlign w:val="center"/>
                </w:tcPr>
                <w:p>
                  <w:pPr>
                    <w:widowControl/>
                    <w:kinsoku/>
                    <w:adjustRightInd/>
                    <w:snapToGrid/>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方案的防治要求</w:t>
                  </w:r>
                </w:p>
              </w:tc>
              <w:tc>
                <w:tcPr>
                  <w:tcW w:w="2100" w:type="dxa"/>
                  <w:vAlign w:val="center"/>
                </w:tcPr>
                <w:p>
                  <w:pPr>
                    <w:widowControl/>
                    <w:kinsoku/>
                    <w:adjustRightInd/>
                    <w:snapToGrid/>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本项目情况</w:t>
                  </w:r>
                </w:p>
              </w:tc>
              <w:tc>
                <w:tcPr>
                  <w:tcW w:w="918" w:type="dxa"/>
                  <w:vAlign w:val="center"/>
                </w:tcPr>
                <w:p>
                  <w:pPr>
                    <w:widowControl w:val="0"/>
                    <w:kinsoku/>
                    <w:adjustRightInd/>
                    <w:snapToGrid/>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6"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引导产业发展。合理规划布局产业发展方向。禁止新建不符合国家产业政策的工业项目。禁止在牛栏江流域（昆明段）新建高污染工业项目，包括污染严重的钢铁、冶炼、基础化工、农药、电镀、造纸制浆、制革、印染、磷化工、石棉制品、土硫磺、土磷肥和染料等企业和项目。对原有的该类企业实施逐步、有计划地搬迁和淘汰。根据牛栏江流域（昆明段）水污染防治要求，修编工业园区产业发展规划，并进行规划环评。新建工业项目必须按照园区产业发展规划和规划环评的要求进入工业园区，鼓励在工业园区发展以机械加工为主的废水“零排放”企业。</w:t>
                  </w:r>
                </w:p>
              </w:tc>
              <w:tc>
                <w:tcPr>
                  <w:tcW w:w="2100"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本项目属于</w:t>
                  </w:r>
                  <w:r>
                    <w:rPr>
                      <w:rFonts w:hint="eastAsia" w:ascii="Times New Roman" w:hAnsi="Times New Roman" w:eastAsia="宋体" w:cs="Times New Roman"/>
                      <w:color w:val="auto"/>
                      <w:highlight w:val="none"/>
                      <w:lang w:val="en-US" w:eastAsia="zh-CN"/>
                    </w:rPr>
                    <w:t>家具制造</w:t>
                  </w:r>
                  <w:r>
                    <w:rPr>
                      <w:rFonts w:ascii="Times New Roman" w:hAnsi="Times New Roman" w:eastAsia="宋体" w:cs="Times New Roman"/>
                      <w:color w:val="auto"/>
                      <w:highlight w:val="none"/>
                      <w:lang w:eastAsia="zh-CN"/>
                    </w:rPr>
                    <w:t>业，符合国家产业政策的工业项目、不属于禁止建设的高污染工业项目。</w:t>
                  </w:r>
                </w:p>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项目位于</w:t>
                  </w:r>
                  <w:r>
                    <w:rPr>
                      <w:rFonts w:hint="eastAsia" w:ascii="Times New Roman" w:hAnsi="Times New Roman" w:eastAsia="宋体" w:cs="Times New Roman"/>
                      <w:color w:val="auto"/>
                      <w:highlight w:val="none"/>
                      <w:lang w:val="en-US" w:eastAsia="zh-CN"/>
                    </w:rPr>
                    <w:t>云南嵩明杨林工业园区</w:t>
                  </w:r>
                  <w:r>
                    <w:rPr>
                      <w:rFonts w:ascii="Times New Roman" w:hAnsi="Times New Roman" w:eastAsia="宋体" w:cs="Times New Roman"/>
                      <w:color w:val="auto"/>
                      <w:highlight w:val="none"/>
                      <w:lang w:eastAsia="zh-CN"/>
                    </w:rPr>
                    <w:t>，</w:t>
                  </w:r>
                  <w:r>
                    <w:rPr>
                      <w:rFonts w:hint="eastAsia"/>
                    </w:rPr>
                    <w:t>项目不产生生产废水，生活污水可排入园区污水管网，最终进入嵩明县第二污水处理厂处理</w:t>
                  </w:r>
                  <w:r>
                    <w:rPr>
                      <w:rFonts w:ascii="Times New Roman" w:hAnsi="Times New Roman" w:eastAsia="宋体" w:cs="Times New Roman"/>
                      <w:color w:val="auto"/>
                      <w:spacing w:val="3"/>
                      <w:highlight w:val="none"/>
                      <w:lang w:eastAsia="zh-CN"/>
                    </w:rPr>
                    <w:t>。</w:t>
                  </w:r>
                </w:p>
              </w:tc>
              <w:tc>
                <w:tcPr>
                  <w:tcW w:w="918" w:type="dxa"/>
                  <w:vAlign w:val="center"/>
                </w:tcPr>
                <w:p>
                  <w:pPr>
                    <w:widowControl/>
                    <w:kinsoku/>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6"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淘汰落后产能。组织对牛栏江流域（昆明段）的工业企业进行全面排查，按照《产业结构调整指导目录》（2005本）和《国务院关于进一步加强淘汰落后产能工作的通知》（国发〔2010〕7号）的要求，坚决取缔淘汰不符合国家产业政策的落后产能和工艺设备。</w:t>
                  </w:r>
                </w:p>
              </w:tc>
              <w:tc>
                <w:tcPr>
                  <w:tcW w:w="2100"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本项目主要生产</w:t>
                  </w:r>
                  <w:r>
                    <w:rPr>
                      <w:rFonts w:hint="eastAsia" w:ascii="Times New Roman" w:hAnsi="Times New Roman" w:eastAsia="宋体" w:cs="Times New Roman"/>
                      <w:color w:val="auto"/>
                      <w:highlight w:val="none"/>
                      <w:lang w:val="en-US" w:eastAsia="zh-CN"/>
                    </w:rPr>
                    <w:t>组合家具</w:t>
                  </w:r>
                  <w:r>
                    <w:rPr>
                      <w:rFonts w:ascii="Times New Roman" w:hAnsi="Times New Roman" w:eastAsia="宋体" w:cs="Times New Roman"/>
                      <w:color w:val="auto"/>
                      <w:highlight w:val="none"/>
                      <w:lang w:eastAsia="zh-CN"/>
                    </w:rPr>
                    <w:t>，项目已取得投资项目备案证，不属于淘汰的落后产能，符合国家及地方产业政策要求。</w:t>
                  </w:r>
                </w:p>
              </w:tc>
              <w:tc>
                <w:tcPr>
                  <w:tcW w:w="918" w:type="dxa"/>
                  <w:vAlign w:val="center"/>
                </w:tcPr>
                <w:p>
                  <w:pPr>
                    <w:widowControl/>
                    <w:kinsoku/>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6"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实现企业废水零排放。停止审批新增工业废水的项目。已有的合法工业企业应升级改造，于2011年12月31日前全面实现牛栏江流域（昆明段）工业废水零排放。</w:t>
                  </w:r>
                </w:p>
              </w:tc>
              <w:tc>
                <w:tcPr>
                  <w:tcW w:w="2100" w:type="dxa"/>
                  <w:vAlign w:val="center"/>
                </w:tcPr>
                <w:p>
                  <w:pPr>
                    <w:widowControl/>
                    <w:kinsoku/>
                    <w:adjustRightInd/>
                    <w:snapToGrid/>
                    <w:jc w:val="both"/>
                    <w:rPr>
                      <w:rFonts w:ascii="Times New Roman" w:hAnsi="Times New Roman" w:eastAsia="宋体" w:cs="Times New Roman"/>
                      <w:color w:val="auto"/>
                      <w:highlight w:val="none"/>
                      <w:lang w:eastAsia="zh-CN"/>
                    </w:rPr>
                  </w:pPr>
                  <w:r>
                    <w:rPr>
                      <w:rFonts w:hint="eastAsia"/>
                    </w:rPr>
                    <w:t>项目不产生生产废水，生活污水可排入园区污水管网，最终进入嵩明县第二污水处理厂处理</w:t>
                  </w:r>
                  <w:r>
                    <w:rPr>
                      <w:rFonts w:ascii="Times New Roman" w:hAnsi="Times New Roman" w:eastAsia="宋体" w:cs="Times New Roman"/>
                      <w:color w:val="auto"/>
                      <w:spacing w:val="3"/>
                      <w:highlight w:val="none"/>
                      <w:lang w:eastAsia="zh-CN"/>
                    </w:rPr>
                    <w:t>。</w:t>
                  </w:r>
                </w:p>
              </w:tc>
              <w:tc>
                <w:tcPr>
                  <w:tcW w:w="918" w:type="dxa"/>
                  <w:vAlign w:val="center"/>
                </w:tcPr>
                <w:p>
                  <w:pPr>
                    <w:widowControl/>
                    <w:kinsoku/>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pPr>
              <w:pStyle w:val="22"/>
              <w:kinsoku/>
              <w:spacing w:before="36" w:line="345" w:lineRule="auto"/>
              <w:ind w:left="0" w:leftChars="0" w:right="118" w:firstLine="350" w:firstLineChars="145"/>
              <w:rPr>
                <w:rFonts w:hint="eastAsia" w:ascii="Times New Roman" w:hAnsi="Times New Roman" w:eastAsia="Times New Roman" w:cs="Times New Roman"/>
                <w:b/>
                <w:bCs/>
                <w:color w:val="auto"/>
                <w:spacing w:val="1"/>
                <w:lang w:eastAsia="zh-CN"/>
              </w:rPr>
            </w:pPr>
            <w:r>
              <w:rPr>
                <w:rFonts w:ascii="Times New Roman" w:hAnsi="Times New Roman" w:cs="Times New Roman"/>
                <w:color w:val="auto"/>
                <w:spacing w:val="1"/>
                <w:highlight w:val="none"/>
                <w:lang w:eastAsia="zh-CN"/>
              </w:rPr>
              <w:t>由上表可知，项目与《昆明市人民政府关于印发牛栏江（昆明段）水污染防治工作方案的通知》（昆政办〔2011〕33号）相关要求不冲突。</w:t>
            </w:r>
          </w:p>
          <w:p>
            <w:pPr>
              <w:pStyle w:val="22"/>
              <w:kinsoku/>
              <w:spacing w:before="36" w:line="345" w:lineRule="auto"/>
              <w:ind w:left="112" w:right="118" w:firstLine="476"/>
              <w:rPr>
                <w:rFonts w:hint="eastAsia"/>
                <w:color w:val="auto"/>
                <w:lang w:eastAsia="zh-CN"/>
              </w:rPr>
            </w:pPr>
            <w:r>
              <w:rPr>
                <w:rFonts w:hint="eastAsia" w:ascii="Times New Roman" w:hAnsi="Times New Roman" w:eastAsia="Times New Roman" w:cs="Times New Roman"/>
                <w:b/>
                <w:bCs/>
                <w:color w:val="auto"/>
                <w:spacing w:val="1"/>
                <w:lang w:eastAsia="zh-CN"/>
              </w:rPr>
              <w:t>1</w:t>
            </w:r>
            <w:r>
              <w:rPr>
                <w:rFonts w:hint="eastAsia" w:ascii="Times New Roman" w:hAnsi="Times New Roman" w:eastAsia="Times New Roman" w:cs="Times New Roman"/>
                <w:b/>
                <w:bCs/>
                <w:color w:val="auto"/>
                <w:spacing w:val="1"/>
                <w:lang w:val="en-US" w:eastAsia="zh-CN"/>
              </w:rPr>
              <w:t>2</w:t>
            </w:r>
            <w:r>
              <w:rPr>
                <w:b/>
                <w:bCs/>
                <w:color w:val="auto"/>
                <w:spacing w:val="1"/>
                <w:lang w:eastAsia="zh-CN"/>
              </w:rPr>
              <w:t>、与《牛栏江流域（嵩明段）水环境保护规划（</w:t>
            </w:r>
            <w:r>
              <w:rPr>
                <w:rFonts w:ascii="Times New Roman" w:hAnsi="Times New Roman" w:eastAsia="Times New Roman" w:cs="Times New Roman"/>
                <w:b/>
                <w:bCs/>
                <w:color w:val="auto"/>
                <w:spacing w:val="1"/>
                <w:lang w:eastAsia="zh-CN"/>
              </w:rPr>
              <w:t>2009</w:t>
            </w:r>
            <w:r>
              <w:rPr>
                <w:rFonts w:ascii="Times New Roman" w:hAnsi="Times New Roman" w:eastAsia="Times New Roman" w:cs="Times New Roman"/>
                <w:b/>
                <w:bCs/>
                <w:color w:val="auto"/>
                <w:lang w:eastAsia="zh-CN"/>
              </w:rPr>
              <w:t>-2030</w:t>
            </w:r>
            <w:r>
              <w:rPr>
                <w:b/>
                <w:bCs/>
                <w:color w:val="auto"/>
                <w:lang w:eastAsia="zh-CN"/>
              </w:rPr>
              <w:t>）》</w:t>
            </w:r>
            <w:r>
              <w:rPr>
                <w:b/>
                <w:bCs/>
                <w:color w:val="auto"/>
                <w:spacing w:val="-4"/>
                <w:lang w:eastAsia="zh-CN"/>
              </w:rPr>
              <w:t>符合性分析</w:t>
            </w:r>
          </w:p>
          <w:p>
            <w:pPr>
              <w:pStyle w:val="22"/>
              <w:kinsoku/>
              <w:spacing w:before="34" w:line="353" w:lineRule="auto"/>
              <w:ind w:left="111" w:right="102" w:firstLine="479"/>
              <w:rPr>
                <w:rFonts w:hint="eastAsia"/>
                <w:color w:val="auto"/>
                <w:lang w:eastAsia="zh-CN"/>
              </w:rPr>
            </w:pPr>
            <w:r>
              <w:rPr>
                <w:color w:val="auto"/>
                <w:lang w:eastAsia="zh-CN"/>
              </w:rPr>
              <w:t>根据《牛栏江流域（嵩明段）水环境保护规划（</w:t>
            </w:r>
            <w:r>
              <w:rPr>
                <w:rFonts w:ascii="Times New Roman" w:hAnsi="Times New Roman" w:eastAsia="Times New Roman" w:cs="Times New Roman"/>
                <w:color w:val="auto"/>
                <w:lang w:eastAsia="zh-CN"/>
              </w:rPr>
              <w:t>2009-2030</w:t>
            </w:r>
            <w:r>
              <w:rPr>
                <w:color w:val="auto"/>
                <w:lang w:eastAsia="zh-CN"/>
              </w:rPr>
              <w:t>）》分</w:t>
            </w:r>
            <w:r>
              <w:rPr>
                <w:color w:val="auto"/>
                <w:spacing w:val="3"/>
                <w:lang w:eastAsia="zh-CN"/>
              </w:rPr>
              <w:t>区结果，牛栏江流域（嵩明段）共分为三个区进行保护，包</w:t>
            </w:r>
            <w:r>
              <w:rPr>
                <w:color w:val="auto"/>
                <w:spacing w:val="2"/>
                <w:lang w:eastAsia="zh-CN"/>
              </w:rPr>
              <w:t>括水源保</w:t>
            </w:r>
            <w:r>
              <w:rPr>
                <w:color w:val="auto"/>
                <w:spacing w:val="3"/>
                <w:lang w:eastAsia="zh-CN"/>
              </w:rPr>
              <w:t>护核心区（禁建区、限建区）、重点污染控制区和重点水源涵</w:t>
            </w:r>
            <w:r>
              <w:rPr>
                <w:color w:val="auto"/>
                <w:spacing w:val="2"/>
                <w:lang w:eastAsia="zh-CN"/>
              </w:rPr>
              <w:t>养区，</w:t>
            </w:r>
            <w:r>
              <w:rPr>
                <w:color w:val="auto"/>
                <w:spacing w:val="-1"/>
                <w:lang w:eastAsia="zh-CN"/>
              </w:rPr>
              <w:t>本项目所属流域分区分析如下：</w:t>
            </w:r>
          </w:p>
          <w:p>
            <w:pPr>
              <w:pStyle w:val="22"/>
              <w:kinsoku/>
              <w:spacing w:before="29" w:line="227" w:lineRule="auto"/>
              <w:ind w:left="823"/>
              <w:rPr>
                <w:rFonts w:hint="eastAsia"/>
                <w:color w:val="auto"/>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5</w:t>
            </w:r>
            <w:r>
              <w:rPr>
                <w:b/>
                <w:bCs/>
                <w:color w:val="auto"/>
                <w:spacing w:val="7"/>
                <w:sz w:val="20"/>
                <w:szCs w:val="20"/>
                <w:lang w:eastAsia="zh-CN"/>
              </w:rPr>
              <w:t>本项目与牛栏江流域（嵩明段）水环境保护规划范围分析</w:t>
            </w:r>
          </w:p>
          <w:p>
            <w:pPr>
              <w:kinsoku/>
              <w:spacing w:line="131" w:lineRule="exact"/>
              <w:rPr>
                <w:color w:val="auto"/>
                <w:lang w:eastAsia="zh-CN"/>
              </w:rPr>
            </w:pPr>
          </w:p>
          <w:tbl>
            <w:tblPr>
              <w:tblStyle w:val="21"/>
              <w:tblW w:w="6861"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4"/>
              <w:gridCol w:w="4518"/>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1274" w:type="dxa"/>
                  <w:vAlign w:val="center"/>
                </w:tcPr>
                <w:p>
                  <w:pPr>
                    <w:kinsoku/>
                    <w:jc w:val="center"/>
                    <w:rPr>
                      <w:color w:val="auto"/>
                    </w:rPr>
                  </w:pPr>
                  <w:r>
                    <w:rPr>
                      <w:color w:val="auto"/>
                    </w:rPr>
                    <w:t>保护分区</w:t>
                  </w:r>
                </w:p>
              </w:tc>
              <w:tc>
                <w:tcPr>
                  <w:tcW w:w="4518" w:type="dxa"/>
                  <w:vAlign w:val="center"/>
                </w:tcPr>
                <w:p>
                  <w:pPr>
                    <w:kinsoku/>
                    <w:jc w:val="center"/>
                    <w:rPr>
                      <w:color w:val="auto"/>
                    </w:rPr>
                  </w:pPr>
                  <w:r>
                    <w:rPr>
                      <w:color w:val="auto"/>
                    </w:rPr>
                    <w:t>保护区范围</w:t>
                  </w:r>
                </w:p>
              </w:tc>
              <w:tc>
                <w:tcPr>
                  <w:tcW w:w="1069" w:type="dxa"/>
                  <w:vAlign w:val="center"/>
                </w:tcPr>
                <w:p>
                  <w:pPr>
                    <w:kinsoku/>
                    <w:jc w:val="center"/>
                    <w:rPr>
                      <w:color w:val="auto"/>
                    </w:rPr>
                  </w:pPr>
                  <w:r>
                    <w:rPr>
                      <w:color w:val="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1274" w:type="dxa"/>
                  <w:vAlign w:val="center"/>
                </w:tcPr>
                <w:p>
                  <w:pPr>
                    <w:kinsoku/>
                    <w:jc w:val="center"/>
                    <w:rPr>
                      <w:color w:val="auto"/>
                    </w:rPr>
                  </w:pPr>
                  <w:r>
                    <w:rPr>
                      <w:color w:val="auto"/>
                    </w:rPr>
                    <w:t>水源保护核心区</w:t>
                  </w:r>
                </w:p>
              </w:tc>
              <w:tc>
                <w:tcPr>
                  <w:tcW w:w="4518" w:type="dxa"/>
                  <w:vAlign w:val="center"/>
                </w:tcPr>
                <w:p>
                  <w:pPr>
                    <w:kinsoku/>
                    <w:jc w:val="center"/>
                    <w:rPr>
                      <w:color w:val="auto"/>
                      <w:lang w:eastAsia="zh-CN"/>
                    </w:rPr>
                  </w:pPr>
                  <w:r>
                    <w:rPr>
                      <w:color w:val="auto"/>
                      <w:lang w:eastAsia="zh-CN"/>
                    </w:rPr>
                    <w:t>范围为牛栏江流域嵩明段干流、对龙河（矣纳岔口-嘉丽泽段）和果马河两岸外延1000米，若区域范围超过一级山脊线，按一级山脊线划定。水源保护核心区划为禁止建设区、限制建设区两个区，禁止建设区范围指干流河面水域及其沿岸外延200米的区域，若区域范围超过一级山脊线，按一级山脊线划定；禁止建设区范围指水域沿岸外延200-1000米之间区域，若区域范围超过一级山脊线，按一级山脊线划定。禁止建设区水域水土与陆域保护处于同一级地位。</w:t>
                  </w:r>
                </w:p>
              </w:tc>
              <w:tc>
                <w:tcPr>
                  <w:tcW w:w="1069" w:type="dxa"/>
                  <w:vMerge w:val="restart"/>
                  <w:vAlign w:val="center"/>
                </w:tcPr>
                <w:p>
                  <w:pPr>
                    <w:kinsoku/>
                    <w:jc w:val="center"/>
                    <w:rPr>
                      <w:color w:val="auto"/>
                      <w:lang w:eastAsia="zh-CN"/>
                    </w:rPr>
                  </w:pPr>
                  <w:r>
                    <w:rPr>
                      <w:rFonts w:hint="eastAsia"/>
                      <w:color w:val="auto"/>
                      <w:lang w:eastAsia="zh-CN"/>
                    </w:rPr>
                    <w:t>本项目位于</w:t>
                  </w:r>
                  <w:r>
                    <w:rPr>
                      <w:rFonts w:hint="eastAsia"/>
                    </w:rPr>
                    <w:t>花庄河</w:t>
                  </w:r>
                  <w:r>
                    <w:rPr>
                      <w:rFonts w:hint="eastAsia"/>
                      <w:lang w:eastAsia="zh-CN"/>
                    </w:rPr>
                    <w:t>（</w:t>
                  </w:r>
                  <w:r>
                    <w:rPr>
                      <w:rFonts w:hint="eastAsia"/>
                      <w:lang w:val="en-US" w:eastAsia="zh-CN"/>
                    </w:rPr>
                    <w:t>对龙河</w:t>
                  </w:r>
                  <w:r>
                    <w:rPr>
                      <w:rFonts w:hint="eastAsia"/>
                      <w:lang w:eastAsia="zh-CN"/>
                    </w:rPr>
                    <w:t>）</w:t>
                  </w:r>
                  <w:r>
                    <w:rPr>
                      <w:rFonts w:hint="eastAsia"/>
                      <w:color w:val="auto"/>
                      <w:lang w:eastAsia="zh-CN"/>
                    </w:rPr>
                    <w:t>东南面 1247</w:t>
                  </w:r>
                  <w:r>
                    <w:rPr>
                      <w:color w:val="auto"/>
                      <w:lang w:eastAsia="zh-CN"/>
                    </w:rPr>
                    <w:t>m</w:t>
                  </w:r>
                  <w:r>
                    <w:rPr>
                      <w:rFonts w:hint="eastAsia"/>
                      <w:color w:val="auto"/>
                      <w:lang w:eastAsia="zh-CN"/>
                    </w:rPr>
                    <w:t>处，属于牛栏江流域重点污染控制区。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1274" w:type="dxa"/>
                  <w:vAlign w:val="center"/>
                </w:tcPr>
                <w:p>
                  <w:pPr>
                    <w:kinsoku/>
                    <w:jc w:val="center"/>
                    <w:rPr>
                      <w:color w:val="auto"/>
                    </w:rPr>
                  </w:pPr>
                  <w:r>
                    <w:rPr>
                      <w:color w:val="auto"/>
                    </w:rPr>
                    <w:t>重点污染控制区</w:t>
                  </w:r>
                </w:p>
              </w:tc>
              <w:tc>
                <w:tcPr>
                  <w:tcW w:w="4518" w:type="dxa"/>
                  <w:vAlign w:val="center"/>
                </w:tcPr>
                <w:p>
                  <w:pPr>
                    <w:kinsoku/>
                    <w:jc w:val="center"/>
                    <w:rPr>
                      <w:color w:val="auto"/>
                      <w:lang w:eastAsia="zh-CN"/>
                    </w:rPr>
                  </w:pPr>
                  <w:r>
                    <w:rPr>
                      <w:color w:val="auto"/>
                      <w:lang w:eastAsia="zh-CN"/>
                    </w:rPr>
                    <w:t>指水体保护核心区外，主要入江支流水域外延3000米的区域和流域范围内的坝区，若区域范围超过一级山脊线，按一级山脊线划定。</w:t>
                  </w:r>
                </w:p>
              </w:tc>
              <w:tc>
                <w:tcPr>
                  <w:tcW w:w="1069" w:type="dxa"/>
                  <w:vMerge w:val="continue"/>
                  <w:vAlign w:val="center"/>
                </w:tcPr>
                <w:p>
                  <w:pPr>
                    <w:kinsoku/>
                    <w:jc w:val="center"/>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1274" w:type="dxa"/>
                  <w:vAlign w:val="center"/>
                </w:tcPr>
                <w:p>
                  <w:pPr>
                    <w:kinsoku/>
                    <w:jc w:val="center"/>
                    <w:rPr>
                      <w:color w:val="auto"/>
                    </w:rPr>
                  </w:pPr>
                  <w:r>
                    <w:rPr>
                      <w:color w:val="auto"/>
                    </w:rPr>
                    <w:t>重点水源涵养区</w:t>
                  </w:r>
                </w:p>
              </w:tc>
              <w:tc>
                <w:tcPr>
                  <w:tcW w:w="4518" w:type="dxa"/>
                  <w:vAlign w:val="center"/>
                </w:tcPr>
                <w:p>
                  <w:pPr>
                    <w:kinsoku/>
                    <w:jc w:val="center"/>
                    <w:rPr>
                      <w:color w:val="auto"/>
                      <w:lang w:eastAsia="zh-CN"/>
                    </w:rPr>
                  </w:pPr>
                  <w:r>
                    <w:rPr>
                      <w:color w:val="auto"/>
                      <w:lang w:eastAsia="zh-CN"/>
                    </w:rPr>
                    <w:t>指流域范围内除水源保护核心区、重点污染控制区以外的集水区域。</w:t>
                  </w:r>
                </w:p>
              </w:tc>
              <w:tc>
                <w:tcPr>
                  <w:tcW w:w="1069" w:type="dxa"/>
                  <w:vMerge w:val="continue"/>
                  <w:vAlign w:val="center"/>
                </w:tcPr>
                <w:p>
                  <w:pPr>
                    <w:kinsoku/>
                    <w:jc w:val="center"/>
                    <w:rPr>
                      <w:color w:val="auto"/>
                      <w:lang w:eastAsia="zh-CN"/>
                    </w:rPr>
                  </w:pPr>
                </w:p>
              </w:tc>
            </w:tr>
          </w:tbl>
          <w:p>
            <w:pPr>
              <w:pStyle w:val="22"/>
              <w:kinsoku/>
              <w:spacing w:before="34" w:line="353" w:lineRule="auto"/>
              <w:ind w:left="117" w:right="17" w:firstLine="480"/>
              <w:jc w:val="both"/>
              <w:rPr>
                <w:rFonts w:hint="eastAsia"/>
                <w:color w:val="auto"/>
                <w:lang w:eastAsia="zh-CN"/>
              </w:rPr>
            </w:pPr>
            <w:r>
              <w:rPr>
                <w:color w:val="auto"/>
                <w:spacing w:val="2"/>
                <w:lang w:eastAsia="zh-CN"/>
              </w:rPr>
              <w:t>根据表</w:t>
            </w:r>
            <w:r>
              <w:rPr>
                <w:rFonts w:ascii="Times New Roman" w:hAnsi="Times New Roman" w:eastAsia="Times New Roman" w:cs="Times New Roman"/>
                <w:color w:val="auto"/>
                <w:spacing w:val="2"/>
                <w:lang w:eastAsia="zh-CN"/>
              </w:rPr>
              <w:t>1-</w:t>
            </w:r>
            <w:r>
              <w:rPr>
                <w:rFonts w:hint="eastAsia" w:ascii="Times New Roman" w:hAnsi="Times New Roman" w:cs="Times New Roman"/>
                <w:color w:val="auto"/>
                <w:spacing w:val="2"/>
                <w:lang w:eastAsia="zh-CN"/>
              </w:rPr>
              <w:t>1</w:t>
            </w:r>
            <w:r>
              <w:rPr>
                <w:rFonts w:hint="eastAsia" w:ascii="Times New Roman" w:hAnsi="Times New Roman" w:cs="Times New Roman"/>
                <w:color w:val="auto"/>
                <w:spacing w:val="2"/>
                <w:lang w:val="en-US" w:eastAsia="zh-CN"/>
              </w:rPr>
              <w:t>5</w:t>
            </w:r>
            <w:r>
              <w:rPr>
                <w:color w:val="auto"/>
                <w:spacing w:val="2"/>
                <w:lang w:eastAsia="zh-CN"/>
              </w:rPr>
              <w:t>分析，本项目所在地位于牛栏江流域（嵩明段）重点</w:t>
            </w:r>
            <w:r>
              <w:rPr>
                <w:color w:val="auto"/>
                <w:spacing w:val="3"/>
                <w:lang w:eastAsia="zh-CN"/>
              </w:rPr>
              <w:t>污染控制区范围内，本项目与《牛栏江流域（嵩明段）水环境保</w:t>
            </w:r>
            <w:r>
              <w:rPr>
                <w:color w:val="auto"/>
                <w:spacing w:val="2"/>
                <w:lang w:eastAsia="zh-CN"/>
              </w:rPr>
              <w:t>护规</w:t>
            </w:r>
            <w:r>
              <w:rPr>
                <w:color w:val="auto"/>
                <w:spacing w:val="4"/>
                <w:lang w:eastAsia="zh-CN"/>
              </w:rPr>
              <w:t>划（</w:t>
            </w:r>
            <w:r>
              <w:rPr>
                <w:rFonts w:ascii="Times New Roman" w:hAnsi="Times New Roman" w:eastAsia="Times New Roman" w:cs="Times New Roman"/>
                <w:color w:val="auto"/>
                <w:spacing w:val="4"/>
                <w:lang w:eastAsia="zh-CN"/>
              </w:rPr>
              <w:t>2009-20</w:t>
            </w:r>
            <w:r>
              <w:rPr>
                <w:rFonts w:hint="eastAsia" w:ascii="Times New Roman" w:hAnsi="Times New Roman" w:eastAsia="Times New Roman" w:cs="Times New Roman"/>
                <w:color w:val="auto"/>
                <w:spacing w:val="4"/>
                <w:lang w:eastAsia="zh-CN"/>
              </w:rPr>
              <w:t>2</w:t>
            </w:r>
            <w:r>
              <w:rPr>
                <w:rFonts w:ascii="Times New Roman" w:hAnsi="Times New Roman" w:eastAsia="Times New Roman" w:cs="Times New Roman"/>
                <w:color w:val="auto"/>
                <w:spacing w:val="4"/>
                <w:lang w:eastAsia="zh-CN"/>
              </w:rPr>
              <w:t>3</w:t>
            </w:r>
            <w:r>
              <w:rPr>
                <w:color w:val="auto"/>
                <w:spacing w:val="4"/>
                <w:lang w:eastAsia="zh-CN"/>
              </w:rPr>
              <w:t>）》规定的牛栏江流域重点污染</w:t>
            </w:r>
            <w:r>
              <w:rPr>
                <w:color w:val="auto"/>
                <w:spacing w:val="3"/>
                <w:lang w:eastAsia="zh-CN"/>
              </w:rPr>
              <w:t>控制区保护要求符合性</w:t>
            </w:r>
            <w:r>
              <w:rPr>
                <w:color w:val="auto"/>
                <w:spacing w:val="-3"/>
                <w:lang w:eastAsia="zh-CN"/>
              </w:rPr>
              <w:t>如下：</w:t>
            </w:r>
          </w:p>
          <w:p>
            <w:pPr>
              <w:pStyle w:val="22"/>
              <w:kinsoku/>
              <w:spacing w:before="179" w:line="360" w:lineRule="auto"/>
              <w:jc w:val="center"/>
              <w:rPr>
                <w:rFonts w:hint="eastAsia"/>
                <w:b/>
                <w:bCs/>
                <w:color w:val="auto"/>
                <w:spacing w:val="7"/>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6</w:t>
            </w:r>
            <w:r>
              <w:rPr>
                <w:b/>
                <w:bCs/>
                <w:color w:val="auto"/>
                <w:spacing w:val="7"/>
                <w:sz w:val="20"/>
                <w:szCs w:val="20"/>
                <w:lang w:eastAsia="zh-CN"/>
              </w:rPr>
              <w:t>本项目与牛栏江流域（嵩明段）重点污染控制区保护要求分析</w:t>
            </w:r>
          </w:p>
          <w:tbl>
            <w:tblPr>
              <w:tblStyle w:val="17"/>
              <w:tblW w:w="7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9"/>
              <w:gridCol w:w="2895"/>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9" w:type="dxa"/>
                  <w:vAlign w:val="center"/>
                </w:tcPr>
                <w:p>
                  <w:pPr>
                    <w:widowControl w:val="0"/>
                    <w:kinsoku/>
                    <w:jc w:val="center"/>
                    <w:rPr>
                      <w:color w:val="auto"/>
                      <w:lang w:eastAsia="zh-CN"/>
                    </w:rPr>
                  </w:pPr>
                  <w:r>
                    <w:rPr>
                      <w:color w:val="auto"/>
                      <w:lang w:eastAsia="zh-CN"/>
                    </w:rPr>
                    <w:t>重点污染控制区的保护要求</w:t>
                  </w:r>
                </w:p>
              </w:tc>
              <w:tc>
                <w:tcPr>
                  <w:tcW w:w="2895" w:type="dxa"/>
                  <w:vAlign w:val="center"/>
                </w:tcPr>
                <w:p>
                  <w:pPr>
                    <w:widowControl w:val="0"/>
                    <w:kinsoku/>
                    <w:jc w:val="center"/>
                    <w:rPr>
                      <w:color w:val="auto"/>
                    </w:rPr>
                  </w:pPr>
                  <w:r>
                    <w:rPr>
                      <w:color w:val="auto"/>
                    </w:rPr>
                    <w:t>本项目情况</w:t>
                  </w:r>
                </w:p>
              </w:tc>
              <w:tc>
                <w:tcPr>
                  <w:tcW w:w="796" w:type="dxa"/>
                  <w:vAlign w:val="center"/>
                </w:tcPr>
                <w:p>
                  <w:pPr>
                    <w:widowControl w:val="0"/>
                    <w:kinsoku/>
                    <w:jc w:val="center"/>
                    <w:rPr>
                      <w:color w:val="auto"/>
                    </w:rPr>
                  </w:pPr>
                  <w:r>
                    <w:rPr>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9" w:type="dxa"/>
                  <w:vAlign w:val="center"/>
                </w:tcPr>
                <w:p>
                  <w:pPr>
                    <w:widowControl w:val="0"/>
                    <w:kinsoku/>
                    <w:jc w:val="center"/>
                    <w:rPr>
                      <w:color w:val="auto"/>
                      <w:lang w:eastAsia="zh-CN"/>
                    </w:rPr>
                  </w:pPr>
                  <w:r>
                    <w:rPr>
                      <w:color w:val="auto"/>
                      <w:lang w:eastAsia="zh-CN"/>
                    </w:rPr>
                    <w:t>1）重点工业污染源的监督与管理加强对重点工业污染源的监管，确保牛栏江流域（嵩明段）内重点企业污水稳定达标排放并限期实现</w:t>
                  </w:r>
                  <w:r>
                    <w:rPr>
                      <w:rFonts w:hint="eastAsia"/>
                      <w:color w:val="auto"/>
                      <w:lang w:eastAsia="zh-CN"/>
                    </w:rPr>
                    <w:t>“</w:t>
                  </w:r>
                  <w:r>
                    <w:rPr>
                      <w:color w:val="auto"/>
                      <w:lang w:eastAsia="zh-CN"/>
                    </w:rPr>
                    <w:t>零排放</w:t>
                  </w:r>
                  <w:r>
                    <w:rPr>
                      <w:rFonts w:hint="eastAsia"/>
                      <w:color w:val="auto"/>
                      <w:lang w:eastAsia="zh-CN"/>
                    </w:rPr>
                    <w:t>”</w:t>
                  </w:r>
                  <w:r>
                    <w:rPr>
                      <w:color w:val="auto"/>
                      <w:lang w:eastAsia="zh-CN"/>
                    </w:rPr>
                    <w:t>，固体废弃物最大程度重复利用和安全处置，消除工业企业的环境安全隐患，确保环保设施的正常运行，杜绝工业企业偷排、漏排污染物现象。</w:t>
                  </w:r>
                </w:p>
              </w:tc>
              <w:tc>
                <w:tcPr>
                  <w:tcW w:w="2895" w:type="dxa"/>
                  <w:vAlign w:val="center"/>
                </w:tcPr>
                <w:p>
                  <w:pPr>
                    <w:widowControl w:val="0"/>
                    <w:kinsoku/>
                    <w:jc w:val="center"/>
                    <w:rPr>
                      <w:color w:val="auto"/>
                    </w:rPr>
                  </w:pPr>
                  <w:r>
                    <w:rPr>
                      <w:rFonts w:ascii="Times New Roman" w:hAnsi="Times New Roman" w:eastAsia="宋体" w:cs="Times New Roman"/>
                      <w:color w:val="auto"/>
                      <w:lang w:eastAsia="zh-CN"/>
                    </w:rPr>
                    <w:t>项目生产过程中不使用水，无生产废水外排，外排废水主要为生活污水，生活污水进入化粪池（10m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）处理，排入杨林工业园区污水管网，最终进入嵩明县第二污水处理厂处理。项目一般固废收集后出售给废品回收公司，危险废物分类收集暂存于危废暂存间，委托有危险废物处理资质的单位外运处置。</w:t>
                  </w:r>
                  <w:r>
                    <w:rPr>
                      <w:rFonts w:ascii="Times New Roman" w:hAnsi="Times New Roman" w:eastAsia="宋体" w:cs="Times New Roman"/>
                      <w:color w:val="auto"/>
                    </w:rPr>
                    <w:t>固体废物处置率为100%。</w:t>
                  </w:r>
                </w:p>
              </w:tc>
              <w:tc>
                <w:tcPr>
                  <w:tcW w:w="796"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9" w:type="dxa"/>
                  <w:vAlign w:val="center"/>
                </w:tcPr>
                <w:p>
                  <w:pPr>
                    <w:widowControl w:val="0"/>
                    <w:kinsoku/>
                    <w:jc w:val="center"/>
                    <w:rPr>
                      <w:color w:val="auto"/>
                      <w:lang w:eastAsia="zh-CN"/>
                    </w:rPr>
                  </w:pPr>
                  <w:r>
                    <w:rPr>
                      <w:color w:val="auto"/>
                      <w:lang w:eastAsia="zh-CN"/>
                    </w:rPr>
                    <w:t>2）加强工业园区的监督与环境准入政策①建设园区污水处理厂和雨污分流管网收集系统、建设再生水回用系统、废水事故处理系统、固体废弃物处置设施、园区生态化改造等工程体系，实现工业园区工业废水的循环利用，固体废弃物重复利用和安全处置。</w:t>
                  </w:r>
                </w:p>
                <w:p>
                  <w:pPr>
                    <w:widowControl w:val="0"/>
                    <w:kinsoku/>
                    <w:jc w:val="center"/>
                    <w:rPr>
                      <w:color w:val="auto"/>
                      <w:lang w:eastAsia="zh-CN"/>
                    </w:rPr>
                  </w:pPr>
                  <w:r>
                    <w:rPr>
                      <w:color w:val="auto"/>
                      <w:lang w:eastAsia="zh-CN"/>
                    </w:rPr>
                    <w:t>②严格环境准入政策，污染控制区内不得建设不符合国家产业政策的工业项目及高污染工业项目；新建工业项目废水不得排放有毒有害物质，改扩建项目不得新增CODcr、TN、TP排放量；新建、改建、扩建工业项目应采用先进的生产工艺和污染防治技术，其清洁生产水平应达到国家清洁生产标准中的国内先进水平。</w:t>
                  </w:r>
                </w:p>
              </w:tc>
              <w:tc>
                <w:tcPr>
                  <w:tcW w:w="2895"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①项目生产过程中不使用水，无生产废水外排，外排废水主要为生活污水，生活污水进入化粪池（10m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）处理，排入杨林工业园区污水管网，最终进入嵩明县第二污水处理厂处理。</w:t>
                  </w:r>
                </w:p>
                <w:p>
                  <w:pPr>
                    <w:widowControl w:val="0"/>
                    <w:kinsoku/>
                    <w:jc w:val="center"/>
                    <w:rPr>
                      <w:color w:val="auto"/>
                      <w:lang w:eastAsia="zh-CN"/>
                    </w:rPr>
                  </w:pPr>
                  <w:r>
                    <w:rPr>
                      <w:rFonts w:ascii="Times New Roman" w:hAnsi="Times New Roman" w:eastAsia="宋体" w:cs="Times New Roman"/>
                      <w:color w:val="auto"/>
                      <w:lang w:eastAsia="zh-CN"/>
                    </w:rPr>
                    <w:t>项目运营期产生的生活垃圾集中收集后委托园区环卫部门定期清运处理；生产过</w:t>
                  </w:r>
                  <w:r>
                    <w:rPr>
                      <w:rFonts w:hint="eastAsia" w:ascii="Times New Roman" w:hAnsi="Times New Roman" w:eastAsia="宋体" w:cs="Times New Roman"/>
                      <w:color w:val="auto"/>
                      <w:lang w:eastAsia="zh-CN"/>
                    </w:rPr>
                    <w:t>程中</w:t>
                  </w:r>
                  <w:r>
                    <w:rPr>
                      <w:rFonts w:ascii="Times New Roman" w:hAnsi="Times New Roman" w:eastAsia="宋体" w:cs="Times New Roman"/>
                      <w:color w:val="auto"/>
                      <w:lang w:eastAsia="zh-CN"/>
                    </w:rPr>
                    <w:t>产生的</w:t>
                  </w:r>
                  <w:r>
                    <w:rPr>
                      <w:rFonts w:hint="eastAsia" w:ascii="Times New Roman" w:hAnsi="Times New Roman" w:eastAsia="宋体" w:cs="Times New Roman"/>
                      <w:color w:val="auto"/>
                      <w:lang w:val="en-US" w:eastAsia="zh-CN"/>
                    </w:rPr>
                    <w:t>废胶、废胶桶、</w:t>
                  </w:r>
                  <w:r>
                    <w:rPr>
                      <w:rFonts w:ascii="Times New Roman" w:hAnsi="Times New Roman" w:eastAsia="宋体" w:cs="Times New Roman"/>
                      <w:color w:val="auto"/>
                      <w:lang w:eastAsia="zh-CN"/>
                    </w:rPr>
                    <w:t>废边角料、收尘灰集中收集后外卖给回收商回收利用；</w:t>
                  </w:r>
                  <w:r>
                    <w:rPr>
                      <w:rFonts w:hint="eastAsia" w:ascii="Times New Roman" w:hAnsi="Times New Roman" w:eastAsia="宋体" w:cs="Times New Roman"/>
                      <w:color w:val="auto"/>
                      <w:lang w:eastAsia="zh-CN"/>
                    </w:rPr>
                    <w:t>废</w:t>
                  </w:r>
                  <w:r>
                    <w:rPr>
                      <w:rFonts w:hint="eastAsia" w:ascii="Times New Roman" w:hAnsi="Times New Roman" w:eastAsia="宋体" w:cs="Times New Roman"/>
                      <w:color w:val="auto"/>
                      <w:lang w:val="en-US" w:eastAsia="zh-CN"/>
                    </w:rPr>
                    <w:t>润滑油</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废活性炭、废</w:t>
                  </w:r>
                  <w:r>
                    <w:rPr>
                      <w:rFonts w:hint="eastAsia" w:ascii="Times New Roman" w:hAnsi="Times New Roman" w:eastAsia="宋体" w:cs="Times New Roman"/>
                      <w:color w:val="auto"/>
                      <w:lang w:val="en-US" w:eastAsia="zh-CN"/>
                    </w:rPr>
                    <w:t>含油棉纱、手套</w:t>
                  </w:r>
                  <w:r>
                    <w:rPr>
                      <w:rFonts w:ascii="Times New Roman" w:hAnsi="Times New Roman" w:eastAsia="宋体" w:cs="Times New Roman"/>
                      <w:color w:val="auto"/>
                      <w:lang w:eastAsia="zh-CN"/>
                    </w:rPr>
                    <w:t>等均属于危险废物，集中收集后暂存于危废暂存间，定期委托有危废处理资质的单位定期清运处理，并建立转移联单，固体废物100%合理处置，没有有毒有害物质排放。②</w:t>
                  </w:r>
                  <w:r>
                    <w:rPr>
                      <w:rFonts w:hint="eastAsia" w:ascii="Times New Roman" w:hAnsi="Times New Roman" w:eastAsia="宋体" w:cs="Times New Roman"/>
                      <w:color w:val="auto"/>
                      <w:lang w:eastAsia="zh-CN"/>
                    </w:rPr>
                    <w:t>项目</w:t>
                  </w:r>
                  <w:r>
                    <w:rPr>
                      <w:rFonts w:ascii="Times New Roman" w:hAnsi="Times New Roman" w:eastAsia="宋体" w:cs="Times New Roman"/>
                      <w:color w:val="auto"/>
                      <w:lang w:eastAsia="zh-CN"/>
                    </w:rPr>
                    <w:t>属于家具生产项目，不属于不符合国家产业政策的工业项目及高污染项目。</w:t>
                  </w:r>
                </w:p>
              </w:tc>
              <w:tc>
                <w:tcPr>
                  <w:tcW w:w="796"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29" w:type="dxa"/>
                  <w:vAlign w:val="center"/>
                </w:tcPr>
                <w:p>
                  <w:pPr>
                    <w:widowControl w:val="0"/>
                    <w:kinsoku/>
                    <w:jc w:val="center"/>
                    <w:rPr>
                      <w:color w:val="auto"/>
                      <w:lang w:eastAsia="zh-CN"/>
                    </w:rPr>
                  </w:pPr>
                  <w:r>
                    <w:rPr>
                      <w:color w:val="auto"/>
                      <w:lang w:eastAsia="zh-CN"/>
                    </w:rPr>
                    <w:t>3）加强城镇污染控制</w:t>
                  </w:r>
                </w:p>
                <w:p>
                  <w:pPr>
                    <w:widowControl w:val="0"/>
                    <w:kinsoku/>
                    <w:jc w:val="center"/>
                    <w:rPr>
                      <w:color w:val="auto"/>
                      <w:lang w:eastAsia="zh-CN"/>
                    </w:rPr>
                  </w:pPr>
                  <w:r>
                    <w:rPr>
                      <w:color w:val="auto"/>
                      <w:lang w:eastAsia="zh-CN"/>
                    </w:rPr>
                    <w:t>①城镇污水处理厂（站）的处理排放废水水质必须达到《城镇污水处理厂污染物排放标准》（GB17818-2002）一级A标准。</w:t>
                  </w:r>
                </w:p>
                <w:p>
                  <w:pPr>
                    <w:widowControl w:val="0"/>
                    <w:kinsoku/>
                    <w:jc w:val="center"/>
                    <w:rPr>
                      <w:color w:val="auto"/>
                      <w:lang w:eastAsia="zh-CN"/>
                    </w:rPr>
                  </w:pPr>
                  <w:r>
                    <w:rPr>
                      <w:color w:val="auto"/>
                      <w:lang w:eastAsia="zh-CN"/>
                    </w:rPr>
                    <w:t>②完善</w:t>
                  </w:r>
                  <w:r>
                    <w:rPr>
                      <w:rFonts w:hint="eastAsia"/>
                      <w:color w:val="auto"/>
                      <w:lang w:eastAsia="zh-CN"/>
                    </w:rPr>
                    <w:t>“</w:t>
                  </w:r>
                  <w:r>
                    <w:rPr>
                      <w:color w:val="auto"/>
                      <w:lang w:eastAsia="zh-CN"/>
                    </w:rPr>
                    <w:t>组保洁、村收集、乡（镇）转运、县（市）区处置</w:t>
                  </w:r>
                  <w:r>
                    <w:rPr>
                      <w:rFonts w:hint="eastAsia"/>
                      <w:color w:val="auto"/>
                      <w:lang w:eastAsia="zh-CN"/>
                    </w:rPr>
                    <w:t>”</w:t>
                  </w:r>
                  <w:r>
                    <w:rPr>
                      <w:color w:val="auto"/>
                      <w:lang w:eastAsia="zh-CN"/>
                    </w:rPr>
                    <w:t>的城乡生活垃圾无害化收运处置四级管理体制。</w:t>
                  </w:r>
                </w:p>
              </w:tc>
              <w:tc>
                <w:tcPr>
                  <w:tcW w:w="2895" w:type="dxa"/>
                  <w:vMerge w:val="restart"/>
                  <w:vAlign w:val="center"/>
                </w:tcPr>
                <w:p>
                  <w:pPr>
                    <w:widowControl w:val="0"/>
                    <w:kinsoku/>
                    <w:jc w:val="center"/>
                    <w:rPr>
                      <w:color w:val="auto"/>
                      <w:lang w:eastAsia="zh-CN"/>
                    </w:rPr>
                  </w:pPr>
                  <w:r>
                    <w:rPr>
                      <w:rFonts w:ascii="Times New Roman" w:hAnsi="Times New Roman" w:eastAsia="宋体" w:cs="Times New Roman"/>
                      <w:color w:val="auto"/>
                      <w:lang w:eastAsia="zh-CN"/>
                    </w:rPr>
                    <w:t>项目生产过程中不使用水，无生产废水外排，外排废水主要为生活污水，生活污水进入化粪池（10m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）处理，排入杨林工业园区污水管网，最终进入嵩明县第二污水处理厂处理。固体废物处置率为100%。</w:t>
                  </w:r>
                  <w:r>
                    <w:rPr>
                      <w:rFonts w:ascii="Times New Roman" w:hAnsi="Times New Roman" w:eastAsia="宋体" w:cs="Times New Roman"/>
                      <w:color w:val="auto"/>
                      <w:spacing w:val="8"/>
                      <w:lang w:eastAsia="zh-CN"/>
                    </w:rPr>
                    <w:t>项目位于嵩明县杨林经开区东环路东侧，景观大道北侧</w:t>
                  </w:r>
                  <w:r>
                    <w:rPr>
                      <w:rFonts w:ascii="Times New Roman" w:hAnsi="Times New Roman" w:eastAsia="宋体" w:cs="Times New Roman"/>
                      <w:color w:val="auto"/>
                      <w:spacing w:val="-5"/>
                      <w:lang w:eastAsia="zh-CN"/>
                    </w:rPr>
                    <w:t>，</w:t>
                  </w:r>
                  <w:r>
                    <w:rPr>
                      <w:rFonts w:ascii="Times New Roman" w:hAnsi="Times New Roman" w:eastAsia="宋体" w:cs="Times New Roman"/>
                      <w:color w:val="auto"/>
                      <w:spacing w:val="7"/>
                      <w:lang w:eastAsia="zh-CN"/>
                    </w:rPr>
                    <w:t>项目用地为工业用地，不涉及农村农业面源</w:t>
                  </w:r>
                  <w:r>
                    <w:rPr>
                      <w:rFonts w:hint="eastAsia" w:ascii="Times New Roman" w:hAnsi="Times New Roman" w:eastAsia="宋体" w:cs="Times New Roman"/>
                      <w:color w:val="auto"/>
                      <w:spacing w:val="7"/>
                      <w:lang w:eastAsia="zh-CN"/>
                    </w:rPr>
                    <w:t>污染</w:t>
                  </w:r>
                  <w:r>
                    <w:rPr>
                      <w:rFonts w:ascii="Times New Roman" w:hAnsi="Times New Roman" w:eastAsia="宋体" w:cs="Times New Roman"/>
                      <w:color w:val="auto"/>
                      <w:spacing w:val="7"/>
                      <w:lang w:eastAsia="zh-CN"/>
                    </w:rPr>
                    <w:t>控制区域。</w:t>
                  </w:r>
                </w:p>
              </w:tc>
              <w:tc>
                <w:tcPr>
                  <w:tcW w:w="796" w:type="dxa"/>
                  <w:vMerge w:val="restart"/>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9" w:type="dxa"/>
                  <w:vAlign w:val="center"/>
                </w:tcPr>
                <w:p>
                  <w:pPr>
                    <w:widowControl w:val="0"/>
                    <w:kinsoku/>
                    <w:jc w:val="center"/>
                    <w:rPr>
                      <w:color w:val="auto"/>
                      <w:lang w:eastAsia="zh-CN"/>
                    </w:rPr>
                  </w:pPr>
                  <w:r>
                    <w:rPr>
                      <w:color w:val="auto"/>
                      <w:lang w:eastAsia="zh-CN"/>
                    </w:rPr>
                    <w:t>4）全面控制农村农业面源</w:t>
                  </w:r>
                  <w:r>
                    <w:rPr>
                      <w:rFonts w:hint="eastAsia"/>
                      <w:color w:val="auto"/>
                      <w:lang w:eastAsia="zh-CN"/>
                    </w:rPr>
                    <w:t>污染</w:t>
                  </w:r>
                  <w:r>
                    <w:rPr>
                      <w:color w:val="auto"/>
                      <w:lang w:eastAsia="zh-CN"/>
                    </w:rPr>
                    <w:t>控制区域内全面调整种植结构，实行测土配方施肥，推广有机生物肥和化肥用量少的作物种植，从根本上减少化肥施用量。全面实施重点污染</w:t>
                  </w:r>
                  <w:r>
                    <w:rPr>
                      <w:rFonts w:hint="eastAsia"/>
                      <w:color w:val="auto"/>
                      <w:lang w:eastAsia="zh-CN"/>
                    </w:rPr>
                    <w:t>村落</w:t>
                  </w:r>
                  <w:r>
                    <w:rPr>
                      <w:color w:val="auto"/>
                      <w:lang w:eastAsia="zh-CN"/>
                    </w:rPr>
                    <w:t>生活污水、生活垃圾、畜禽养殖污染、农田固废污染，开展核心区范围外的农村环境综合整治。</w:t>
                  </w:r>
                </w:p>
              </w:tc>
              <w:tc>
                <w:tcPr>
                  <w:tcW w:w="2895" w:type="dxa"/>
                  <w:vMerge w:val="continue"/>
                  <w:vAlign w:val="center"/>
                </w:tcPr>
                <w:p>
                  <w:pPr>
                    <w:widowControl w:val="0"/>
                    <w:kinsoku/>
                    <w:jc w:val="center"/>
                    <w:rPr>
                      <w:color w:val="auto"/>
                      <w:lang w:eastAsia="zh-CN"/>
                    </w:rPr>
                  </w:pPr>
                </w:p>
              </w:tc>
              <w:tc>
                <w:tcPr>
                  <w:tcW w:w="796" w:type="dxa"/>
                  <w:vMerge w:val="continue"/>
                  <w:vAlign w:val="center"/>
                </w:tcPr>
                <w:p>
                  <w:pPr>
                    <w:widowControl w:val="0"/>
                    <w:kinsoku/>
                    <w:jc w:val="center"/>
                    <w:rPr>
                      <w:color w:val="auto"/>
                      <w:lang w:eastAsia="zh-CN"/>
                    </w:rPr>
                  </w:pPr>
                </w:p>
              </w:tc>
            </w:tr>
          </w:tbl>
          <w:p>
            <w:pPr>
              <w:pStyle w:val="22"/>
              <w:kinsoku/>
              <w:spacing w:before="36" w:line="350" w:lineRule="auto"/>
              <w:ind w:left="130" w:right="102" w:firstLine="463"/>
              <w:jc w:val="both"/>
              <w:rPr>
                <w:rFonts w:hint="eastAsia"/>
                <w:color w:val="auto"/>
                <w:lang w:eastAsia="zh-CN"/>
              </w:rPr>
            </w:pPr>
            <w:r>
              <w:rPr>
                <w:color w:val="auto"/>
                <w:spacing w:val="3"/>
                <w:lang w:eastAsia="zh-CN"/>
              </w:rPr>
              <w:t>综上所述，本项目位于牛栏江流域（嵩明段）重点污染控制区范</w:t>
            </w:r>
            <w:r>
              <w:rPr>
                <w:color w:val="auto"/>
                <w:spacing w:val="2"/>
                <w:lang w:eastAsia="zh-CN"/>
              </w:rPr>
              <w:t>围内，项目建设和运营不涉及重点污染控制区保护要求，因此本项目</w:t>
            </w:r>
            <w:r>
              <w:rPr>
                <w:color w:val="auto"/>
                <w:spacing w:val="-2"/>
                <w:lang w:eastAsia="zh-CN"/>
              </w:rPr>
              <w:t>的建设符合</w:t>
            </w:r>
            <w:r>
              <w:rPr>
                <w:color w:val="auto"/>
                <w:spacing w:val="3"/>
                <w:lang w:eastAsia="zh-CN"/>
              </w:rPr>
              <w:t>《牛栏江流域（嵩明段）水环境保</w:t>
            </w:r>
            <w:r>
              <w:rPr>
                <w:color w:val="auto"/>
                <w:spacing w:val="2"/>
                <w:lang w:eastAsia="zh-CN"/>
              </w:rPr>
              <w:t>护规</w:t>
            </w:r>
            <w:r>
              <w:rPr>
                <w:color w:val="auto"/>
                <w:spacing w:val="4"/>
                <w:lang w:eastAsia="zh-CN"/>
              </w:rPr>
              <w:t>划（</w:t>
            </w:r>
            <w:r>
              <w:rPr>
                <w:rFonts w:ascii="Times New Roman" w:hAnsi="Times New Roman" w:eastAsia="Times New Roman" w:cs="Times New Roman"/>
                <w:color w:val="auto"/>
                <w:spacing w:val="4"/>
                <w:lang w:eastAsia="zh-CN"/>
              </w:rPr>
              <w:t>2009-20</w:t>
            </w:r>
            <w:r>
              <w:rPr>
                <w:rFonts w:hint="eastAsia" w:ascii="Times New Roman" w:hAnsi="Times New Roman" w:eastAsia="Times New Roman" w:cs="Times New Roman"/>
                <w:color w:val="auto"/>
                <w:spacing w:val="4"/>
                <w:lang w:eastAsia="zh-CN"/>
              </w:rPr>
              <w:t>2</w:t>
            </w:r>
            <w:r>
              <w:rPr>
                <w:rFonts w:ascii="Times New Roman" w:hAnsi="Times New Roman" w:eastAsia="Times New Roman" w:cs="Times New Roman"/>
                <w:color w:val="auto"/>
                <w:spacing w:val="4"/>
                <w:lang w:eastAsia="zh-CN"/>
              </w:rPr>
              <w:t>3</w:t>
            </w:r>
            <w:r>
              <w:rPr>
                <w:color w:val="auto"/>
                <w:spacing w:val="4"/>
                <w:lang w:eastAsia="zh-CN"/>
              </w:rPr>
              <w:t>）》</w:t>
            </w:r>
            <w:r>
              <w:rPr>
                <w:color w:val="auto"/>
                <w:spacing w:val="-2"/>
                <w:lang w:eastAsia="zh-CN"/>
              </w:rPr>
              <w:t>的要求。</w:t>
            </w:r>
          </w:p>
          <w:p>
            <w:pPr>
              <w:pStyle w:val="22"/>
              <w:kinsoku/>
              <w:spacing w:before="35" w:line="345" w:lineRule="auto"/>
              <w:ind w:left="110" w:right="118" w:firstLine="486"/>
              <w:rPr>
                <w:rFonts w:hint="eastAsia"/>
                <w:color w:val="auto"/>
                <w:lang w:eastAsia="zh-CN"/>
              </w:rPr>
            </w:pPr>
            <w:r>
              <w:rPr>
                <w:rFonts w:ascii="Times New Roman" w:hAnsi="Times New Roman" w:eastAsia="Times New Roman" w:cs="Times New Roman"/>
                <w:b/>
                <w:bCs/>
                <w:color w:val="auto"/>
                <w:spacing w:val="-3"/>
                <w:lang w:eastAsia="zh-CN"/>
              </w:rPr>
              <w:t>1</w:t>
            </w:r>
            <w:r>
              <w:rPr>
                <w:rFonts w:hint="eastAsia" w:ascii="Times New Roman" w:hAnsi="Times New Roman" w:eastAsia="Times New Roman" w:cs="Times New Roman"/>
                <w:b/>
                <w:bCs/>
                <w:color w:val="auto"/>
                <w:spacing w:val="-3"/>
                <w:lang w:val="en-US" w:eastAsia="zh-CN"/>
              </w:rPr>
              <w:t>3</w:t>
            </w:r>
            <w:r>
              <w:rPr>
                <w:b/>
                <w:bCs/>
                <w:color w:val="auto"/>
                <w:spacing w:val="-3"/>
                <w:lang w:eastAsia="zh-CN"/>
              </w:rPr>
              <w:t>、项目与《长江经济带发展负面清单指南（试行，</w:t>
            </w:r>
            <w:r>
              <w:rPr>
                <w:rFonts w:hint="eastAsia" w:ascii="Times New Roman" w:hAnsi="Times New Roman" w:cs="Times New Roman"/>
                <w:b/>
                <w:bCs/>
                <w:color w:val="auto"/>
                <w:spacing w:val="-3"/>
                <w:lang w:eastAsia="zh-CN"/>
              </w:rPr>
              <w:t>2024</w:t>
            </w:r>
            <w:r>
              <w:rPr>
                <w:b/>
                <w:bCs/>
                <w:color w:val="auto"/>
                <w:spacing w:val="-3"/>
                <w:lang w:eastAsia="zh-CN"/>
              </w:rPr>
              <w:t>版）》</w:t>
            </w:r>
            <w:r>
              <w:rPr>
                <w:b/>
                <w:bCs/>
                <w:color w:val="auto"/>
                <w:spacing w:val="-4"/>
                <w:lang w:eastAsia="zh-CN"/>
              </w:rPr>
              <w:t>相符性分析</w:t>
            </w:r>
          </w:p>
          <w:p>
            <w:pPr>
              <w:pStyle w:val="22"/>
              <w:kinsoku/>
              <w:spacing w:before="179" w:line="360" w:lineRule="auto"/>
              <w:ind w:firstLine="476" w:firstLineChars="200"/>
              <w:rPr>
                <w:rFonts w:hint="eastAsia"/>
                <w:color w:val="auto"/>
                <w:spacing w:val="-4"/>
                <w:lang w:eastAsia="zh-CN"/>
              </w:rPr>
            </w:pPr>
            <w:r>
              <w:rPr>
                <w:rFonts w:hint="eastAsia" w:ascii="Times New Roman" w:hAnsi="Times New Roman" w:cs="Times New Roman"/>
                <w:color w:val="auto"/>
                <w:spacing w:val="-1"/>
                <w:lang w:eastAsia="zh-CN"/>
              </w:rPr>
              <w:t>2024</w:t>
            </w:r>
            <w:r>
              <w:rPr>
                <w:color w:val="auto"/>
                <w:spacing w:val="-1"/>
                <w:lang w:eastAsia="zh-CN"/>
              </w:rPr>
              <w:t>年</w:t>
            </w:r>
            <w:r>
              <w:rPr>
                <w:rFonts w:ascii="Times New Roman" w:hAnsi="Times New Roman" w:eastAsia="Times New Roman" w:cs="Times New Roman"/>
                <w:color w:val="auto"/>
                <w:spacing w:val="-1"/>
                <w:lang w:eastAsia="zh-CN"/>
              </w:rPr>
              <w:t>1</w:t>
            </w:r>
            <w:r>
              <w:rPr>
                <w:color w:val="auto"/>
                <w:spacing w:val="-1"/>
                <w:lang w:eastAsia="zh-CN"/>
              </w:rPr>
              <w:t>月</w:t>
            </w:r>
            <w:r>
              <w:rPr>
                <w:rFonts w:ascii="Times New Roman" w:hAnsi="Times New Roman" w:eastAsia="Times New Roman" w:cs="Times New Roman"/>
                <w:color w:val="auto"/>
                <w:spacing w:val="-1"/>
                <w:lang w:eastAsia="zh-CN"/>
              </w:rPr>
              <w:t>19</w:t>
            </w:r>
            <w:r>
              <w:rPr>
                <w:color w:val="auto"/>
                <w:spacing w:val="-1"/>
                <w:lang w:eastAsia="zh-CN"/>
              </w:rPr>
              <w:t>日，推动长江经济带发展领导小组办公室发布了</w:t>
            </w:r>
            <w:r>
              <w:rPr>
                <w:rFonts w:hint="eastAsia"/>
                <w:color w:val="auto"/>
                <w:spacing w:val="1"/>
                <w:lang w:eastAsia="zh-CN"/>
              </w:rPr>
              <w:t>“</w:t>
            </w:r>
            <w:r>
              <w:rPr>
                <w:color w:val="auto"/>
                <w:spacing w:val="1"/>
                <w:lang w:eastAsia="zh-CN"/>
              </w:rPr>
              <w:t>关于印发《长江经济带发展负面清单指南（试行，</w:t>
            </w:r>
            <w:r>
              <w:rPr>
                <w:rFonts w:hint="eastAsia" w:ascii="Times New Roman" w:hAnsi="Times New Roman" w:cs="Times New Roman"/>
                <w:color w:val="auto"/>
                <w:spacing w:val="1"/>
                <w:lang w:eastAsia="zh-CN"/>
              </w:rPr>
              <w:t>2024</w:t>
            </w:r>
            <w:r>
              <w:rPr>
                <w:color w:val="auto"/>
                <w:spacing w:val="1"/>
                <w:lang w:eastAsia="zh-CN"/>
              </w:rPr>
              <w:t>版）》的通</w:t>
            </w:r>
            <w:r>
              <w:rPr>
                <w:color w:val="auto"/>
                <w:spacing w:val="-3"/>
                <w:lang w:eastAsia="zh-CN"/>
              </w:rPr>
              <w:t>知</w:t>
            </w:r>
            <w:r>
              <w:rPr>
                <w:rFonts w:hint="eastAsia"/>
                <w:color w:val="auto"/>
                <w:spacing w:val="-3"/>
                <w:lang w:eastAsia="zh-CN"/>
              </w:rPr>
              <w:t>”</w:t>
            </w:r>
            <w:r>
              <w:rPr>
                <w:color w:val="auto"/>
                <w:spacing w:val="-3"/>
                <w:lang w:eastAsia="zh-CN"/>
              </w:rPr>
              <w:t>（长江办〔</w:t>
            </w:r>
            <w:r>
              <w:rPr>
                <w:rFonts w:hint="eastAsia" w:ascii="Times New Roman" w:hAnsi="Times New Roman" w:cs="Times New Roman"/>
                <w:color w:val="auto"/>
                <w:spacing w:val="-3"/>
                <w:lang w:eastAsia="zh-CN"/>
              </w:rPr>
              <w:t>2024</w:t>
            </w:r>
            <w:r>
              <w:rPr>
                <w:color w:val="auto"/>
                <w:spacing w:val="-3"/>
                <w:lang w:eastAsia="zh-CN"/>
              </w:rPr>
              <w:t>〕</w:t>
            </w:r>
            <w:r>
              <w:rPr>
                <w:rFonts w:ascii="Times New Roman" w:hAnsi="Times New Roman" w:eastAsia="Times New Roman" w:cs="Times New Roman"/>
                <w:color w:val="auto"/>
                <w:spacing w:val="-3"/>
                <w:lang w:eastAsia="zh-CN"/>
              </w:rPr>
              <w:t>7</w:t>
            </w:r>
            <w:r>
              <w:rPr>
                <w:color w:val="auto"/>
                <w:spacing w:val="-3"/>
                <w:lang w:eastAsia="zh-CN"/>
              </w:rPr>
              <w:t>号</w:t>
            </w:r>
            <w:r>
              <w:rPr>
                <w:color w:val="auto"/>
                <w:spacing w:val="5"/>
                <w:lang w:eastAsia="zh-CN"/>
              </w:rPr>
              <w:t>），</w:t>
            </w:r>
            <w:r>
              <w:rPr>
                <w:color w:val="auto"/>
                <w:spacing w:val="-3"/>
                <w:lang w:eastAsia="zh-CN"/>
              </w:rPr>
              <w:t>文件符合性分析见表1</w:t>
            </w:r>
            <w:r>
              <w:rPr>
                <w:color w:val="auto"/>
                <w:spacing w:val="-4"/>
                <w:lang w:eastAsia="zh-CN"/>
              </w:rPr>
              <w:t>-</w:t>
            </w:r>
            <w:r>
              <w:rPr>
                <w:rFonts w:hint="eastAsia"/>
                <w:color w:val="auto"/>
                <w:spacing w:val="-4"/>
                <w:lang w:eastAsia="zh-CN"/>
              </w:rPr>
              <w:t>1</w:t>
            </w:r>
            <w:r>
              <w:rPr>
                <w:rFonts w:hint="eastAsia"/>
                <w:color w:val="auto"/>
                <w:spacing w:val="-4"/>
                <w:lang w:val="en-US" w:eastAsia="zh-CN"/>
              </w:rPr>
              <w:t>7</w:t>
            </w:r>
            <w:r>
              <w:rPr>
                <w:color w:val="auto"/>
                <w:spacing w:val="-4"/>
                <w:lang w:eastAsia="zh-CN"/>
              </w:rPr>
              <w:t>。</w:t>
            </w:r>
          </w:p>
          <w:p>
            <w:pPr>
              <w:pStyle w:val="22"/>
              <w:kinsoku/>
              <w:spacing w:before="179" w:line="360" w:lineRule="auto"/>
              <w:jc w:val="center"/>
              <w:rPr>
                <w:rFonts w:hint="eastAsia"/>
                <w:b/>
                <w:bCs/>
                <w:color w:val="auto"/>
                <w:spacing w:val="7"/>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7</w:t>
            </w:r>
            <w:r>
              <w:rPr>
                <w:b/>
                <w:bCs/>
                <w:color w:val="auto"/>
                <w:spacing w:val="7"/>
                <w:sz w:val="20"/>
                <w:szCs w:val="20"/>
                <w:lang w:eastAsia="zh-CN"/>
              </w:rPr>
              <w:t>项目与《长江经济带发展负面清单指南（试行，</w:t>
            </w:r>
            <w:r>
              <w:rPr>
                <w:rFonts w:hint="eastAsia" w:ascii="Times New Roman" w:hAnsi="Times New Roman" w:cs="Times New Roman"/>
                <w:b/>
                <w:bCs/>
                <w:color w:val="auto"/>
                <w:spacing w:val="7"/>
                <w:sz w:val="20"/>
                <w:szCs w:val="20"/>
                <w:lang w:eastAsia="zh-CN"/>
              </w:rPr>
              <w:t>2024</w:t>
            </w:r>
            <w:r>
              <w:rPr>
                <w:b/>
                <w:bCs/>
                <w:color w:val="auto"/>
                <w:spacing w:val="7"/>
                <w:sz w:val="20"/>
                <w:szCs w:val="20"/>
                <w:lang w:eastAsia="zh-CN"/>
              </w:rPr>
              <w:t>版）》符合性分析</w:t>
            </w:r>
          </w:p>
          <w:tbl>
            <w:tblPr>
              <w:tblStyle w:val="17"/>
              <w:tblW w:w="7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2"/>
              <w:gridCol w:w="3047"/>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b/>
                      <w:bCs/>
                      <w:color w:val="auto"/>
                      <w:lang w:eastAsia="zh-CN"/>
                    </w:rPr>
                  </w:pPr>
                  <w:r>
                    <w:rPr>
                      <w:b/>
                      <w:bCs/>
                      <w:color w:val="auto"/>
                      <w:lang w:eastAsia="zh-CN"/>
                    </w:rPr>
                    <w:t>《长江经济带发展负面清单指南（试行，</w:t>
                  </w:r>
                  <w:r>
                    <w:rPr>
                      <w:rFonts w:hint="eastAsia"/>
                      <w:b/>
                      <w:bCs/>
                      <w:color w:val="auto"/>
                      <w:lang w:eastAsia="zh-CN"/>
                    </w:rPr>
                    <w:t>2024</w:t>
                  </w:r>
                  <w:r>
                    <w:rPr>
                      <w:b/>
                      <w:bCs/>
                      <w:color w:val="auto"/>
                      <w:lang w:eastAsia="zh-CN"/>
                    </w:rPr>
                    <w:t>版）》要求</w:t>
                  </w:r>
                </w:p>
              </w:tc>
              <w:tc>
                <w:tcPr>
                  <w:tcW w:w="3047" w:type="dxa"/>
                  <w:vAlign w:val="center"/>
                </w:tcPr>
                <w:p>
                  <w:pPr>
                    <w:widowControl w:val="0"/>
                    <w:kinsoku/>
                    <w:jc w:val="center"/>
                    <w:rPr>
                      <w:b/>
                      <w:bCs/>
                      <w:color w:val="auto"/>
                    </w:rPr>
                  </w:pPr>
                  <w:r>
                    <w:rPr>
                      <w:b/>
                      <w:bCs/>
                      <w:color w:val="auto"/>
                    </w:rPr>
                    <w:t>本项目情况</w:t>
                  </w:r>
                </w:p>
              </w:tc>
              <w:tc>
                <w:tcPr>
                  <w:tcW w:w="778" w:type="dxa"/>
                  <w:vAlign w:val="center"/>
                </w:tcPr>
                <w:p>
                  <w:pPr>
                    <w:widowControl w:val="0"/>
                    <w:kinsoku/>
                    <w:jc w:val="center"/>
                    <w:rPr>
                      <w:b/>
                      <w:bCs/>
                      <w:color w:val="auto"/>
                    </w:rPr>
                  </w:pPr>
                  <w:r>
                    <w:rPr>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color w:val="auto"/>
                      <w:lang w:eastAsia="zh-CN"/>
                    </w:rPr>
                  </w:pPr>
                  <w:r>
                    <w:rPr>
                      <w:color w:val="auto"/>
                      <w:lang w:eastAsia="zh-CN"/>
                    </w:rPr>
                    <w:t>2、禁止在自然保护区核心区、缓冲区的岸线和河段范围内投资建设旅游和生产经营项目。禁止在风景名胜区核心景区的岸线和河段范围内投资建设与风景名</w:t>
                  </w:r>
                  <w:r>
                    <w:rPr>
                      <w:rFonts w:hint="eastAsia"/>
                      <w:color w:val="auto"/>
                      <w:lang w:eastAsia="zh-CN"/>
                    </w:rPr>
                    <w:t>胜区</w:t>
                  </w:r>
                  <w:r>
                    <w:rPr>
                      <w:color w:val="auto"/>
                      <w:lang w:eastAsia="zh-CN"/>
                    </w:rPr>
                    <w:t>资源保护无关的项目。</w:t>
                  </w:r>
                </w:p>
              </w:tc>
              <w:tc>
                <w:tcPr>
                  <w:tcW w:w="3047" w:type="dxa"/>
                  <w:vAlign w:val="center"/>
                </w:tcPr>
                <w:p>
                  <w:pPr>
                    <w:widowControl w:val="0"/>
                    <w:kinsoku/>
                    <w:jc w:val="center"/>
                    <w:rPr>
                      <w:color w:val="auto"/>
                      <w:lang w:eastAsia="zh-CN"/>
                    </w:rPr>
                  </w:pPr>
                  <w:r>
                    <w:rPr>
                      <w:color w:val="auto"/>
                      <w:lang w:eastAsia="zh-CN"/>
                    </w:rPr>
                    <w:t>本项目位于</w:t>
                  </w:r>
                  <w:r>
                    <w:rPr>
                      <w:rFonts w:hint="eastAsia"/>
                      <w:color w:val="auto"/>
                      <w:lang w:eastAsia="zh-CN"/>
                    </w:rPr>
                    <w:t>云南嵩明杨林工业园区东环路68号附3号</w:t>
                  </w:r>
                  <w:r>
                    <w:rPr>
                      <w:color w:val="auto"/>
                      <w:lang w:eastAsia="zh-CN"/>
                    </w:rPr>
                    <w:t>，不涉及自然保护区及风景名胜区。</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color w:val="auto"/>
                      <w:lang w:eastAsia="zh-CN"/>
                    </w:rPr>
                  </w:pPr>
                  <w:r>
                    <w:rPr>
                      <w:color w:val="auto"/>
                      <w:lang w:eastAsia="zh-CN"/>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047" w:type="dxa"/>
                  <w:vAlign w:val="center"/>
                </w:tcPr>
                <w:p>
                  <w:pPr>
                    <w:widowControl w:val="0"/>
                    <w:kinsoku/>
                    <w:jc w:val="center"/>
                    <w:rPr>
                      <w:color w:val="auto"/>
                      <w:lang w:eastAsia="zh-CN"/>
                    </w:rPr>
                  </w:pPr>
                  <w:r>
                    <w:rPr>
                      <w:rFonts w:ascii="Times New Roman" w:hAnsi="Times New Roman" w:eastAsia="宋体" w:cs="Times New Roman"/>
                      <w:color w:val="auto"/>
                      <w:spacing w:val="8"/>
                      <w:lang w:eastAsia="zh-CN"/>
                    </w:rPr>
                    <w:t>项目位于嵩明县杨林经开区东环路东侧，景观大道北侧</w:t>
                  </w:r>
                  <w:r>
                    <w:rPr>
                      <w:rFonts w:ascii="Times New Roman" w:hAnsi="Times New Roman" w:eastAsia="宋体" w:cs="Times New Roman"/>
                      <w:color w:val="auto"/>
                      <w:spacing w:val="-5"/>
                      <w:lang w:eastAsia="zh-CN"/>
                    </w:rPr>
                    <w:t>，</w:t>
                  </w:r>
                  <w:r>
                    <w:rPr>
                      <w:rFonts w:ascii="Times New Roman" w:hAnsi="Times New Roman" w:eastAsia="宋体" w:cs="Times New Roman"/>
                      <w:color w:val="auto"/>
                      <w:spacing w:val="7"/>
                      <w:lang w:eastAsia="zh-CN"/>
                    </w:rPr>
                    <w:t>项目用地为工业用地</w:t>
                  </w:r>
                  <w:r>
                    <w:rPr>
                      <w:rFonts w:ascii="Times New Roman" w:hAnsi="Times New Roman" w:eastAsia="宋体" w:cs="Times New Roman"/>
                      <w:color w:val="auto"/>
                      <w:lang w:eastAsia="zh-CN"/>
                    </w:rPr>
                    <w:t>，不涉及饮用水水源一级保护区的岸线和河段</w:t>
                  </w:r>
                  <w:r>
                    <w:rPr>
                      <w:color w:val="auto"/>
                      <w:lang w:eastAsia="zh-CN"/>
                    </w:rPr>
                    <w:t>。</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2" w:type="dxa"/>
                  <w:vAlign w:val="center"/>
                </w:tcPr>
                <w:p>
                  <w:pPr>
                    <w:widowControl w:val="0"/>
                    <w:kinsoku/>
                    <w:jc w:val="center"/>
                    <w:rPr>
                      <w:color w:val="auto"/>
                      <w:lang w:eastAsia="zh-CN"/>
                    </w:rPr>
                  </w:pPr>
                  <w:r>
                    <w:rPr>
                      <w:color w:val="auto"/>
                      <w:lang w:eastAsia="zh-CN"/>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047" w:type="dxa"/>
                  <w:vAlign w:val="center"/>
                </w:tcPr>
                <w:p>
                  <w:pPr>
                    <w:widowControl w:val="0"/>
                    <w:kinsoku/>
                    <w:jc w:val="center"/>
                    <w:rPr>
                      <w:color w:val="auto"/>
                      <w:lang w:eastAsia="zh-CN"/>
                    </w:rPr>
                  </w:pPr>
                  <w:r>
                    <w:rPr>
                      <w:color w:val="auto"/>
                      <w:lang w:eastAsia="zh-CN"/>
                    </w:rPr>
                    <w:t>本项目位于</w:t>
                  </w:r>
                  <w:r>
                    <w:rPr>
                      <w:rFonts w:hint="eastAsia"/>
                      <w:color w:val="auto"/>
                      <w:lang w:eastAsia="zh-CN"/>
                    </w:rPr>
                    <w:t>云南嵩明杨林工业园区东环路68号附3号，</w:t>
                  </w:r>
                  <w:r>
                    <w:rPr>
                      <w:color w:val="auto"/>
                      <w:spacing w:val="7"/>
                      <w:lang w:eastAsia="zh-CN"/>
                    </w:rPr>
                    <w:t>项目用地为工业用地</w:t>
                  </w:r>
                  <w:r>
                    <w:rPr>
                      <w:rFonts w:hint="eastAsia"/>
                      <w:color w:val="auto"/>
                      <w:lang w:eastAsia="zh-CN"/>
                    </w:rPr>
                    <w:t>，不属于</w:t>
                  </w:r>
                  <w:r>
                    <w:rPr>
                      <w:color w:val="auto"/>
                      <w:lang w:eastAsia="zh-CN"/>
                    </w:rPr>
                    <w:t>水产种质资源保护区的岸线和河段范围</w:t>
                  </w:r>
                  <w:r>
                    <w:rPr>
                      <w:rFonts w:hint="eastAsia"/>
                      <w:color w:val="auto"/>
                      <w:lang w:eastAsia="zh-CN"/>
                    </w:rPr>
                    <w:t>，不属于</w:t>
                  </w:r>
                  <w:r>
                    <w:rPr>
                      <w:color w:val="auto"/>
                      <w:lang w:eastAsia="zh-CN"/>
                    </w:rPr>
                    <w:t>国家湿地公园的岸线和河段范围。</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color w:val="auto"/>
                      <w:lang w:eastAsia="zh-CN"/>
                    </w:rPr>
                  </w:pPr>
                  <w:r>
                    <w:rPr>
                      <w:color w:val="auto"/>
                      <w:lang w:eastAsia="zh-CN"/>
                    </w:rPr>
                    <w:t>5、禁止违法利用、占用长江流域河湖岸线。禁止在《长江岸线保护和开发利用总体规划》划定的岸线保护区和保留区内投资建设除事关公共安全及公众利益的防洪护岸、河道治理、供水、生态环境保护、航道治理、国家重要基础设施以外的项目。禁止在《全国重要江河湖泊水功能区划》划定的河段及湖泊保护区、保留区内投资建设不利于水资源及自然生态保护的项目。</w:t>
                  </w:r>
                </w:p>
              </w:tc>
              <w:tc>
                <w:tcPr>
                  <w:tcW w:w="3047" w:type="dxa"/>
                  <w:vAlign w:val="center"/>
                </w:tcPr>
                <w:p>
                  <w:pPr>
                    <w:widowControl w:val="0"/>
                    <w:kinsoku/>
                    <w:jc w:val="center"/>
                    <w:rPr>
                      <w:color w:val="auto"/>
                      <w:lang w:eastAsia="zh-CN"/>
                    </w:rPr>
                  </w:pPr>
                  <w:r>
                    <w:rPr>
                      <w:color w:val="auto"/>
                      <w:lang w:eastAsia="zh-CN"/>
                    </w:rPr>
                    <w:t>本项目位于</w:t>
                  </w:r>
                  <w:r>
                    <w:rPr>
                      <w:rFonts w:hint="eastAsia"/>
                      <w:color w:val="auto"/>
                      <w:lang w:eastAsia="zh-CN"/>
                    </w:rPr>
                    <w:t>云南嵩明杨林工业园区东环路68号附3号</w:t>
                  </w:r>
                  <w:r>
                    <w:rPr>
                      <w:color w:val="auto"/>
                      <w:lang w:eastAsia="zh-CN"/>
                    </w:rPr>
                    <w:t>，不在长江流域河湖岸线，不在《长江岸线保护和开发利用总体规划》划定的岸线保护区和保留区内。项目所处位置不属于《全国重要江河湖泊水功能区划》划定的河段及湖泊保护区、</w:t>
                  </w:r>
                  <w:r>
                    <w:rPr>
                      <w:rFonts w:hint="eastAsia"/>
                      <w:color w:val="auto"/>
                      <w:lang w:eastAsia="zh-CN"/>
                    </w:rPr>
                    <w:t>湖泊</w:t>
                  </w:r>
                  <w:r>
                    <w:rPr>
                      <w:color w:val="auto"/>
                      <w:lang w:eastAsia="zh-CN"/>
                    </w:rPr>
                    <w:t>保护区、保留区内。</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color w:val="auto"/>
                      <w:lang w:eastAsia="zh-CN"/>
                    </w:rPr>
                  </w:pPr>
                  <w:r>
                    <w:rPr>
                      <w:color w:val="auto"/>
                      <w:lang w:eastAsia="zh-CN"/>
                    </w:rPr>
                    <w:t>6、禁止未经许可在长江干支流及湖泊新设、改设或扩大排污口。</w:t>
                  </w:r>
                </w:p>
              </w:tc>
              <w:tc>
                <w:tcPr>
                  <w:tcW w:w="3047" w:type="dxa"/>
                  <w:vAlign w:val="center"/>
                </w:tcPr>
                <w:p>
                  <w:pPr>
                    <w:widowControl w:val="0"/>
                    <w:kinsoku/>
                    <w:jc w:val="center"/>
                    <w:rPr>
                      <w:color w:val="auto"/>
                      <w:lang w:eastAsia="zh-CN"/>
                    </w:rPr>
                  </w:pPr>
                  <w:r>
                    <w:rPr>
                      <w:rFonts w:hint="eastAsia"/>
                      <w:color w:val="auto"/>
                      <w:lang w:eastAsia="zh-CN"/>
                    </w:rPr>
                    <w:t>项目不涉及长江干支流及湖泊新设、改设，项目不设置排污口。</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vAlign w:val="center"/>
                </w:tcPr>
                <w:p>
                  <w:pPr>
                    <w:widowControl w:val="0"/>
                    <w:kinsoku/>
                    <w:jc w:val="center"/>
                    <w:rPr>
                      <w:color w:val="auto"/>
                      <w:lang w:eastAsia="zh-CN"/>
                    </w:rPr>
                  </w:pPr>
                  <w:r>
                    <w:rPr>
                      <w:color w:val="auto"/>
                      <w:lang w:eastAsia="zh-CN"/>
                    </w:rPr>
                    <w:t>9、禁止在合规园区外新建、扩建钢铁、石化、化工、焦化、建材、有色、制浆造纸等高污染项目。</w:t>
                  </w:r>
                </w:p>
              </w:tc>
              <w:tc>
                <w:tcPr>
                  <w:tcW w:w="3047" w:type="dxa"/>
                  <w:vAlign w:val="center"/>
                </w:tcPr>
                <w:p>
                  <w:pPr>
                    <w:widowControl w:val="0"/>
                    <w:kinsoku/>
                    <w:jc w:val="center"/>
                    <w:rPr>
                      <w:color w:val="auto"/>
                      <w:lang w:eastAsia="zh-CN"/>
                    </w:rPr>
                  </w:pPr>
                  <w:r>
                    <w:rPr>
                      <w:color w:val="auto"/>
                      <w:lang w:eastAsia="zh-CN"/>
                    </w:rPr>
                    <w:t>本项目主要</w:t>
                  </w:r>
                  <w:r>
                    <w:rPr>
                      <w:rFonts w:hint="eastAsia"/>
                      <w:color w:val="auto"/>
                      <w:lang w:eastAsia="zh-CN"/>
                    </w:rPr>
                    <w:t>木制家具制造</w:t>
                  </w:r>
                  <w:r>
                    <w:rPr>
                      <w:color w:val="auto"/>
                      <w:lang w:eastAsia="zh-CN"/>
                    </w:rPr>
                    <w:t>，</w:t>
                  </w:r>
                  <w:r>
                    <w:rPr>
                      <w:rFonts w:hint="eastAsia"/>
                      <w:color w:val="auto"/>
                      <w:lang w:eastAsia="zh-CN"/>
                    </w:rPr>
                    <w:t>不属于</w:t>
                  </w:r>
                  <w:r>
                    <w:rPr>
                      <w:color w:val="auto"/>
                      <w:lang w:eastAsia="zh-CN"/>
                    </w:rPr>
                    <w:t>钢铁、石化、化工、焦化、建材、有色、制浆造纸等高污染项目。</w:t>
                  </w:r>
                </w:p>
              </w:tc>
              <w:tc>
                <w:tcPr>
                  <w:tcW w:w="778" w:type="dxa"/>
                  <w:vAlign w:val="center"/>
                </w:tcPr>
                <w:p>
                  <w:pPr>
                    <w:widowControl w:val="0"/>
                    <w:kinsoku/>
                    <w:jc w:val="center"/>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2" w:type="dxa"/>
                  <w:vAlign w:val="center"/>
                </w:tcPr>
                <w:p>
                  <w:pPr>
                    <w:widowControl w:val="0"/>
                    <w:kinsoku/>
                    <w:jc w:val="center"/>
                    <w:rPr>
                      <w:color w:val="auto"/>
                      <w:lang w:eastAsia="zh-CN"/>
                    </w:rPr>
                  </w:pPr>
                  <w:r>
                    <w:rPr>
                      <w:color w:val="auto"/>
                      <w:lang w:eastAsia="zh-CN"/>
                    </w:rPr>
                    <w:t>11、禁止新建、扩建法律法规和相关政策明令禁止的落后产能项目。禁止新建、扩建不符合国家产能置换要求的严重过剩产能行业的项目。禁止新建、扩建不符合要求的高耗能高排放项目</w:t>
                  </w:r>
                </w:p>
              </w:tc>
              <w:tc>
                <w:tcPr>
                  <w:tcW w:w="3047" w:type="dxa"/>
                  <w:vAlign w:val="center"/>
                </w:tcPr>
                <w:p>
                  <w:pPr>
                    <w:widowControl w:val="0"/>
                    <w:kinsoku/>
                    <w:jc w:val="center"/>
                    <w:rPr>
                      <w:color w:val="auto"/>
                      <w:lang w:eastAsia="zh-CN"/>
                    </w:rPr>
                  </w:pPr>
                  <w:r>
                    <w:rPr>
                      <w:color w:val="auto"/>
                      <w:lang w:eastAsia="zh-CN"/>
                    </w:rPr>
                    <w:t>本项目主要生产</w:t>
                  </w:r>
                  <w:r>
                    <w:rPr>
                      <w:rFonts w:hint="eastAsia"/>
                      <w:color w:val="auto"/>
                      <w:lang w:eastAsia="zh-CN"/>
                    </w:rPr>
                    <w:t>家具</w:t>
                  </w:r>
                  <w:r>
                    <w:rPr>
                      <w:color w:val="auto"/>
                      <w:lang w:eastAsia="zh-CN"/>
                    </w:rPr>
                    <w:t>，不属于落后产能、严重过剩产能行业项目，也不属于高耗能高排放项目</w:t>
                  </w:r>
                  <w:r>
                    <w:rPr>
                      <w:rFonts w:hint="eastAsia"/>
                      <w:color w:val="auto"/>
                      <w:lang w:eastAsia="zh-CN"/>
                    </w:rPr>
                    <w:t>。</w:t>
                  </w:r>
                </w:p>
              </w:tc>
              <w:tc>
                <w:tcPr>
                  <w:tcW w:w="778" w:type="dxa"/>
                  <w:vAlign w:val="center"/>
                </w:tcPr>
                <w:p>
                  <w:pPr>
                    <w:widowControl w:val="0"/>
                    <w:kinsoku/>
                    <w:jc w:val="center"/>
                    <w:rPr>
                      <w:color w:val="auto"/>
                      <w:lang w:eastAsia="zh-CN"/>
                    </w:rPr>
                  </w:pPr>
                  <w:r>
                    <w:rPr>
                      <w:color w:val="auto"/>
                      <w:lang w:eastAsia="zh-CN"/>
                    </w:rPr>
                    <w:t>符合</w:t>
                  </w:r>
                </w:p>
              </w:tc>
            </w:tr>
          </w:tbl>
          <w:p>
            <w:pPr>
              <w:pStyle w:val="22"/>
              <w:kinsoku/>
              <w:spacing w:before="36" w:line="345" w:lineRule="auto"/>
              <w:ind w:left="111" w:right="440" w:firstLine="481"/>
              <w:rPr>
                <w:rFonts w:hint="eastAsia"/>
                <w:color w:val="auto"/>
                <w:lang w:eastAsia="zh-CN"/>
              </w:rPr>
            </w:pPr>
            <w:r>
              <w:rPr>
                <w:color w:val="auto"/>
                <w:spacing w:val="-1"/>
                <w:lang w:eastAsia="zh-CN"/>
              </w:rPr>
              <w:t>综上，项目符合《长江经济带发展负面清单指南（试行，</w:t>
            </w:r>
            <w:r>
              <w:rPr>
                <w:rFonts w:hint="eastAsia" w:ascii="Times New Roman" w:hAnsi="Times New Roman" w:cs="Times New Roman"/>
                <w:color w:val="auto"/>
                <w:spacing w:val="-1"/>
                <w:lang w:eastAsia="zh-CN"/>
              </w:rPr>
              <w:t>2024</w:t>
            </w:r>
            <w:r>
              <w:rPr>
                <w:color w:val="auto"/>
                <w:spacing w:val="-2"/>
                <w:lang w:eastAsia="zh-CN"/>
              </w:rPr>
              <w:t>版）》相关要求。</w:t>
            </w:r>
          </w:p>
          <w:p>
            <w:pPr>
              <w:pStyle w:val="22"/>
              <w:kinsoku/>
              <w:spacing w:before="35" w:line="347" w:lineRule="auto"/>
              <w:ind w:left="114" w:right="104" w:firstLine="482"/>
              <w:rPr>
                <w:rFonts w:ascii="Times New Roman" w:hAnsi="Times New Roman" w:cs="Times New Roman"/>
                <w:color w:val="auto"/>
                <w:lang w:eastAsia="zh-CN"/>
              </w:rPr>
            </w:pPr>
            <w:r>
              <w:rPr>
                <w:rFonts w:ascii="Times New Roman" w:hAnsi="Times New Roman" w:eastAsia="Times New Roman" w:cs="Times New Roman"/>
                <w:b/>
                <w:bCs/>
                <w:color w:val="auto"/>
                <w:spacing w:val="17"/>
                <w:lang w:eastAsia="zh-CN"/>
              </w:rPr>
              <w:t>1</w:t>
            </w:r>
            <w:r>
              <w:rPr>
                <w:rFonts w:hint="eastAsia" w:ascii="Times New Roman" w:hAnsi="Times New Roman" w:eastAsia="Times New Roman" w:cs="Times New Roman"/>
                <w:b/>
                <w:bCs/>
                <w:color w:val="auto"/>
                <w:spacing w:val="17"/>
                <w:lang w:val="en-US" w:eastAsia="zh-CN"/>
              </w:rPr>
              <w:t>4</w:t>
            </w:r>
            <w:r>
              <w:rPr>
                <w:b/>
                <w:bCs/>
                <w:color w:val="auto"/>
                <w:spacing w:val="17"/>
                <w:lang w:eastAsia="zh-CN"/>
              </w:rPr>
              <w:t>、</w:t>
            </w:r>
            <w:r>
              <w:rPr>
                <w:rFonts w:ascii="Times New Roman" w:hAnsi="Times New Roman" w:cs="Times New Roman"/>
                <w:b/>
                <w:bCs/>
                <w:color w:val="auto"/>
                <w:spacing w:val="17"/>
                <w:lang w:eastAsia="zh-CN"/>
              </w:rPr>
              <w:t>与</w:t>
            </w:r>
            <w:r>
              <w:rPr>
                <w:rFonts w:ascii="Times New Roman" w:hAnsi="Times New Roman" w:cs="Times New Roman"/>
                <w:b/>
                <w:bCs/>
                <w:color w:val="auto"/>
                <w:spacing w:val="-3"/>
                <w:lang w:eastAsia="zh-CN"/>
              </w:rPr>
              <w:t>《云南省长江经济带发展负面清单指南实施细则（试行，2022年版）》相符性分析</w:t>
            </w:r>
          </w:p>
          <w:p>
            <w:pPr>
              <w:pStyle w:val="22"/>
              <w:kinsoku/>
              <w:spacing w:before="179" w:line="360" w:lineRule="auto"/>
              <w:ind w:firstLine="492" w:firstLineChars="200"/>
              <w:rPr>
                <w:rFonts w:ascii="Times New Roman" w:hAnsi="Times New Roman" w:cs="Times New Roman"/>
                <w:color w:val="auto"/>
                <w:spacing w:val="-1"/>
                <w:lang w:eastAsia="zh-CN"/>
              </w:rPr>
            </w:pPr>
            <w:r>
              <w:rPr>
                <w:rFonts w:ascii="Times New Roman" w:hAnsi="Times New Roman" w:cs="Times New Roman"/>
                <w:color w:val="auto"/>
                <w:spacing w:val="3"/>
                <w:lang w:eastAsia="zh-CN"/>
              </w:rPr>
              <w:t>为全面贯彻落实习近平总书记重要讲话精神，深入贯彻党中央、</w:t>
            </w:r>
            <w:r>
              <w:rPr>
                <w:rFonts w:ascii="Times New Roman" w:hAnsi="Times New Roman" w:cs="Times New Roman"/>
                <w:color w:val="auto"/>
                <w:spacing w:val="7"/>
                <w:lang w:eastAsia="zh-CN"/>
              </w:rPr>
              <w:t>国务院关于推动长江经济带发展重大战略部署，坚持</w:t>
            </w: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共抓大保护、</w:t>
            </w:r>
            <w:r>
              <w:rPr>
                <w:rFonts w:ascii="Times New Roman" w:hAnsi="Times New Roman" w:cs="Times New Roman"/>
                <w:color w:val="auto"/>
                <w:lang w:eastAsia="zh-CN"/>
              </w:rPr>
              <w:t>不搞大开发</w:t>
            </w:r>
            <w:r>
              <w:rPr>
                <w:rFonts w:hint="eastAsia" w:ascii="Times New Roman" w:hAnsi="Times New Roman" w:cs="Times New Roman"/>
                <w:color w:val="auto"/>
                <w:lang w:eastAsia="zh-CN"/>
              </w:rPr>
              <w:t>”</w:t>
            </w:r>
            <w:r>
              <w:rPr>
                <w:rFonts w:ascii="Times New Roman" w:hAnsi="Times New Roman" w:cs="Times New Roman"/>
                <w:color w:val="auto"/>
                <w:lang w:eastAsia="zh-CN"/>
              </w:rPr>
              <w:t>和</w:t>
            </w:r>
            <w:r>
              <w:rPr>
                <w:rFonts w:hint="eastAsia" w:ascii="Times New Roman" w:hAnsi="Times New Roman" w:cs="Times New Roman"/>
                <w:color w:val="auto"/>
                <w:lang w:eastAsia="zh-CN"/>
              </w:rPr>
              <w:t>“</w:t>
            </w:r>
            <w:r>
              <w:rPr>
                <w:rFonts w:ascii="Times New Roman" w:hAnsi="Times New Roman" w:cs="Times New Roman"/>
                <w:color w:val="auto"/>
                <w:lang w:eastAsia="zh-CN"/>
              </w:rPr>
              <w:t>生态优先、绿色发展</w:t>
            </w:r>
            <w:r>
              <w:rPr>
                <w:rFonts w:hint="eastAsia" w:ascii="Times New Roman" w:hAnsi="Times New Roman" w:cs="Times New Roman"/>
                <w:color w:val="auto"/>
                <w:lang w:eastAsia="zh-CN"/>
              </w:rPr>
              <w:t>”</w:t>
            </w:r>
            <w:r>
              <w:rPr>
                <w:rFonts w:ascii="Times New Roman" w:hAnsi="Times New Roman" w:cs="Times New Roman"/>
                <w:color w:val="auto"/>
                <w:lang w:eastAsia="zh-CN"/>
              </w:rPr>
              <w:t>的战略导向，认真落实《长江经</w:t>
            </w:r>
            <w:r>
              <w:rPr>
                <w:rFonts w:ascii="Times New Roman" w:hAnsi="Times New Roman" w:cs="Times New Roman"/>
                <w:color w:val="auto"/>
                <w:spacing w:val="3"/>
                <w:lang w:eastAsia="zh-CN"/>
              </w:rPr>
              <w:t>济带发展规划纲要》，建立生态环境硬约束机制，根据《长</w:t>
            </w:r>
            <w:r>
              <w:rPr>
                <w:rFonts w:ascii="Times New Roman" w:hAnsi="Times New Roman" w:cs="Times New Roman"/>
                <w:color w:val="auto"/>
                <w:spacing w:val="2"/>
                <w:lang w:eastAsia="zh-CN"/>
              </w:rPr>
              <w:t>江经济带</w:t>
            </w:r>
            <w:r>
              <w:rPr>
                <w:rFonts w:ascii="Times New Roman" w:hAnsi="Times New Roman" w:cs="Times New Roman"/>
                <w:color w:val="auto"/>
                <w:spacing w:val="3"/>
                <w:lang w:eastAsia="zh-CN"/>
              </w:rPr>
              <w:t>发展负面清单指南（试行）》要求，结合云南实际，制定《</w:t>
            </w:r>
            <w:r>
              <w:rPr>
                <w:rFonts w:ascii="Times New Roman" w:hAnsi="Times New Roman" w:cs="Times New Roman"/>
                <w:color w:val="auto"/>
                <w:spacing w:val="2"/>
                <w:lang w:eastAsia="zh-CN"/>
              </w:rPr>
              <w:t>云南省长</w:t>
            </w:r>
            <w:r>
              <w:rPr>
                <w:rFonts w:ascii="Times New Roman" w:hAnsi="Times New Roman" w:cs="Times New Roman"/>
                <w:color w:val="auto"/>
                <w:spacing w:val="-1"/>
                <w:lang w:eastAsia="zh-CN"/>
              </w:rPr>
              <w:t>江经济带发展负面清单指南实施细则（试行</w:t>
            </w:r>
            <w:r>
              <w:rPr>
                <w:rFonts w:hint="eastAsia" w:ascii="Times New Roman" w:hAnsi="Times New Roman" w:cs="Times New Roman"/>
                <w:color w:val="auto"/>
                <w:spacing w:val="-1"/>
                <w:lang w:eastAsia="zh-CN"/>
              </w:rPr>
              <w:t>，2022年版</w:t>
            </w:r>
            <w:r>
              <w:rPr>
                <w:rFonts w:ascii="Times New Roman" w:hAnsi="Times New Roman" w:cs="Times New Roman"/>
                <w:color w:val="auto"/>
                <w:spacing w:val="-1"/>
                <w:lang w:eastAsia="zh-CN"/>
              </w:rPr>
              <w:t>）》。</w:t>
            </w:r>
          </w:p>
          <w:p>
            <w:pPr>
              <w:pStyle w:val="22"/>
              <w:kinsoku/>
              <w:spacing w:before="29" w:line="347" w:lineRule="auto"/>
              <w:ind w:left="122" w:right="191" w:firstLine="469"/>
              <w:rPr>
                <w:rFonts w:hint="eastAsia"/>
                <w:color w:val="auto"/>
                <w:lang w:eastAsia="zh-CN"/>
              </w:rPr>
            </w:pPr>
            <w:r>
              <w:rPr>
                <w:rFonts w:ascii="Times New Roman" w:hAnsi="Times New Roman" w:cs="Times New Roman"/>
                <w:color w:val="auto"/>
                <w:spacing w:val="12"/>
                <w:lang w:eastAsia="zh-CN"/>
              </w:rPr>
              <w:t>本项目情况与</w:t>
            </w:r>
            <w:r>
              <w:rPr>
                <w:rFonts w:hint="eastAsia" w:ascii="Times New Roman" w:hAnsi="Times New Roman" w:cs="Times New Roman"/>
                <w:color w:val="auto"/>
                <w:spacing w:val="12"/>
                <w:lang w:eastAsia="zh-CN"/>
              </w:rPr>
              <w:t>《云南省长江经济带发展负面清单指南实施细则（试行，2022年版）》</w:t>
            </w:r>
            <w:r>
              <w:rPr>
                <w:rFonts w:ascii="Times New Roman" w:hAnsi="Times New Roman" w:cs="Times New Roman"/>
                <w:color w:val="auto"/>
                <w:spacing w:val="-2"/>
                <w:lang w:eastAsia="zh-CN"/>
              </w:rPr>
              <w:t>相符性分析见表</w:t>
            </w:r>
            <w:r>
              <w:rPr>
                <w:rFonts w:ascii="Times New Roman" w:hAnsi="Times New Roman" w:cs="Times New Roman"/>
                <w:color w:val="auto"/>
                <w:spacing w:val="-3"/>
                <w:lang w:eastAsia="zh-CN"/>
              </w:rPr>
              <w:t>1-1</w:t>
            </w:r>
            <w:r>
              <w:rPr>
                <w:rFonts w:hint="eastAsia" w:ascii="Times New Roman" w:hAnsi="Times New Roman" w:cs="Times New Roman"/>
                <w:color w:val="auto"/>
                <w:spacing w:val="-3"/>
                <w:lang w:val="en-US" w:eastAsia="zh-CN"/>
              </w:rPr>
              <w:t>8</w:t>
            </w:r>
            <w:r>
              <w:rPr>
                <w:color w:val="auto"/>
                <w:spacing w:val="-3"/>
                <w:lang w:eastAsia="zh-CN"/>
              </w:rPr>
              <w:t>。</w:t>
            </w:r>
          </w:p>
          <w:p>
            <w:pPr>
              <w:pStyle w:val="22"/>
              <w:kinsoku/>
              <w:spacing w:before="27" w:line="224" w:lineRule="auto"/>
              <w:ind w:left="166"/>
              <w:rPr>
                <w:rFonts w:hint="eastAsia"/>
                <w:color w:val="auto"/>
                <w:sz w:val="20"/>
                <w:szCs w:val="20"/>
                <w:lang w:eastAsia="zh-CN"/>
              </w:rPr>
            </w:pPr>
            <w:r>
              <w:rPr>
                <w:rFonts w:ascii="Times New Roman" w:hAnsi="Times New Roman" w:cs="Times New Roman"/>
                <w:b/>
                <w:bCs/>
                <w:color w:val="auto"/>
                <w:spacing w:val="7"/>
                <w:sz w:val="20"/>
                <w:szCs w:val="20"/>
                <w:lang w:eastAsia="zh-CN"/>
              </w:rPr>
              <w:t>表1-1</w:t>
            </w:r>
            <w:r>
              <w:rPr>
                <w:rFonts w:hint="eastAsia" w:ascii="Times New Roman" w:hAnsi="Times New Roman" w:cs="Times New Roman"/>
                <w:b/>
                <w:bCs/>
                <w:color w:val="auto"/>
                <w:spacing w:val="7"/>
                <w:sz w:val="20"/>
                <w:szCs w:val="20"/>
                <w:lang w:val="en-US" w:eastAsia="zh-CN"/>
              </w:rPr>
              <w:t>8</w:t>
            </w:r>
            <w:r>
              <w:rPr>
                <w:rFonts w:ascii="Times New Roman" w:hAnsi="Times New Roman" w:cs="Times New Roman"/>
                <w:b/>
                <w:bCs/>
                <w:color w:val="auto"/>
                <w:spacing w:val="7"/>
                <w:sz w:val="20"/>
                <w:szCs w:val="20"/>
                <w:lang w:eastAsia="zh-CN"/>
              </w:rPr>
              <w:t>项目与《云南省长江经济带发展负面清单指南实施细则（试行，2022年版）》符合性分析</w:t>
            </w:r>
          </w:p>
          <w:tbl>
            <w:tblPr>
              <w:tblStyle w:val="21"/>
              <w:tblW w:w="7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10"/>
              <w:gridCol w:w="3186"/>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010"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spacing w:val="-3"/>
                      <w:lang w:eastAsia="zh-CN"/>
                    </w:rPr>
                    <w:t>《云南省长江经济带发展负面清单指南实施细则（试行，2022年版）》</w:t>
                  </w:r>
                  <w:r>
                    <w:rPr>
                      <w:rFonts w:ascii="Times New Roman" w:hAnsi="Times New Roman" w:eastAsia="宋体" w:cs="Times New Roman"/>
                      <w:b/>
                      <w:bCs/>
                      <w:color w:val="auto"/>
                      <w:lang w:eastAsia="zh-CN"/>
                    </w:rPr>
                    <w:t>要求</w:t>
                  </w:r>
                </w:p>
              </w:tc>
              <w:tc>
                <w:tcPr>
                  <w:tcW w:w="3186" w:type="dxa"/>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rPr>
                    <w:t>本项目情况</w:t>
                  </w:r>
                </w:p>
              </w:tc>
              <w:tc>
                <w:tcPr>
                  <w:tcW w:w="848" w:type="dxa"/>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01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 xml:space="preserve">第九条 </w:t>
                  </w:r>
                  <w:r>
                    <w:rPr>
                      <w:rFonts w:ascii="Times New Roman" w:hAnsi="Times New Roman" w:eastAsia="宋体" w:cs="Times New Roman"/>
                      <w:color w:val="auto"/>
                      <w:lang w:eastAsia="zh-CN"/>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186"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本项目位于</w:t>
                  </w:r>
                  <w:r>
                    <w:rPr>
                      <w:rFonts w:hint="eastAsia"/>
                    </w:rPr>
                    <w:t>花庄河</w:t>
                  </w:r>
                  <w:r>
                    <w:rPr>
                      <w:rFonts w:hint="eastAsia"/>
                      <w:lang w:eastAsia="zh-CN"/>
                    </w:rPr>
                    <w:t>（</w:t>
                  </w:r>
                  <w:r>
                    <w:rPr>
                      <w:rFonts w:hint="eastAsia"/>
                      <w:lang w:val="en-US" w:eastAsia="zh-CN"/>
                    </w:rPr>
                    <w:t>对龙河</w:t>
                  </w:r>
                  <w:r>
                    <w:rPr>
                      <w:rFonts w:hint="eastAsia"/>
                      <w:lang w:eastAsia="zh-CN"/>
                    </w:rPr>
                    <w:t>）</w:t>
                  </w:r>
                  <w:r>
                    <w:rPr>
                      <w:rFonts w:ascii="Times New Roman" w:hAnsi="Times New Roman" w:eastAsia="宋体" w:cs="Times New Roman"/>
                      <w:color w:val="auto"/>
                      <w:lang w:eastAsia="zh-CN"/>
                    </w:rPr>
                    <w:t>东南面</w:t>
                  </w:r>
                  <w:r>
                    <w:rPr>
                      <w:rFonts w:hint="eastAsia" w:ascii="Times New Roman" w:hAnsi="Times New Roman" w:eastAsia="宋体" w:cs="Times New Roman"/>
                      <w:color w:val="auto"/>
                      <w:lang w:eastAsia="zh-CN"/>
                    </w:rPr>
                    <w:t>1247</w:t>
                  </w:r>
                  <w:r>
                    <w:rPr>
                      <w:rFonts w:ascii="Times New Roman" w:hAnsi="Times New Roman" w:eastAsia="宋体" w:cs="Times New Roman"/>
                      <w:color w:val="auto"/>
                      <w:lang w:eastAsia="zh-CN"/>
                    </w:rPr>
                    <w:t>m处，属于牛栏江流域重点污染控制区。不属于金沙江、长江一级支流，也不在金沙江、长江一级支流岸线边界1公里范围内。</w:t>
                  </w:r>
                  <w:r>
                    <w:rPr>
                      <w:rFonts w:hint="eastAsia" w:ascii="Times New Roman" w:hAnsi="Times New Roman" w:eastAsia="宋体" w:cs="Times New Roman"/>
                      <w:color w:val="auto"/>
                      <w:lang w:eastAsia="zh-CN"/>
                    </w:rPr>
                    <w:t>本项目不涉及</w:t>
                  </w:r>
                  <w:r>
                    <w:rPr>
                      <w:rFonts w:ascii="Times New Roman" w:hAnsi="Times New Roman" w:eastAsia="宋体" w:cs="Times New Roman"/>
                      <w:color w:val="auto"/>
                      <w:lang w:eastAsia="zh-CN"/>
                    </w:rPr>
                    <w:t>尾矿库、冶炼渣库和磷石膏库</w:t>
                  </w:r>
                  <w:r>
                    <w:rPr>
                      <w:rFonts w:hint="eastAsia" w:ascii="Times New Roman" w:hAnsi="Times New Roman" w:eastAsia="宋体" w:cs="Times New Roman"/>
                      <w:color w:val="auto"/>
                      <w:lang w:eastAsia="zh-CN"/>
                    </w:rPr>
                    <w:t>。</w:t>
                  </w:r>
                </w:p>
              </w:tc>
              <w:tc>
                <w:tcPr>
                  <w:tcW w:w="848"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301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第十条·禁止在合规园区外新建、扩建钢铁、石化、化工、焦化、建材、有色、制浆造纸行业中的高污染项目。</w:t>
                  </w:r>
                </w:p>
              </w:tc>
              <w:tc>
                <w:tcPr>
                  <w:tcW w:w="3186"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本项目不属于钢铁、石化、化工、焦化、建材、有色等高污染项目。</w:t>
                  </w:r>
                </w:p>
              </w:tc>
              <w:tc>
                <w:tcPr>
                  <w:tcW w:w="848"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301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第十一条·禁止新建、扩建不符合国家石化、现代煤化工等产业布局规划的项目。禁止列入《云南省城镇人口密集区危险化学品生产企业搬迁改造名单》的搬迁改造企业在原址新建、扩建危险化学品生产项目。</w:t>
                  </w:r>
                </w:p>
              </w:tc>
              <w:tc>
                <w:tcPr>
                  <w:tcW w:w="3186"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本项目主要生产家具，不属于国家石化、煤焦化工等产业项目</w:t>
                  </w:r>
                  <w:r>
                    <w:rPr>
                      <w:rFonts w:hint="eastAsia" w:ascii="Times New Roman" w:hAnsi="Times New Roman" w:eastAsia="宋体" w:cs="Times New Roman"/>
                      <w:color w:val="auto"/>
                      <w:lang w:eastAsia="zh-CN"/>
                    </w:rPr>
                    <w:t>。本项目未被列入</w:t>
                  </w:r>
                  <w:r>
                    <w:rPr>
                      <w:rFonts w:ascii="Times New Roman" w:hAnsi="Times New Roman" w:eastAsia="宋体" w:cs="Times New Roman"/>
                      <w:color w:val="auto"/>
                      <w:lang w:eastAsia="zh-CN"/>
                    </w:rPr>
                    <w:t>《云南省城镇人口密集区危险化学品生产企业搬迁改造名单》</w:t>
                  </w:r>
                  <w:r>
                    <w:rPr>
                      <w:rFonts w:hint="eastAsia" w:ascii="Times New Roman" w:hAnsi="Times New Roman" w:eastAsia="宋体" w:cs="Times New Roman"/>
                      <w:color w:val="auto"/>
                      <w:lang w:eastAsia="zh-CN"/>
                    </w:rPr>
                    <w:t>。</w:t>
                  </w:r>
                </w:p>
              </w:tc>
              <w:tc>
                <w:tcPr>
                  <w:tcW w:w="848"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jc w:val="center"/>
              </w:trPr>
              <w:tc>
                <w:tcPr>
                  <w:tcW w:w="301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第十二条</w:t>
                  </w:r>
                  <w:r>
                    <w:rPr>
                      <w:rFonts w:hint="eastAsia" w:ascii="Times New Roman" w:hAnsi="Times New Roman" w:eastAsia="宋体" w:cs="Times New Roman"/>
                      <w:color w:val="auto"/>
                      <w:lang w:eastAsia="zh-CN"/>
                    </w:rPr>
                    <w:t xml:space="preserve"> </w:t>
                  </w:r>
                  <w:r>
                    <w:rPr>
                      <w:rFonts w:ascii="Times New Roman" w:hAnsi="Times New Roman" w:eastAsia="宋体" w:cs="Times New Roman"/>
                      <w:color w:val="auto"/>
                      <w:lang w:eastAsia="zh-CN"/>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3186"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本项目主要生产家具，项目符合国家产业政策，项目不属于电石炉、炼焦生产项目，也不属于硫铁矿制酸、硫磺制酸、黄磷生产、有钙焙烧铬化合物生产装置和有机—无机复混肥料、过磷酸钙和钙镁磷肥生产线。</w:t>
                  </w:r>
                </w:p>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本项目主要生产家具，所用的原料不涉及高毒高残留农药原药生产项目，也不属于尿素、磷铵、电石、焦炭、黄磷、烧碱、纯碱、聚氯乙烯等制造项目。</w:t>
                  </w:r>
                </w:p>
              </w:tc>
              <w:tc>
                <w:tcPr>
                  <w:tcW w:w="84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pPr>
              <w:pStyle w:val="22"/>
              <w:kinsoku/>
              <w:spacing w:before="30" w:line="360" w:lineRule="auto"/>
              <w:ind w:left="222" w:leftChars="106" w:firstLine="369" w:firstLineChars="150"/>
              <w:rPr>
                <w:rFonts w:hint="eastAsia"/>
                <w:color w:val="auto"/>
                <w:lang w:eastAsia="zh-CN"/>
              </w:rPr>
            </w:pPr>
            <w:r>
              <w:rPr>
                <w:color w:val="auto"/>
                <w:spacing w:val="3"/>
                <w:lang w:eastAsia="zh-CN"/>
              </w:rPr>
              <w:t>综上，项目符合《云南省长江经济带发展负面清单指南实施细则</w:t>
            </w:r>
            <w:r>
              <w:rPr>
                <w:color w:val="auto"/>
                <w:spacing w:val="-2"/>
                <w:lang w:eastAsia="zh-CN"/>
              </w:rPr>
              <w:t>（试行）》云发改基础〔</w:t>
            </w:r>
            <w:r>
              <w:rPr>
                <w:rFonts w:ascii="Times New Roman" w:hAnsi="Times New Roman" w:eastAsia="Times New Roman" w:cs="Times New Roman"/>
                <w:color w:val="auto"/>
                <w:spacing w:val="-2"/>
                <w:lang w:eastAsia="zh-CN"/>
              </w:rPr>
              <w:t>2019</w:t>
            </w:r>
            <w:r>
              <w:rPr>
                <w:color w:val="auto"/>
                <w:spacing w:val="-2"/>
                <w:lang w:eastAsia="zh-CN"/>
              </w:rPr>
              <w:t>〕</w:t>
            </w:r>
            <w:r>
              <w:rPr>
                <w:rFonts w:ascii="Times New Roman" w:hAnsi="Times New Roman" w:eastAsia="Times New Roman" w:cs="Times New Roman"/>
                <w:color w:val="auto"/>
                <w:spacing w:val="-2"/>
                <w:lang w:eastAsia="zh-CN"/>
              </w:rPr>
              <w:t>924</w:t>
            </w:r>
            <w:r>
              <w:rPr>
                <w:color w:val="auto"/>
                <w:spacing w:val="-2"/>
                <w:lang w:eastAsia="zh-CN"/>
              </w:rPr>
              <w:t>号相关要求。</w:t>
            </w:r>
          </w:p>
          <w:p>
            <w:pPr>
              <w:pStyle w:val="23"/>
              <w:spacing w:line="360" w:lineRule="auto"/>
              <w:ind w:firstLine="549" w:firstLineChars="200"/>
              <w:rPr>
                <w:rFonts w:ascii="Times New Roman" w:hAnsi="Times New Roman"/>
                <w:b/>
                <w:bCs/>
                <w:snapToGrid w:val="0"/>
                <w:spacing w:val="17"/>
                <w:kern w:val="0"/>
                <w:sz w:val="24"/>
                <w:szCs w:val="24"/>
              </w:rPr>
            </w:pPr>
            <w:r>
              <w:rPr>
                <w:rFonts w:ascii="Times New Roman" w:hAnsi="Times New Roman"/>
                <w:b/>
                <w:bCs/>
                <w:snapToGrid w:val="0"/>
                <w:spacing w:val="17"/>
                <w:kern w:val="0"/>
                <w:sz w:val="24"/>
                <w:szCs w:val="24"/>
              </w:rPr>
              <w:t>1</w:t>
            </w:r>
            <w:r>
              <w:rPr>
                <w:rFonts w:hint="eastAsia" w:ascii="Times New Roman" w:hAnsi="Times New Roman"/>
                <w:b/>
                <w:bCs/>
                <w:snapToGrid w:val="0"/>
                <w:spacing w:val="17"/>
                <w:kern w:val="0"/>
                <w:sz w:val="24"/>
                <w:szCs w:val="24"/>
                <w:lang w:val="en-US" w:eastAsia="zh-CN"/>
              </w:rPr>
              <w:t>5</w:t>
            </w:r>
            <w:r>
              <w:rPr>
                <w:rFonts w:ascii="Times New Roman" w:hAnsi="Times New Roman"/>
                <w:b/>
                <w:bCs/>
                <w:snapToGrid w:val="0"/>
                <w:spacing w:val="17"/>
                <w:kern w:val="0"/>
                <w:sz w:val="24"/>
                <w:szCs w:val="24"/>
              </w:rPr>
              <w:t>、项目与云南省人民政府关于印发《云南省空气质量持续改善行动实施方案》的通知相关要求相符性分析</w:t>
            </w:r>
          </w:p>
          <w:p>
            <w:pPr>
              <w:pStyle w:val="22"/>
              <w:kinsoku/>
              <w:spacing w:before="29" w:line="347" w:lineRule="auto"/>
              <w:ind w:left="122" w:right="191" w:firstLine="469"/>
              <w:rPr>
                <w:rFonts w:hint="eastAsia"/>
                <w:color w:val="auto"/>
                <w:lang w:eastAsia="zh-CN"/>
              </w:rPr>
            </w:pPr>
            <w:r>
              <w:rPr>
                <w:color w:val="auto"/>
                <w:spacing w:val="-2"/>
                <w:lang w:eastAsia="zh-CN"/>
              </w:rPr>
              <w:t>为全面贯彻落实《国务院关于印发〈空气质量持续改善行动计划〉的通知》（国发〔2023〕24号）精神，持续深入打好蓝天保卫战，结合我省实际，制定</w:t>
            </w:r>
            <w:r>
              <w:rPr>
                <w:rFonts w:hint="eastAsia"/>
                <w:color w:val="auto"/>
                <w:spacing w:val="-2"/>
                <w:lang w:eastAsia="zh-CN"/>
              </w:rPr>
              <w:t>《云南省空气质量持续改善行动实施方案》</w:t>
            </w:r>
            <w:r>
              <w:rPr>
                <w:color w:val="auto"/>
                <w:spacing w:val="-2"/>
                <w:lang w:eastAsia="zh-CN"/>
              </w:rPr>
              <w:t>。本项目情况与</w:t>
            </w:r>
            <w:r>
              <w:rPr>
                <w:rFonts w:hint="eastAsia"/>
                <w:color w:val="auto"/>
                <w:spacing w:val="-2"/>
                <w:lang w:eastAsia="zh-CN"/>
              </w:rPr>
              <w:t>《云南省空气质量持续改善行动实施方案》</w:t>
            </w:r>
            <w:r>
              <w:rPr>
                <w:color w:val="auto"/>
                <w:spacing w:val="-2"/>
                <w:lang w:eastAsia="zh-CN"/>
              </w:rPr>
              <w:t>相符性分析见表</w:t>
            </w:r>
            <w:r>
              <w:rPr>
                <w:rFonts w:ascii="Times New Roman" w:hAnsi="Times New Roman" w:eastAsia="Times New Roman" w:cs="Times New Roman"/>
                <w:color w:val="auto"/>
                <w:spacing w:val="-3"/>
                <w:lang w:eastAsia="zh-CN"/>
              </w:rPr>
              <w:t>1-</w:t>
            </w:r>
            <w:r>
              <w:rPr>
                <w:rFonts w:hint="eastAsia" w:ascii="Times New Roman" w:hAnsi="Times New Roman" w:cs="Times New Roman"/>
                <w:color w:val="auto"/>
                <w:spacing w:val="-3"/>
                <w:lang w:eastAsia="zh-CN"/>
              </w:rPr>
              <w:t>1</w:t>
            </w:r>
            <w:r>
              <w:rPr>
                <w:rFonts w:hint="eastAsia" w:ascii="Times New Roman" w:hAnsi="Times New Roman" w:cs="Times New Roman"/>
                <w:color w:val="auto"/>
                <w:spacing w:val="-3"/>
                <w:lang w:val="en-US" w:eastAsia="zh-CN"/>
              </w:rPr>
              <w:t>9</w:t>
            </w:r>
            <w:r>
              <w:rPr>
                <w:rFonts w:ascii="Times New Roman" w:hAnsi="Times New Roman" w:cs="Times New Roman"/>
                <w:color w:val="auto"/>
                <w:spacing w:val="-3"/>
                <w:lang w:eastAsia="zh-CN"/>
              </w:rPr>
              <w:t>。</w:t>
            </w:r>
          </w:p>
          <w:p>
            <w:pPr>
              <w:pStyle w:val="22"/>
              <w:kinsoku/>
              <w:spacing w:before="27" w:line="224" w:lineRule="auto"/>
              <w:ind w:left="166"/>
              <w:jc w:val="center"/>
              <w:rPr>
                <w:rFonts w:hint="eastAsia"/>
                <w:color w:val="auto"/>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9</w:t>
            </w:r>
            <w:r>
              <w:rPr>
                <w:b/>
                <w:bCs/>
                <w:color w:val="auto"/>
                <w:spacing w:val="7"/>
                <w:sz w:val="20"/>
                <w:szCs w:val="20"/>
                <w:lang w:eastAsia="zh-CN"/>
              </w:rPr>
              <w:t>项目与</w:t>
            </w:r>
            <w:r>
              <w:rPr>
                <w:rFonts w:hint="eastAsia"/>
                <w:b/>
                <w:bCs/>
                <w:color w:val="auto"/>
                <w:spacing w:val="7"/>
                <w:sz w:val="20"/>
                <w:szCs w:val="20"/>
                <w:lang w:eastAsia="zh-CN"/>
              </w:rPr>
              <w:t>《云南省空气质量持续改善行动实施方案》</w:t>
            </w:r>
            <w:r>
              <w:rPr>
                <w:b/>
                <w:bCs/>
                <w:color w:val="auto"/>
                <w:spacing w:val="7"/>
                <w:sz w:val="20"/>
                <w:szCs w:val="20"/>
                <w:lang w:eastAsia="zh-CN"/>
              </w:rPr>
              <w:t>符合性分析</w:t>
            </w:r>
          </w:p>
          <w:tbl>
            <w:tblPr>
              <w:tblStyle w:val="21"/>
              <w:tblW w:w="6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2"/>
              <w:gridCol w:w="244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382"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实施方案要求</w:t>
                  </w:r>
                </w:p>
              </w:tc>
              <w:tc>
                <w:tcPr>
                  <w:tcW w:w="2440"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本项目情况</w:t>
                  </w:r>
                </w:p>
              </w:tc>
              <w:tc>
                <w:tcPr>
                  <w:tcW w:w="1095"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382"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优化含VOCs原辅材料和产品结构。严格控制生产和使用高VOCs含量涂料、油墨、</w:t>
                  </w:r>
                  <w:r>
                    <w:rPr>
                      <w:rFonts w:hint="eastAsia" w:ascii="Times New Roman" w:hAnsi="Times New Roman" w:eastAsia="宋体" w:cs="Times New Roman"/>
                      <w:color w:val="auto"/>
                      <w:spacing w:val="3"/>
                      <w:lang w:eastAsia="zh-CN"/>
                    </w:rPr>
                    <w:t>胶黏剂</w:t>
                  </w:r>
                  <w:r>
                    <w:rPr>
                      <w:rFonts w:ascii="Times New Roman" w:hAnsi="Times New Roman" w:eastAsia="宋体" w:cs="Times New Roman"/>
                      <w:color w:val="auto"/>
                      <w:spacing w:val="3"/>
                      <w:lang w:eastAsia="zh-CN"/>
                    </w:rPr>
                    <w:t>、清洗剂等建设项目，加大工业涂装、包装印刷和电子行业低（无）VOCs含量原辅材料替代力度。严格执行VOCs含量限值标准，室外构筑物防护和城市道路交通标志推广使用低（无）VOCs含量涂料。</w:t>
                  </w:r>
                </w:p>
              </w:tc>
              <w:tc>
                <w:tcPr>
                  <w:tcW w:w="2440" w:type="dxa"/>
                  <w:vMerge w:val="restart"/>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本项目采用VOCs含量检测合格的胶黏剂，不涉及高VOCs含量的溶剂型涂料、油墨、</w:t>
                  </w:r>
                  <w:r>
                    <w:rPr>
                      <w:rFonts w:hint="eastAsia" w:ascii="Times New Roman" w:hAnsi="Times New Roman" w:eastAsia="宋体" w:cs="Times New Roman"/>
                      <w:color w:val="auto"/>
                      <w:spacing w:val="3"/>
                      <w:lang w:eastAsia="zh-CN"/>
                    </w:rPr>
                    <w:t>胶黏剂</w:t>
                  </w:r>
                  <w:r>
                    <w:rPr>
                      <w:rFonts w:ascii="Times New Roman" w:hAnsi="Times New Roman" w:eastAsia="宋体" w:cs="Times New Roman"/>
                      <w:color w:val="auto"/>
                      <w:spacing w:val="3"/>
                      <w:lang w:eastAsia="zh-CN"/>
                    </w:rPr>
                    <w:t>等使用；能够从源头减少有机废气排放产生量，项目使用检测合格的胶黏剂作为封边胶，有机废气产生量很少，封胶过程中采用</w:t>
                  </w:r>
                  <w:r>
                    <w:rPr>
                      <w:rFonts w:hint="eastAsia" w:ascii="Times New Roman" w:hAnsi="Times New Roman" w:eastAsia="宋体" w:cs="Times New Roman"/>
                      <w:color w:val="auto"/>
                      <w:spacing w:val="3"/>
                      <w:lang w:eastAsia="zh-CN"/>
                    </w:rPr>
                    <w:t>盖板式</w:t>
                  </w:r>
                  <w:r>
                    <w:rPr>
                      <w:rFonts w:ascii="Times New Roman" w:hAnsi="Times New Roman" w:eastAsia="宋体" w:cs="Times New Roman"/>
                      <w:color w:val="auto"/>
                      <w:spacing w:val="3"/>
                      <w:lang w:eastAsia="zh-CN"/>
                    </w:rPr>
                    <w:t>封胶设备生产，能够从源头减少有机废气排放产生量，封胶结束后开启盖板取出成品，</w:t>
                  </w:r>
                  <w:r>
                    <w:rPr>
                      <w:rFonts w:hint="eastAsia" w:ascii="Times New Roman" w:hAnsi="Times New Roman" w:eastAsia="宋体" w:cs="Times New Roman"/>
                      <w:color w:val="auto"/>
                      <w:spacing w:val="3"/>
                      <w:lang w:eastAsia="zh-CN"/>
                    </w:rPr>
                    <w:t>生产全过程设备采用与设备紧密连接的集气管道，</w:t>
                  </w:r>
                  <w:r>
                    <w:rPr>
                      <w:rFonts w:hint="eastAsia" w:ascii="Times New Roman" w:hAnsi="Times New Roman" w:eastAsia="宋体" w:cs="Times New Roman"/>
                      <w:color w:val="auto"/>
                      <w:spacing w:val="3"/>
                      <w:lang w:val="en-US" w:eastAsia="zh-CN"/>
                    </w:rPr>
                    <w:t>在微负压环境下</w:t>
                  </w:r>
                  <w:r>
                    <w:rPr>
                      <w:rFonts w:hint="eastAsia" w:ascii="Times New Roman" w:hAnsi="Times New Roman" w:eastAsia="宋体" w:cs="Times New Roman"/>
                      <w:color w:val="auto"/>
                      <w:spacing w:val="3"/>
                      <w:lang w:eastAsia="zh-CN"/>
                    </w:rPr>
                    <w:t>对挥发性有机物进行收集</w:t>
                  </w:r>
                  <w:r>
                    <w:rPr>
                      <w:rFonts w:ascii="Times New Roman" w:hAnsi="Times New Roman" w:eastAsia="宋体" w:cs="Times New Roman"/>
                      <w:color w:val="auto"/>
                      <w:spacing w:val="3"/>
                      <w:lang w:eastAsia="zh-CN"/>
                    </w:rPr>
                    <w:t>，最终进入</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二级活性炭吸附</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处理后通过15m高排气筒排放。</w:t>
                  </w:r>
                </w:p>
              </w:tc>
              <w:tc>
                <w:tcPr>
                  <w:tcW w:w="1095"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3382"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2440" w:type="dxa"/>
                  <w:vMerge w:val="continue"/>
                  <w:vAlign w:val="center"/>
                </w:tcPr>
                <w:p>
                  <w:pPr>
                    <w:kinsoku/>
                    <w:jc w:val="center"/>
                    <w:rPr>
                      <w:rFonts w:ascii="Times New Roman" w:hAnsi="Times New Roman" w:eastAsia="宋体" w:cs="Times New Roman"/>
                      <w:color w:val="auto"/>
                      <w:spacing w:val="3"/>
                      <w:lang w:eastAsia="zh-CN"/>
                    </w:rPr>
                  </w:pPr>
                </w:p>
              </w:tc>
              <w:tc>
                <w:tcPr>
                  <w:tcW w:w="1095"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bl>
          <w:p>
            <w:pPr>
              <w:pStyle w:val="22"/>
              <w:kinsoku/>
              <w:spacing w:before="30" w:line="360" w:lineRule="auto"/>
              <w:ind w:left="122" w:firstLine="492" w:firstLineChars="200"/>
              <w:rPr>
                <w:rFonts w:hint="eastAsia"/>
                <w:color w:val="auto"/>
                <w:lang w:eastAsia="zh-CN"/>
              </w:rPr>
            </w:pPr>
            <w:r>
              <w:rPr>
                <w:color w:val="auto"/>
                <w:spacing w:val="3"/>
                <w:lang w:eastAsia="zh-CN"/>
              </w:rPr>
              <w:t>综上，项目符合《云南省空气质量持续改善行动实施方案》</w:t>
            </w:r>
            <w:r>
              <w:rPr>
                <w:color w:val="auto"/>
                <w:spacing w:val="-2"/>
                <w:lang w:eastAsia="zh-CN"/>
              </w:rPr>
              <w:t>相关要求。</w:t>
            </w:r>
          </w:p>
          <w:p>
            <w:pPr>
              <w:pStyle w:val="23"/>
              <w:spacing w:line="360" w:lineRule="auto"/>
              <w:ind w:firstLine="493" w:firstLineChars="200"/>
              <w:rPr>
                <w:rFonts w:hint="eastAsia" w:ascii="宋体" w:hAnsi="宋体" w:cs="宋体"/>
                <w:b/>
                <w:bCs/>
                <w:snapToGrid w:val="0"/>
                <w:spacing w:val="3"/>
                <w:kern w:val="0"/>
                <w:sz w:val="24"/>
                <w:szCs w:val="24"/>
              </w:rPr>
            </w:pPr>
            <w:r>
              <w:rPr>
                <w:rFonts w:hint="eastAsia" w:ascii="宋体" w:hAnsi="宋体" w:cs="宋体"/>
                <w:b/>
                <w:bCs/>
                <w:snapToGrid w:val="0"/>
                <w:spacing w:val="3"/>
                <w:kern w:val="0"/>
                <w:sz w:val="24"/>
                <w:szCs w:val="24"/>
              </w:rPr>
              <w:t>1</w:t>
            </w:r>
            <w:r>
              <w:rPr>
                <w:rFonts w:hint="eastAsia" w:ascii="宋体" w:hAnsi="宋体" w:cs="宋体"/>
                <w:b/>
                <w:bCs/>
                <w:snapToGrid w:val="0"/>
                <w:spacing w:val="3"/>
                <w:kern w:val="0"/>
                <w:sz w:val="24"/>
                <w:szCs w:val="24"/>
                <w:lang w:val="en-US" w:eastAsia="zh-CN"/>
              </w:rPr>
              <w:t>6</w:t>
            </w:r>
            <w:r>
              <w:rPr>
                <w:rFonts w:hint="eastAsia" w:ascii="宋体" w:hAnsi="宋体" w:cs="宋体"/>
                <w:b/>
                <w:bCs/>
                <w:snapToGrid w:val="0"/>
                <w:spacing w:val="3"/>
                <w:kern w:val="0"/>
                <w:sz w:val="24"/>
                <w:szCs w:val="24"/>
              </w:rPr>
              <w:t>、</w:t>
            </w:r>
            <w:r>
              <w:rPr>
                <w:rFonts w:ascii="宋体" w:hAnsi="宋体" w:cs="宋体"/>
                <w:b/>
                <w:bCs/>
                <w:snapToGrid w:val="0"/>
                <w:spacing w:val="3"/>
                <w:kern w:val="0"/>
                <w:sz w:val="24"/>
                <w:szCs w:val="24"/>
              </w:rPr>
              <w:t>项目与</w:t>
            </w:r>
            <w:r>
              <w:rPr>
                <w:rFonts w:hint="eastAsia" w:ascii="宋体" w:hAnsi="宋体" w:cs="宋体"/>
                <w:b/>
                <w:bCs/>
                <w:snapToGrid w:val="0"/>
                <w:spacing w:val="3"/>
                <w:kern w:val="0"/>
                <w:sz w:val="24"/>
                <w:szCs w:val="24"/>
              </w:rPr>
              <w:t>云南省“十四五”生态环境保护规划</w:t>
            </w:r>
            <w:r>
              <w:rPr>
                <w:rFonts w:ascii="宋体" w:hAnsi="宋体" w:cs="宋体"/>
                <w:b/>
                <w:bCs/>
                <w:snapToGrid w:val="0"/>
                <w:spacing w:val="3"/>
                <w:kern w:val="0"/>
                <w:sz w:val="24"/>
                <w:szCs w:val="24"/>
              </w:rPr>
              <w:t>相关要求相符性分析</w:t>
            </w:r>
          </w:p>
          <w:p>
            <w:pPr>
              <w:pStyle w:val="22"/>
              <w:kinsoku/>
              <w:spacing w:before="29" w:line="347" w:lineRule="auto"/>
              <w:ind w:left="122" w:right="191" w:firstLine="469"/>
              <w:rPr>
                <w:rFonts w:hint="eastAsia"/>
                <w:color w:val="auto"/>
                <w:spacing w:val="3"/>
                <w:lang w:eastAsia="zh-CN"/>
              </w:rPr>
            </w:pPr>
            <w:r>
              <w:rPr>
                <w:color w:val="auto"/>
                <w:spacing w:val="3"/>
                <w:lang w:eastAsia="zh-CN"/>
              </w:rPr>
              <w:t>《云南省</w:t>
            </w:r>
            <w:r>
              <w:rPr>
                <w:rFonts w:hint="eastAsia"/>
                <w:color w:val="auto"/>
                <w:spacing w:val="3"/>
                <w:lang w:eastAsia="zh-CN"/>
              </w:rPr>
              <w:t>“</w:t>
            </w:r>
            <w:r>
              <w:rPr>
                <w:color w:val="auto"/>
                <w:spacing w:val="3"/>
                <w:lang w:eastAsia="zh-CN"/>
              </w:rPr>
              <w:t>十四五</w:t>
            </w:r>
            <w:r>
              <w:rPr>
                <w:rFonts w:hint="eastAsia"/>
                <w:color w:val="auto"/>
                <w:spacing w:val="3"/>
                <w:lang w:eastAsia="zh-CN"/>
              </w:rPr>
              <w:t>”</w:t>
            </w:r>
            <w:r>
              <w:rPr>
                <w:color w:val="auto"/>
                <w:spacing w:val="3"/>
                <w:lang w:eastAsia="zh-CN"/>
              </w:rPr>
              <w:t>生态环境保护规划》（以下简称《规划》），明确</w:t>
            </w:r>
            <w:r>
              <w:rPr>
                <w:rFonts w:hint="eastAsia"/>
                <w:color w:val="auto"/>
                <w:spacing w:val="3"/>
                <w:lang w:eastAsia="zh-CN"/>
              </w:rPr>
              <w:t>“</w:t>
            </w:r>
            <w:r>
              <w:rPr>
                <w:color w:val="auto"/>
                <w:spacing w:val="3"/>
                <w:lang w:eastAsia="zh-CN"/>
              </w:rPr>
              <w:t>十四五</w:t>
            </w:r>
            <w:r>
              <w:rPr>
                <w:rFonts w:hint="eastAsia"/>
                <w:color w:val="auto"/>
                <w:spacing w:val="3"/>
                <w:lang w:eastAsia="zh-CN"/>
              </w:rPr>
              <w:t>”</w:t>
            </w:r>
            <w:r>
              <w:rPr>
                <w:color w:val="auto"/>
                <w:spacing w:val="3"/>
                <w:lang w:eastAsia="zh-CN"/>
              </w:rPr>
              <w:t>期间全省生态环境保护总体思路、主要目标、主要任务、重点工程和重大举措，开启</w:t>
            </w:r>
            <w:r>
              <w:rPr>
                <w:rFonts w:hint="eastAsia"/>
                <w:color w:val="auto"/>
                <w:spacing w:val="3"/>
                <w:lang w:eastAsia="zh-CN"/>
              </w:rPr>
              <w:t>“</w:t>
            </w:r>
            <w:r>
              <w:rPr>
                <w:color w:val="auto"/>
                <w:spacing w:val="3"/>
                <w:lang w:eastAsia="zh-CN"/>
              </w:rPr>
              <w:t>十四五</w:t>
            </w:r>
            <w:r>
              <w:rPr>
                <w:rFonts w:hint="eastAsia"/>
                <w:color w:val="auto"/>
                <w:spacing w:val="3"/>
                <w:lang w:eastAsia="zh-CN"/>
              </w:rPr>
              <w:t>”</w:t>
            </w:r>
            <w:r>
              <w:rPr>
                <w:color w:val="auto"/>
                <w:spacing w:val="3"/>
                <w:lang w:eastAsia="zh-CN"/>
              </w:rPr>
              <w:t>云南生态环境保护</w:t>
            </w:r>
            <w:r>
              <w:rPr>
                <w:rFonts w:hint="eastAsia"/>
                <w:color w:val="auto"/>
                <w:spacing w:val="3"/>
                <w:lang w:eastAsia="zh-CN"/>
              </w:rPr>
              <w:t>“</w:t>
            </w:r>
            <w:r>
              <w:rPr>
                <w:color w:val="auto"/>
                <w:spacing w:val="3"/>
                <w:lang w:eastAsia="zh-CN"/>
              </w:rPr>
              <w:t>新赛道</w:t>
            </w:r>
            <w:r>
              <w:rPr>
                <w:rFonts w:hint="eastAsia"/>
                <w:color w:val="auto"/>
                <w:spacing w:val="3"/>
                <w:lang w:eastAsia="zh-CN"/>
              </w:rPr>
              <w:t>”</w:t>
            </w:r>
            <w:r>
              <w:rPr>
                <w:color w:val="auto"/>
                <w:spacing w:val="3"/>
                <w:lang w:eastAsia="zh-CN"/>
              </w:rPr>
              <w:t>。本项目情况与</w:t>
            </w:r>
            <w:r>
              <w:rPr>
                <w:rFonts w:hint="eastAsia"/>
                <w:color w:val="auto"/>
                <w:spacing w:val="3"/>
                <w:lang w:eastAsia="zh-CN"/>
              </w:rPr>
              <w:t>《云南省“十四五”生态环境保护规划》</w:t>
            </w:r>
            <w:r>
              <w:rPr>
                <w:color w:val="auto"/>
                <w:spacing w:val="3"/>
                <w:lang w:eastAsia="zh-CN"/>
              </w:rPr>
              <w:t>相符性分析见表1-</w:t>
            </w:r>
            <w:r>
              <w:rPr>
                <w:rFonts w:hint="eastAsia"/>
                <w:color w:val="auto"/>
                <w:spacing w:val="3"/>
                <w:lang w:val="en-US" w:eastAsia="zh-CN"/>
              </w:rPr>
              <w:t>20</w:t>
            </w:r>
            <w:r>
              <w:rPr>
                <w:color w:val="auto"/>
                <w:spacing w:val="3"/>
                <w:lang w:eastAsia="zh-CN"/>
              </w:rPr>
              <w:t>。</w:t>
            </w:r>
          </w:p>
          <w:p>
            <w:pPr>
              <w:pStyle w:val="22"/>
              <w:kinsoku/>
              <w:spacing w:before="27" w:line="224" w:lineRule="auto"/>
              <w:ind w:left="166"/>
              <w:jc w:val="center"/>
              <w:rPr>
                <w:rFonts w:hint="eastAsia"/>
                <w:color w:val="auto"/>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20</w:t>
            </w:r>
            <w:r>
              <w:rPr>
                <w:b/>
                <w:bCs/>
                <w:color w:val="auto"/>
                <w:spacing w:val="7"/>
                <w:sz w:val="20"/>
                <w:szCs w:val="20"/>
                <w:lang w:eastAsia="zh-CN"/>
              </w:rPr>
              <w:t>项目与</w:t>
            </w:r>
            <w:r>
              <w:rPr>
                <w:rFonts w:hint="eastAsia"/>
                <w:b/>
                <w:bCs/>
                <w:color w:val="auto"/>
                <w:spacing w:val="7"/>
                <w:sz w:val="20"/>
                <w:szCs w:val="20"/>
                <w:lang w:eastAsia="zh-CN"/>
              </w:rPr>
              <w:t>《云南省“十四五”生态环境保护规划》</w:t>
            </w:r>
            <w:r>
              <w:rPr>
                <w:b/>
                <w:bCs/>
                <w:color w:val="auto"/>
                <w:spacing w:val="7"/>
                <w:sz w:val="20"/>
                <w:szCs w:val="20"/>
                <w:lang w:eastAsia="zh-CN"/>
              </w:rPr>
              <w:t>符合性分析</w:t>
            </w:r>
          </w:p>
          <w:tbl>
            <w:tblPr>
              <w:tblStyle w:val="21"/>
              <w:tblW w:w="7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27"/>
              <w:gridCol w:w="256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427" w:type="dxa"/>
                  <w:vAlign w:val="center"/>
                </w:tcPr>
                <w:p>
                  <w:pPr>
                    <w:kinsoku/>
                    <w:jc w:val="center"/>
                    <w:rPr>
                      <w:rFonts w:ascii="Times New Roman" w:hAnsi="Times New Roman" w:eastAsia="宋体" w:cs="Times New Roman"/>
                      <w:b/>
                      <w:bCs/>
                      <w:color w:val="auto"/>
                      <w:spacing w:val="3"/>
                      <w:lang w:eastAsia="zh-CN"/>
                    </w:rPr>
                  </w:pPr>
                  <w:r>
                    <w:rPr>
                      <w:rFonts w:hint="eastAsia" w:ascii="Times New Roman" w:hAnsi="Times New Roman" w:eastAsia="宋体" w:cs="Times New Roman"/>
                      <w:b/>
                      <w:bCs/>
                      <w:color w:val="auto"/>
                      <w:spacing w:val="3"/>
                      <w:lang w:eastAsia="zh-CN"/>
                    </w:rPr>
                    <w:t>规划</w:t>
                  </w:r>
                  <w:r>
                    <w:rPr>
                      <w:rFonts w:ascii="Times New Roman" w:hAnsi="Times New Roman" w:eastAsia="宋体" w:cs="Times New Roman"/>
                      <w:b/>
                      <w:bCs/>
                      <w:color w:val="auto"/>
                      <w:spacing w:val="3"/>
                      <w:lang w:eastAsia="zh-CN"/>
                    </w:rPr>
                    <w:t>要求</w:t>
                  </w:r>
                </w:p>
              </w:tc>
              <w:tc>
                <w:tcPr>
                  <w:tcW w:w="2560"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本项目情况</w:t>
                  </w:r>
                </w:p>
              </w:tc>
              <w:tc>
                <w:tcPr>
                  <w:tcW w:w="1035"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427"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优化产业结构</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推进重点行业绿色化改造。推动钢铁、建材、有色、石化等原材料产业布局优化和结构调整，以钢铁、焦化、铸造、建材、有色、石化、化工、工业涂装、包装印刷、电镀、制革、造纸、纺织印染、农副食品加工等行业为重点，开展全流程清洁化、循环化、低碳化改造，全面推动传统优势产业绿色转型升级。</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促进各类开发区整合提升，依法依规推动工业企业入园入区发展，提高各类开发区聚集水平，深入推进各类开发区循环化改造。</w:t>
                  </w:r>
                </w:p>
              </w:tc>
              <w:tc>
                <w:tcPr>
                  <w:tcW w:w="2560" w:type="dxa"/>
                  <w:vMerge w:val="restart"/>
                  <w:vAlign w:val="center"/>
                </w:tcPr>
                <w:p>
                  <w:pPr>
                    <w:kinsoku/>
                    <w:jc w:val="center"/>
                    <w:rPr>
                      <w:rFonts w:ascii="Times New Roman" w:hAnsi="Times New Roman" w:eastAsia="宋体" w:cs="Times New Roman"/>
                      <w:color w:val="auto"/>
                      <w:spacing w:val="3"/>
                      <w:lang w:eastAsia="zh-CN"/>
                    </w:rPr>
                  </w:pPr>
                  <w:r>
                    <w:rPr>
                      <w:color w:val="auto"/>
                      <w:spacing w:val="3"/>
                      <w:lang w:eastAsia="zh-CN"/>
                    </w:rPr>
                    <w:t>《</w:t>
                  </w:r>
                  <w:r>
                    <w:rPr>
                      <w:rFonts w:ascii="Times New Roman" w:hAnsi="Times New Roman" w:eastAsia="宋体" w:cs="Times New Roman"/>
                      <w:color w:val="auto"/>
                      <w:spacing w:val="3"/>
                      <w:lang w:eastAsia="zh-CN"/>
                    </w:rPr>
                    <w:t>产业结构调整指导目录（20</w:t>
                  </w:r>
                  <w:r>
                    <w:rPr>
                      <w:rFonts w:hint="eastAsia" w:ascii="Times New Roman" w:hAnsi="Times New Roman" w:eastAsia="宋体" w:cs="Times New Roman"/>
                      <w:color w:val="auto"/>
                      <w:spacing w:val="3"/>
                      <w:lang w:eastAsia="zh-CN"/>
                    </w:rPr>
                    <w:t>24</w:t>
                  </w:r>
                  <w:r>
                    <w:rPr>
                      <w:rFonts w:ascii="Times New Roman" w:hAnsi="Times New Roman" w:eastAsia="宋体" w:cs="Times New Roman"/>
                      <w:color w:val="auto"/>
                      <w:spacing w:val="3"/>
                      <w:lang w:eastAsia="zh-CN"/>
                    </w:rPr>
                    <w:t>年本）》</w:t>
                  </w:r>
                  <w:r>
                    <w:rPr>
                      <w:color w:val="auto"/>
                      <w:spacing w:val="2"/>
                      <w:lang w:eastAsia="zh-CN"/>
                    </w:rPr>
                    <w:t>不属于限制类及淘汰类。</w:t>
                  </w:r>
                  <w:r>
                    <w:rPr>
                      <w:rFonts w:hint="eastAsia" w:ascii="Times New Roman" w:hAnsi="Times New Roman" w:eastAsia="宋体" w:cs="Times New Roman"/>
                      <w:color w:val="auto"/>
                      <w:spacing w:val="3"/>
                      <w:lang w:eastAsia="zh-CN"/>
                    </w:rPr>
                    <w:t>项目选址位于</w:t>
                  </w:r>
                  <w:r>
                    <w:rPr>
                      <w:rFonts w:hint="eastAsia"/>
                      <w:color w:val="auto"/>
                      <w:spacing w:val="2"/>
                      <w:lang w:eastAsia="zh-CN"/>
                    </w:rPr>
                    <w:t>云南嵩明杨林工业园区东环路68号附3号，为工业园区内。</w:t>
                  </w:r>
                  <w:r>
                    <w:rPr>
                      <w:rFonts w:ascii="Times New Roman" w:hAnsi="Times New Roman" w:eastAsia="宋体" w:cs="Times New Roman"/>
                      <w:color w:val="auto"/>
                      <w:spacing w:val="11"/>
                      <w:lang w:eastAsia="zh-CN"/>
                    </w:rPr>
                    <w:t>项目属于家具制造业，主要生产组合家具</w:t>
                  </w:r>
                  <w:r>
                    <w:rPr>
                      <w:rFonts w:hint="eastAsia" w:ascii="Times New Roman" w:hAnsi="Times New Roman" w:eastAsia="宋体" w:cs="Times New Roman"/>
                      <w:color w:val="auto"/>
                      <w:spacing w:val="11"/>
                      <w:lang w:eastAsia="zh-CN"/>
                    </w:rPr>
                    <w:t>，项目生产采用具有环保标识的胶黏剂，对生产中产生的粉尘经设备自带吸尘管及设备上方集气罩收集后通过废气收集管至中央除尘系统处理后通过1根15m高排气筒排放，</w:t>
                  </w:r>
                  <w:r>
                    <w:rPr>
                      <w:rFonts w:hint="eastAsia" w:ascii="Times New Roman" w:hAnsi="Times New Roman" w:eastAsia="宋体" w:cs="Times New Roman"/>
                      <w:color w:val="auto"/>
                      <w:spacing w:val="3"/>
                      <w:lang w:eastAsia="zh-CN"/>
                    </w:rPr>
                    <w:t>封边工序设备采用</w:t>
                  </w:r>
                  <w:r>
                    <w:rPr>
                      <w:rFonts w:hint="eastAsia" w:ascii="宋体" w:hAnsi="宋体" w:eastAsia="宋体" w:cs="宋体"/>
                      <w:color w:val="auto"/>
                      <w:spacing w:val="4"/>
                      <w:lang w:eastAsia="zh-CN"/>
                    </w:rPr>
                    <w:t>微负压全密闭集气罩</w:t>
                  </w:r>
                  <w:r>
                    <w:rPr>
                      <w:rFonts w:hint="eastAsia" w:ascii="Times New Roman" w:hAnsi="Times New Roman" w:eastAsia="宋体" w:cs="Times New Roman"/>
                      <w:color w:val="auto"/>
                      <w:spacing w:val="3"/>
                      <w:lang w:eastAsia="zh-CN"/>
                    </w:rPr>
                    <w:t>对挥发性有机物进行收集，最终进入“二级活性炭吸附”</w:t>
                  </w:r>
                  <w:r>
                    <w:rPr>
                      <w:rFonts w:ascii="Times New Roman" w:hAnsi="Times New Roman" w:eastAsia="宋体" w:cs="Times New Roman"/>
                      <w:color w:val="auto"/>
                      <w:spacing w:val="3"/>
                      <w:lang w:eastAsia="zh-CN"/>
                    </w:rPr>
                    <w:t>处理后通过15m高排气筒排放</w:t>
                  </w:r>
                  <w:r>
                    <w:rPr>
                      <w:rFonts w:hint="eastAsia" w:ascii="Times New Roman" w:hAnsi="Times New Roman" w:eastAsia="宋体" w:cs="Times New Roman"/>
                      <w:color w:val="auto"/>
                      <w:spacing w:val="3"/>
                      <w:lang w:eastAsia="zh-CN"/>
                    </w:rPr>
                    <w:t>。</w:t>
                  </w:r>
                </w:p>
              </w:tc>
              <w:tc>
                <w:tcPr>
                  <w:tcW w:w="1035"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3427"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进绿色低碳发展重点工程</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实施云南省工业绿色发展</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862</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战略。推动烟草、有色、钢铁、化工、建材等重点行业技术升级、设备更新和绿色低碳改造。开展产业园绿色发展试点示范遴选和创建，推动有条件的各类开发区积极申报国家级循环化改造试点示范、国家绿色园区、工业资源综合利用基地等。</w:t>
                  </w:r>
                  <w:r>
                    <w:rPr>
                      <w:rFonts w:hint="eastAsia" w:ascii="Times New Roman" w:hAnsi="Times New Roman" w:eastAsia="宋体" w:cs="Times New Roman"/>
                      <w:color w:val="auto"/>
                      <w:spacing w:val="3"/>
                      <w:lang w:eastAsia="zh-CN"/>
                    </w:rPr>
                    <w:t>加大</w:t>
                  </w:r>
                  <w:r>
                    <w:rPr>
                      <w:rFonts w:ascii="Times New Roman" w:hAnsi="Times New Roman" w:eastAsia="宋体" w:cs="Times New Roman"/>
                      <w:color w:val="auto"/>
                      <w:spacing w:val="3"/>
                      <w:lang w:eastAsia="zh-CN"/>
                    </w:rPr>
                    <w:t>环保技术和装备应用力度，针对钢铁、有色金属、石化、建材、轻工、纺织等重点行业开展节能环保技术装备升级改造，培育一批</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专精特新</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中小企业。</w:t>
                  </w:r>
                </w:p>
              </w:tc>
              <w:tc>
                <w:tcPr>
                  <w:tcW w:w="2560" w:type="dxa"/>
                  <w:vMerge w:val="continue"/>
                  <w:vAlign w:val="center"/>
                </w:tcPr>
                <w:p>
                  <w:pPr>
                    <w:kinsoku/>
                    <w:jc w:val="center"/>
                    <w:rPr>
                      <w:rFonts w:ascii="Times New Roman" w:hAnsi="Times New Roman" w:eastAsia="宋体" w:cs="Times New Roman"/>
                      <w:color w:val="auto"/>
                      <w:spacing w:val="3"/>
                      <w:lang w:eastAsia="zh-CN"/>
                    </w:rPr>
                  </w:pPr>
                </w:p>
              </w:tc>
              <w:tc>
                <w:tcPr>
                  <w:tcW w:w="1035"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3427"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持续推进污染源治理</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全面推进使用低VOCs含量涂料、油墨、</w:t>
                  </w:r>
                  <w:r>
                    <w:rPr>
                      <w:rFonts w:hint="eastAsia" w:ascii="Times New Roman" w:hAnsi="Times New Roman" w:eastAsia="宋体" w:cs="Times New Roman"/>
                      <w:color w:val="auto"/>
                      <w:spacing w:val="3"/>
                      <w:lang w:eastAsia="zh-CN"/>
                    </w:rPr>
                    <w:t>胶黏剂</w:t>
                  </w:r>
                  <w:r>
                    <w:rPr>
                      <w:rFonts w:ascii="Times New Roman" w:hAnsi="Times New Roman" w:eastAsia="宋体" w:cs="Times New Roman"/>
                      <w:color w:val="auto"/>
                      <w:spacing w:val="3"/>
                      <w:lang w:eastAsia="zh-CN"/>
                    </w:rPr>
                    <w:t>、清洗剂等，建立低VOCs含量产品标志制度。加大餐饮油烟污染治理力度。</w:t>
                  </w:r>
                  <w:r>
                    <w:rPr>
                      <w:rFonts w:hint="eastAsia" w:ascii="Times New Roman" w:hAnsi="Times New Roman" w:eastAsia="宋体" w:cs="Times New Roman"/>
                      <w:color w:val="auto"/>
                      <w:spacing w:val="3"/>
                      <w:lang w:eastAsia="zh-CN"/>
                    </w:rPr>
                    <w:t>……</w:t>
                  </w:r>
                </w:p>
              </w:tc>
              <w:tc>
                <w:tcPr>
                  <w:tcW w:w="2560"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本项目采用VOCs含量检测合格的胶黏剂，不涉及高VOCs含量的溶剂型涂料、油墨、</w:t>
                  </w:r>
                  <w:r>
                    <w:rPr>
                      <w:rFonts w:hint="eastAsia" w:ascii="Times New Roman" w:hAnsi="Times New Roman" w:eastAsia="宋体" w:cs="Times New Roman"/>
                      <w:color w:val="auto"/>
                      <w:spacing w:val="3"/>
                      <w:lang w:eastAsia="zh-CN"/>
                    </w:rPr>
                    <w:t>胶黏剂</w:t>
                  </w:r>
                  <w:r>
                    <w:rPr>
                      <w:rFonts w:ascii="Times New Roman" w:hAnsi="Times New Roman" w:eastAsia="宋体" w:cs="Times New Roman"/>
                      <w:color w:val="auto"/>
                      <w:spacing w:val="3"/>
                      <w:lang w:eastAsia="zh-CN"/>
                    </w:rPr>
                    <w:t>等使用；能够从源头减少有机废气排放产生量，项目使用检测合格的胶黏剂作为封边胶，有机废气产生量很少，封胶过程中采用</w:t>
                  </w:r>
                  <w:r>
                    <w:rPr>
                      <w:rFonts w:hint="eastAsia" w:ascii="Times New Roman" w:hAnsi="Times New Roman" w:eastAsia="宋体" w:cs="Times New Roman"/>
                      <w:color w:val="auto"/>
                      <w:spacing w:val="3"/>
                      <w:lang w:eastAsia="zh-CN"/>
                    </w:rPr>
                    <w:t>盖板式</w:t>
                  </w:r>
                  <w:r>
                    <w:rPr>
                      <w:rFonts w:ascii="Times New Roman" w:hAnsi="Times New Roman" w:eastAsia="宋体" w:cs="Times New Roman"/>
                      <w:color w:val="auto"/>
                      <w:spacing w:val="3"/>
                      <w:lang w:eastAsia="zh-CN"/>
                    </w:rPr>
                    <w:t>封胶设备生产，能够从源头减少有机废气排放产生量，封胶结束后开启盖板取出成品，</w:t>
                  </w:r>
                  <w:r>
                    <w:rPr>
                      <w:rFonts w:hint="eastAsia" w:ascii="Times New Roman" w:hAnsi="Times New Roman" w:eastAsia="宋体" w:cs="Times New Roman"/>
                      <w:color w:val="auto"/>
                      <w:spacing w:val="3"/>
                      <w:lang w:eastAsia="zh-CN"/>
                    </w:rPr>
                    <w:t>生产全过程设备采用与设备紧密连接的集气管道，</w:t>
                  </w:r>
                  <w:r>
                    <w:rPr>
                      <w:rFonts w:hint="eastAsia" w:ascii="Times New Roman" w:hAnsi="Times New Roman" w:eastAsia="宋体" w:cs="Times New Roman"/>
                      <w:color w:val="auto"/>
                      <w:spacing w:val="3"/>
                      <w:lang w:val="en-US" w:eastAsia="zh-CN"/>
                    </w:rPr>
                    <w:t>在微负压环境下</w:t>
                  </w:r>
                  <w:r>
                    <w:rPr>
                      <w:rFonts w:hint="eastAsia" w:ascii="Times New Roman" w:hAnsi="Times New Roman" w:eastAsia="宋体" w:cs="Times New Roman"/>
                      <w:color w:val="auto"/>
                      <w:spacing w:val="3"/>
                      <w:lang w:eastAsia="zh-CN"/>
                    </w:rPr>
                    <w:t>对挥发性有机物进行收集</w:t>
                  </w:r>
                  <w:r>
                    <w:rPr>
                      <w:rFonts w:ascii="Times New Roman" w:hAnsi="Times New Roman" w:eastAsia="宋体" w:cs="Times New Roman"/>
                      <w:color w:val="auto"/>
                      <w:spacing w:val="3"/>
                      <w:lang w:eastAsia="zh-CN"/>
                    </w:rPr>
                    <w:t>，最终进入</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二级活性炭吸附</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处理后通过15m高排气筒排放</w:t>
                  </w:r>
                  <w:r>
                    <w:rPr>
                      <w:rFonts w:hint="eastAsia" w:ascii="Times New Roman" w:hAnsi="Times New Roman" w:eastAsia="宋体" w:cs="Times New Roman"/>
                      <w:color w:val="auto"/>
                      <w:spacing w:val="3"/>
                      <w:lang w:eastAsia="zh-CN"/>
                    </w:rPr>
                    <w:t>。</w:t>
                  </w:r>
                </w:p>
              </w:tc>
              <w:tc>
                <w:tcPr>
                  <w:tcW w:w="1035" w:type="dxa"/>
                  <w:vAlign w:val="center"/>
                </w:tcPr>
                <w:p>
                  <w:pPr>
                    <w:kinsoku/>
                    <w:jc w:val="center"/>
                    <w:rPr>
                      <w:rFonts w:ascii="Times New Roman" w:hAnsi="Times New Roman" w:eastAsia="宋体" w:cs="Times New Roman"/>
                      <w:color w:val="auto"/>
                      <w:spacing w:val="3"/>
                      <w:lang w:eastAsia="zh-CN"/>
                    </w:rPr>
                  </w:pPr>
                  <w:r>
                    <w:rPr>
                      <w:rFonts w:hint="eastAsia" w:ascii="Times New Roman" w:hAnsi="Times New Roman" w:eastAsia="宋体" w:cs="Times New Roman"/>
                      <w:color w:val="auto"/>
                      <w:spacing w:val="3"/>
                      <w:lang w:eastAsia="zh-CN"/>
                    </w:rPr>
                    <w:t>符合</w:t>
                  </w:r>
                </w:p>
              </w:tc>
            </w:tr>
          </w:tbl>
          <w:p>
            <w:pPr>
              <w:pStyle w:val="22"/>
              <w:kinsoku/>
              <w:spacing w:before="30" w:line="360" w:lineRule="auto"/>
              <w:ind w:left="122" w:firstLine="492" w:firstLineChars="200"/>
              <w:rPr>
                <w:rFonts w:hint="eastAsia"/>
                <w:color w:val="auto"/>
                <w:lang w:eastAsia="zh-CN"/>
              </w:rPr>
            </w:pPr>
            <w:r>
              <w:rPr>
                <w:color w:val="auto"/>
                <w:spacing w:val="3"/>
                <w:lang w:eastAsia="zh-CN"/>
              </w:rPr>
              <w:t>综上，项目符合《</w:t>
            </w:r>
            <w:r>
              <w:rPr>
                <w:rFonts w:hint="eastAsia"/>
                <w:color w:val="auto"/>
                <w:spacing w:val="3"/>
                <w:lang w:eastAsia="zh-CN"/>
              </w:rPr>
              <w:t>云南省“十四五”生态环境保护规划</w:t>
            </w:r>
            <w:r>
              <w:rPr>
                <w:color w:val="auto"/>
                <w:spacing w:val="3"/>
                <w:lang w:eastAsia="zh-CN"/>
              </w:rPr>
              <w:t>》</w:t>
            </w:r>
            <w:r>
              <w:rPr>
                <w:color w:val="auto"/>
                <w:spacing w:val="-2"/>
                <w:lang w:eastAsia="zh-CN"/>
              </w:rPr>
              <w:t>相关要求。</w:t>
            </w:r>
          </w:p>
          <w:p>
            <w:pPr>
              <w:pStyle w:val="23"/>
              <w:spacing w:line="360" w:lineRule="auto"/>
              <w:ind w:firstLine="493" w:firstLineChars="200"/>
              <w:rPr>
                <w:rFonts w:hint="eastAsia" w:ascii="宋体" w:hAnsi="宋体" w:cs="宋体"/>
                <w:b/>
                <w:bCs/>
                <w:snapToGrid w:val="0"/>
                <w:spacing w:val="3"/>
                <w:kern w:val="0"/>
                <w:sz w:val="24"/>
                <w:szCs w:val="24"/>
              </w:rPr>
            </w:pPr>
            <w:r>
              <w:rPr>
                <w:rFonts w:hint="eastAsia" w:ascii="宋体" w:hAnsi="宋体" w:cs="宋体"/>
                <w:b/>
                <w:bCs/>
                <w:snapToGrid w:val="0"/>
                <w:spacing w:val="3"/>
                <w:kern w:val="0"/>
                <w:sz w:val="24"/>
                <w:szCs w:val="24"/>
              </w:rPr>
              <w:t>1</w:t>
            </w:r>
            <w:r>
              <w:rPr>
                <w:rFonts w:hint="eastAsia" w:ascii="宋体" w:hAnsi="宋体" w:cs="宋体"/>
                <w:b/>
                <w:bCs/>
                <w:snapToGrid w:val="0"/>
                <w:spacing w:val="3"/>
                <w:kern w:val="0"/>
                <w:sz w:val="24"/>
                <w:szCs w:val="24"/>
                <w:lang w:val="en-US" w:eastAsia="zh-CN"/>
              </w:rPr>
              <w:t>7</w:t>
            </w:r>
            <w:r>
              <w:rPr>
                <w:rFonts w:hint="eastAsia" w:ascii="宋体" w:hAnsi="宋体" w:cs="宋体"/>
                <w:b/>
                <w:bCs/>
                <w:snapToGrid w:val="0"/>
                <w:spacing w:val="3"/>
                <w:kern w:val="0"/>
                <w:sz w:val="24"/>
                <w:szCs w:val="24"/>
              </w:rPr>
              <w:t>、</w:t>
            </w:r>
            <w:r>
              <w:rPr>
                <w:rFonts w:ascii="宋体" w:hAnsi="宋体" w:cs="宋体"/>
                <w:b/>
                <w:bCs/>
                <w:snapToGrid w:val="0"/>
                <w:spacing w:val="3"/>
                <w:kern w:val="0"/>
                <w:sz w:val="24"/>
                <w:szCs w:val="24"/>
              </w:rPr>
              <w:t>项目与</w:t>
            </w:r>
            <w:r>
              <w:rPr>
                <w:rFonts w:hint="eastAsia" w:ascii="宋体" w:hAnsi="宋体" w:cs="宋体"/>
                <w:b/>
                <w:bCs/>
                <w:snapToGrid w:val="0"/>
                <w:spacing w:val="3"/>
                <w:kern w:val="0"/>
                <w:sz w:val="24"/>
                <w:szCs w:val="24"/>
              </w:rPr>
              <w:t>昆明市“十四五”生态环境保护规划</w:t>
            </w:r>
            <w:r>
              <w:rPr>
                <w:rFonts w:ascii="宋体" w:hAnsi="宋体" w:cs="宋体"/>
                <w:b/>
                <w:bCs/>
                <w:snapToGrid w:val="0"/>
                <w:spacing w:val="3"/>
                <w:kern w:val="0"/>
                <w:sz w:val="24"/>
                <w:szCs w:val="24"/>
              </w:rPr>
              <w:t>相关要求相符性分析</w:t>
            </w:r>
          </w:p>
          <w:p>
            <w:pPr>
              <w:kinsoku/>
              <w:spacing w:line="360" w:lineRule="auto"/>
              <w:ind w:firstLine="492" w:firstLineChars="200"/>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根据国家、省、市国民经济和社会发展第十四个五年规划和二</w:t>
            </w:r>
            <w:r>
              <w:rPr>
                <w:rFonts w:hint="eastAsia" w:ascii="宋体" w:hAnsi="宋体" w:eastAsia="宋体" w:cs="宋体"/>
                <w:color w:val="auto"/>
                <w:spacing w:val="3"/>
                <w:sz w:val="24"/>
                <w:szCs w:val="24"/>
                <w:lang w:eastAsia="zh-CN"/>
              </w:rPr>
              <w:t>〇</w:t>
            </w:r>
            <w:r>
              <w:rPr>
                <w:rFonts w:ascii="宋体" w:hAnsi="宋体" w:eastAsia="宋体" w:cs="宋体"/>
                <w:color w:val="auto"/>
                <w:spacing w:val="3"/>
                <w:sz w:val="24"/>
                <w:szCs w:val="24"/>
                <w:lang w:eastAsia="zh-CN"/>
              </w:rPr>
              <w:t>三五</w:t>
            </w:r>
            <w:r>
              <w:rPr>
                <w:rFonts w:hint="eastAsia" w:ascii="宋体" w:hAnsi="宋体" w:eastAsia="宋体" w:cs="宋体"/>
                <w:color w:val="auto"/>
                <w:spacing w:val="3"/>
                <w:sz w:val="24"/>
                <w:szCs w:val="24"/>
                <w:lang w:eastAsia="zh-CN"/>
              </w:rPr>
              <w:t>年远景目标纲要，以及国家、省“十四五”生态环境保护规划，制定昆明市“十四五”生态环境保护规划。</w:t>
            </w:r>
            <w:r>
              <w:rPr>
                <w:rFonts w:ascii="宋体" w:hAnsi="宋体" w:eastAsia="宋体" w:cs="宋体"/>
                <w:color w:val="auto"/>
                <w:spacing w:val="3"/>
                <w:sz w:val="24"/>
                <w:szCs w:val="24"/>
                <w:lang w:eastAsia="zh-CN"/>
              </w:rPr>
              <w:t>本项目情况与</w:t>
            </w:r>
            <w:r>
              <w:rPr>
                <w:rFonts w:hint="eastAsia" w:ascii="宋体" w:hAnsi="宋体" w:eastAsia="宋体" w:cs="宋体"/>
                <w:color w:val="auto"/>
                <w:spacing w:val="3"/>
                <w:sz w:val="24"/>
                <w:szCs w:val="24"/>
                <w:lang w:eastAsia="zh-CN"/>
              </w:rPr>
              <w:t>《昆明市“十四五”生态环境保护规划》</w:t>
            </w:r>
            <w:r>
              <w:rPr>
                <w:rFonts w:ascii="宋体" w:hAnsi="宋体" w:eastAsia="宋体" w:cs="宋体"/>
                <w:color w:val="auto"/>
                <w:spacing w:val="3"/>
                <w:sz w:val="24"/>
                <w:szCs w:val="24"/>
                <w:lang w:eastAsia="zh-CN"/>
              </w:rPr>
              <w:t>相符性分析见表1-</w:t>
            </w:r>
            <w:r>
              <w:rPr>
                <w:rFonts w:hint="eastAsia" w:ascii="宋体" w:hAnsi="宋体" w:eastAsia="宋体" w:cs="宋体"/>
                <w:color w:val="auto"/>
                <w:spacing w:val="3"/>
                <w:sz w:val="24"/>
                <w:szCs w:val="24"/>
                <w:lang w:val="en-US" w:eastAsia="zh-CN"/>
              </w:rPr>
              <w:t>21</w:t>
            </w:r>
            <w:r>
              <w:rPr>
                <w:rFonts w:ascii="宋体" w:hAnsi="宋体" w:eastAsia="宋体" w:cs="宋体"/>
                <w:color w:val="auto"/>
                <w:spacing w:val="3"/>
                <w:sz w:val="24"/>
                <w:szCs w:val="24"/>
                <w:lang w:eastAsia="zh-CN"/>
              </w:rPr>
              <w:t>。</w:t>
            </w:r>
          </w:p>
          <w:p>
            <w:pPr>
              <w:pStyle w:val="22"/>
              <w:kinsoku/>
              <w:spacing w:before="27" w:line="224" w:lineRule="auto"/>
              <w:ind w:left="166"/>
              <w:jc w:val="center"/>
              <w:rPr>
                <w:rFonts w:hint="eastAsia"/>
                <w:color w:val="auto"/>
                <w:sz w:val="20"/>
                <w:szCs w:val="20"/>
                <w:lang w:eastAsia="zh-CN"/>
              </w:rPr>
            </w:pPr>
            <w:r>
              <w:rPr>
                <w:b/>
                <w:bCs/>
                <w:color w:val="auto"/>
                <w:spacing w:val="7"/>
                <w:sz w:val="20"/>
                <w:szCs w:val="20"/>
                <w:lang w:eastAsia="zh-CN"/>
              </w:rPr>
              <w:t>表</w:t>
            </w:r>
            <w:r>
              <w:rPr>
                <w:rFonts w:ascii="Times New Roman" w:hAnsi="Times New Roman" w:eastAsia="Times New Roman" w:cs="Times New Roman"/>
                <w:b/>
                <w:bCs/>
                <w:color w:val="auto"/>
                <w:spacing w:val="7"/>
                <w:sz w:val="20"/>
                <w:szCs w:val="20"/>
                <w:lang w:eastAsia="zh-CN"/>
              </w:rPr>
              <w:t>1-</w:t>
            </w:r>
            <w:r>
              <w:rPr>
                <w:rFonts w:hint="eastAsia" w:ascii="Times New Roman" w:hAnsi="Times New Roman" w:cs="Times New Roman"/>
                <w:b/>
                <w:bCs/>
                <w:color w:val="auto"/>
                <w:spacing w:val="7"/>
                <w:sz w:val="20"/>
                <w:szCs w:val="20"/>
                <w:lang w:val="en-US" w:eastAsia="zh-CN"/>
              </w:rPr>
              <w:t>21</w:t>
            </w:r>
            <w:r>
              <w:rPr>
                <w:b/>
                <w:bCs/>
                <w:color w:val="auto"/>
                <w:spacing w:val="7"/>
                <w:sz w:val="20"/>
                <w:szCs w:val="20"/>
                <w:lang w:eastAsia="zh-CN"/>
              </w:rPr>
              <w:t>项目与</w:t>
            </w:r>
            <w:r>
              <w:rPr>
                <w:rFonts w:hint="eastAsia"/>
                <w:b/>
                <w:bCs/>
                <w:color w:val="auto"/>
                <w:spacing w:val="7"/>
                <w:sz w:val="20"/>
                <w:szCs w:val="20"/>
                <w:lang w:eastAsia="zh-CN"/>
              </w:rPr>
              <w:t>《昆明市“十四五”生态环境保护规划》</w:t>
            </w:r>
            <w:r>
              <w:rPr>
                <w:b/>
                <w:bCs/>
                <w:color w:val="auto"/>
                <w:spacing w:val="7"/>
                <w:sz w:val="20"/>
                <w:szCs w:val="20"/>
                <w:lang w:eastAsia="zh-CN"/>
              </w:rPr>
              <w:t>符合性分析</w:t>
            </w:r>
          </w:p>
          <w:tbl>
            <w:tblPr>
              <w:tblStyle w:val="21"/>
              <w:tblW w:w="7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82"/>
              <w:gridCol w:w="31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182" w:type="dxa"/>
                  <w:vAlign w:val="center"/>
                </w:tcPr>
                <w:p>
                  <w:pPr>
                    <w:kinsoku/>
                    <w:jc w:val="center"/>
                    <w:rPr>
                      <w:rFonts w:ascii="Times New Roman" w:hAnsi="Times New Roman" w:eastAsia="宋体" w:cs="Times New Roman"/>
                      <w:b/>
                      <w:bCs/>
                      <w:color w:val="auto"/>
                      <w:spacing w:val="3"/>
                      <w:lang w:eastAsia="zh-CN"/>
                    </w:rPr>
                  </w:pPr>
                  <w:r>
                    <w:rPr>
                      <w:rFonts w:hint="eastAsia" w:ascii="Times New Roman" w:hAnsi="Times New Roman" w:eastAsia="宋体" w:cs="Times New Roman"/>
                      <w:b/>
                      <w:bCs/>
                      <w:color w:val="auto"/>
                      <w:spacing w:val="3"/>
                      <w:lang w:eastAsia="zh-CN"/>
                    </w:rPr>
                    <w:t>规划</w:t>
                  </w:r>
                  <w:r>
                    <w:rPr>
                      <w:rFonts w:ascii="Times New Roman" w:hAnsi="Times New Roman" w:eastAsia="宋体" w:cs="Times New Roman"/>
                      <w:b/>
                      <w:bCs/>
                      <w:color w:val="auto"/>
                      <w:spacing w:val="3"/>
                      <w:lang w:eastAsia="zh-CN"/>
                    </w:rPr>
                    <w:t>要求</w:t>
                  </w:r>
                </w:p>
              </w:tc>
              <w:tc>
                <w:tcPr>
                  <w:tcW w:w="3137"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本项目情况</w:t>
                  </w:r>
                </w:p>
              </w:tc>
              <w:tc>
                <w:tcPr>
                  <w:tcW w:w="750" w:type="dxa"/>
                  <w:vAlign w:val="center"/>
                </w:tcPr>
                <w:p>
                  <w:pPr>
                    <w:kinsoku/>
                    <w:jc w:val="center"/>
                    <w:rPr>
                      <w:rFonts w:ascii="Times New Roman" w:hAnsi="Times New Roman" w:eastAsia="宋体" w:cs="Times New Roman"/>
                      <w:b/>
                      <w:bCs/>
                      <w:color w:val="auto"/>
                      <w:spacing w:val="3"/>
                      <w:lang w:eastAsia="zh-CN"/>
                    </w:rPr>
                  </w:pPr>
                  <w:r>
                    <w:rPr>
                      <w:rFonts w:ascii="Times New Roman" w:hAnsi="Times New Roman" w:eastAsia="宋体" w:cs="Times New Roman"/>
                      <w:b/>
                      <w:bCs/>
                      <w:color w:val="auto"/>
                      <w:spacing w:val="3"/>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182"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推进高质量绿色工业发展。</w:t>
                  </w:r>
                  <w:r>
                    <w:rPr>
                      <w:rFonts w:hint="eastAsia" w:ascii="Times New Roman" w:hAnsi="Times New Roman" w:eastAsia="宋体" w:cs="Times New Roman"/>
                      <w:color w:val="auto"/>
                      <w:spacing w:val="3"/>
                      <w:lang w:eastAsia="zh-CN"/>
                    </w:rPr>
                    <w:t>在安宁、富民、宜良、嵩明等区域，推进发展高质量绿色工业，促进产城融合发展，提升城市综合服务功能。……</w:t>
                  </w:r>
                  <w:r>
                    <w:rPr>
                      <w:rFonts w:ascii="Times New Roman" w:hAnsi="Times New Roman" w:eastAsia="宋体" w:cs="Times New Roman"/>
                      <w:color w:val="auto"/>
                      <w:spacing w:val="3"/>
                      <w:lang w:eastAsia="zh-CN"/>
                    </w:rPr>
                    <w:t>贯彻落实《关于深入推进重点行业清洁生产审核工作</w:t>
                  </w:r>
                  <w:r>
                    <w:rPr>
                      <w:rFonts w:hint="eastAsia" w:ascii="Times New Roman" w:hAnsi="Times New Roman" w:eastAsia="宋体" w:cs="Times New Roman"/>
                      <w:color w:val="auto"/>
                      <w:spacing w:val="3"/>
                      <w:lang w:eastAsia="zh-CN"/>
                    </w:rPr>
                    <w:t>的通知》的要求，以能源、冶金、焦化、建材、有色、化工、印染、造纸、原料药、电镀、农副食品加工、工业涂装、包装印刷等行业作为当前实施清洁生产审核的重点，全面落实强制性清洁生产审核要求，进一步挖掘企业节能减排潜力，从源头上减少污染物排放；开展绿色园区创建，力争创建一批国家和省级绿色低碳示范园区。</w:t>
                  </w:r>
                </w:p>
              </w:tc>
              <w:tc>
                <w:tcPr>
                  <w:tcW w:w="3137" w:type="dxa"/>
                  <w:vAlign w:val="center"/>
                </w:tcPr>
                <w:p>
                  <w:pPr>
                    <w:kinsoku/>
                    <w:jc w:val="center"/>
                    <w:rPr>
                      <w:rFonts w:ascii="Times New Roman" w:hAnsi="Times New Roman" w:eastAsia="宋体" w:cs="Times New Roman"/>
                      <w:color w:val="auto"/>
                      <w:spacing w:val="3"/>
                      <w:lang w:eastAsia="zh-CN"/>
                    </w:rPr>
                  </w:pPr>
                  <w:r>
                    <w:rPr>
                      <w:rFonts w:hint="eastAsia" w:ascii="Times New Roman" w:hAnsi="Times New Roman" w:eastAsia="宋体" w:cs="Times New Roman"/>
                      <w:color w:val="auto"/>
                      <w:spacing w:val="3"/>
                      <w:lang w:eastAsia="zh-CN"/>
                    </w:rPr>
                    <w:t>根据</w:t>
                  </w:r>
                  <w:r>
                    <w:rPr>
                      <w:rFonts w:ascii="Times New Roman" w:hAnsi="Times New Roman" w:eastAsia="宋体" w:cs="Times New Roman"/>
                      <w:color w:val="auto"/>
                      <w:spacing w:val="3"/>
                      <w:lang w:eastAsia="zh-CN"/>
                    </w:rPr>
                    <w:t>《产业结构调整指导目录（20</w:t>
                  </w:r>
                  <w:r>
                    <w:rPr>
                      <w:rFonts w:hint="eastAsia" w:ascii="Times New Roman" w:hAnsi="Times New Roman" w:eastAsia="宋体" w:cs="Times New Roman"/>
                      <w:color w:val="auto"/>
                      <w:spacing w:val="3"/>
                      <w:lang w:eastAsia="zh-CN"/>
                    </w:rPr>
                    <w:t>24</w:t>
                  </w:r>
                  <w:r>
                    <w:rPr>
                      <w:rFonts w:ascii="Times New Roman" w:hAnsi="Times New Roman" w:eastAsia="宋体" w:cs="Times New Roman"/>
                      <w:color w:val="auto"/>
                      <w:spacing w:val="3"/>
                      <w:lang w:eastAsia="zh-CN"/>
                    </w:rPr>
                    <w:t>年本）》</w:t>
                  </w:r>
                  <w:r>
                    <w:rPr>
                      <w:color w:val="auto"/>
                      <w:spacing w:val="2"/>
                      <w:lang w:eastAsia="zh-CN"/>
                    </w:rPr>
                    <w:t>不属于限制类及淘汰类。</w:t>
                  </w:r>
                  <w:r>
                    <w:rPr>
                      <w:rFonts w:hint="eastAsia" w:ascii="Times New Roman" w:hAnsi="Times New Roman" w:eastAsia="宋体" w:cs="Times New Roman"/>
                      <w:color w:val="auto"/>
                      <w:spacing w:val="3"/>
                      <w:lang w:eastAsia="zh-CN"/>
                    </w:rPr>
                    <w:t>项目选址位于云南省昆明市嵩明县杨林经济技术开发区东环路68号附6号，为工业园区内。</w:t>
                  </w:r>
                </w:p>
              </w:tc>
              <w:tc>
                <w:tcPr>
                  <w:tcW w:w="750"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3182"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加强能耗总量和强度</w:t>
                  </w:r>
                  <w:r>
                    <w:rPr>
                      <w:rFonts w:hint="eastAsia" w:ascii="Times New Roman" w:hAnsi="Times New Roman" w:eastAsia="宋体" w:cs="Times New Roman"/>
                      <w:color w:val="auto"/>
                      <w:spacing w:val="3"/>
                      <w:lang w:eastAsia="zh-CN"/>
                    </w:rPr>
                    <w:t>“双控”。……</w:t>
                  </w:r>
                  <w:r>
                    <w:rPr>
                      <w:rFonts w:ascii="Times New Roman" w:hAnsi="Times New Roman" w:eastAsia="宋体" w:cs="Times New Roman"/>
                      <w:color w:val="auto"/>
                      <w:spacing w:val="3"/>
                      <w:lang w:eastAsia="zh-CN"/>
                    </w:rPr>
                    <w:t>降低全市煤炭消费比重，加快推进煤炭清洁高效利用，积极发展水电、</w:t>
                  </w:r>
                  <w:r>
                    <w:rPr>
                      <w:rFonts w:hint="eastAsia" w:ascii="Times New Roman" w:hAnsi="Times New Roman" w:eastAsia="宋体" w:cs="Times New Roman"/>
                      <w:color w:val="auto"/>
                      <w:spacing w:val="3"/>
                      <w:lang w:eastAsia="zh-CN"/>
                    </w:rPr>
                    <w:t>风电等非化石能源。</w:t>
                  </w:r>
                </w:p>
              </w:tc>
              <w:tc>
                <w:tcPr>
                  <w:tcW w:w="3137" w:type="dxa"/>
                  <w:vAlign w:val="center"/>
                </w:tcPr>
                <w:p>
                  <w:pPr>
                    <w:kinsoku/>
                    <w:jc w:val="center"/>
                    <w:rPr>
                      <w:rFonts w:ascii="Times New Roman" w:hAnsi="Times New Roman" w:eastAsia="宋体" w:cs="Times New Roman"/>
                      <w:color w:val="auto"/>
                      <w:spacing w:val="3"/>
                      <w:lang w:eastAsia="zh-CN"/>
                    </w:rPr>
                  </w:pPr>
                  <w:r>
                    <w:rPr>
                      <w:rFonts w:hint="eastAsia" w:ascii="Times New Roman" w:hAnsi="Times New Roman" w:eastAsia="宋体" w:cs="Times New Roman"/>
                      <w:color w:val="auto"/>
                      <w:spacing w:val="3"/>
                      <w:lang w:eastAsia="zh-CN"/>
                    </w:rPr>
                    <w:t>项目不属于高能耗行业，</w:t>
                  </w:r>
                  <w:r>
                    <w:rPr>
                      <w:rFonts w:ascii="Times New Roman" w:hAnsi="Times New Roman" w:eastAsia="宋体" w:cs="Times New Roman"/>
                      <w:color w:val="auto"/>
                      <w:spacing w:val="3"/>
                      <w:lang w:eastAsia="zh-CN"/>
                    </w:rPr>
                    <w:t>项目不使用燃煤等高污染燃料，不使用锅炉；</w:t>
                  </w:r>
                  <w:r>
                    <w:rPr>
                      <w:rFonts w:hint="eastAsia" w:ascii="Times New Roman" w:hAnsi="Times New Roman" w:eastAsia="宋体" w:cs="Times New Roman"/>
                      <w:color w:val="auto"/>
                      <w:spacing w:val="3"/>
                      <w:lang w:eastAsia="zh-CN"/>
                    </w:rPr>
                    <w:t>项目能源采用电能。</w:t>
                  </w:r>
                </w:p>
              </w:tc>
              <w:tc>
                <w:tcPr>
                  <w:tcW w:w="750"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3182"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大力推进重点行业VOCs</w:t>
                  </w:r>
                  <w:r>
                    <w:rPr>
                      <w:rFonts w:hint="eastAsia" w:ascii="Times New Roman" w:hAnsi="Times New Roman" w:eastAsia="宋体" w:cs="Times New Roman"/>
                      <w:color w:val="auto"/>
                      <w:spacing w:val="3"/>
                      <w:lang w:eastAsia="zh-CN"/>
                    </w:rPr>
                    <w:t>治理。加强以石化、化工、工业涂装、包装印刷、油品储运销、汽车维修（维护）</w:t>
                  </w:r>
                  <w:r>
                    <w:rPr>
                      <w:rFonts w:ascii="Times New Roman" w:hAnsi="Times New Roman" w:eastAsia="宋体" w:cs="Times New Roman"/>
                      <w:color w:val="auto"/>
                      <w:spacing w:val="3"/>
                      <w:lang w:eastAsia="zh-CN"/>
                    </w:rPr>
                    <w:t>4S</w:t>
                  </w:r>
                  <w:r>
                    <w:rPr>
                      <w:rFonts w:hint="eastAsia" w:ascii="Times New Roman" w:hAnsi="Times New Roman" w:eastAsia="宋体" w:cs="Times New Roman"/>
                      <w:color w:val="auto"/>
                      <w:spacing w:val="3"/>
                      <w:lang w:eastAsia="zh-CN"/>
                    </w:rPr>
                    <w:t>店等行业（领域）为重点全面开展</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污染综合治理，开展低</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含量原辅材料替代、无组织排放控制、末端治理设施升级改造以及</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蒸发排放控制等对</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进行控制，建立完善源头、过程和末端的</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全过程控制体系，实施</w:t>
                  </w:r>
                  <w:r>
                    <w:rPr>
                      <w:rFonts w:ascii="Times New Roman" w:hAnsi="Times New Roman" w:eastAsia="宋体" w:cs="Times New Roman"/>
                      <w:color w:val="auto"/>
                      <w:spacing w:val="3"/>
                      <w:lang w:eastAsia="zh-CN"/>
                    </w:rPr>
                    <w:t>VOCs</w:t>
                  </w:r>
                  <w:r>
                    <w:rPr>
                      <w:rFonts w:hint="eastAsia" w:ascii="Times New Roman" w:hAnsi="Times New Roman" w:eastAsia="宋体" w:cs="Times New Roman"/>
                      <w:color w:val="auto"/>
                      <w:spacing w:val="3"/>
                      <w:lang w:eastAsia="zh-CN"/>
                    </w:rPr>
                    <w:t>排放总量控制，重点减排行业开展提升“三率”（即废气收集率、治理设施同步运行率、去除率）自查行动。……</w:t>
                  </w:r>
                </w:p>
              </w:tc>
              <w:tc>
                <w:tcPr>
                  <w:tcW w:w="3137" w:type="dxa"/>
                  <w:vAlign w:val="center"/>
                </w:tcPr>
                <w:p>
                  <w:pPr>
                    <w:kinsoku/>
                    <w:jc w:val="center"/>
                    <w:rPr>
                      <w:rFonts w:ascii="Times New Roman" w:hAnsi="Times New Roman" w:eastAsia="宋体" w:cs="Times New Roman"/>
                      <w:color w:val="auto"/>
                      <w:spacing w:val="3"/>
                      <w:lang w:eastAsia="zh-CN"/>
                    </w:rPr>
                  </w:pPr>
                  <w:r>
                    <w:rPr>
                      <w:rFonts w:ascii="Times New Roman" w:hAnsi="Times New Roman" w:eastAsia="宋体" w:cs="Times New Roman"/>
                      <w:color w:val="auto"/>
                      <w:spacing w:val="3"/>
                      <w:lang w:eastAsia="zh-CN"/>
                    </w:rPr>
                    <w:t>本项目采用VOCs含量检测合格的胶黏剂，不涉及高VOCs含量的溶剂型涂料、油墨、</w:t>
                  </w:r>
                  <w:r>
                    <w:rPr>
                      <w:rFonts w:hint="eastAsia" w:ascii="Times New Roman" w:hAnsi="Times New Roman" w:eastAsia="宋体" w:cs="Times New Roman"/>
                      <w:color w:val="auto"/>
                      <w:spacing w:val="3"/>
                      <w:lang w:eastAsia="zh-CN"/>
                    </w:rPr>
                    <w:t>胶黏剂</w:t>
                  </w:r>
                  <w:r>
                    <w:rPr>
                      <w:rFonts w:ascii="Times New Roman" w:hAnsi="Times New Roman" w:eastAsia="宋体" w:cs="Times New Roman"/>
                      <w:color w:val="auto"/>
                      <w:spacing w:val="3"/>
                      <w:lang w:eastAsia="zh-CN"/>
                    </w:rPr>
                    <w:t>等使用；能够从源头减少有机废气排放产生量，项目使用检测合格的胶黏剂作为封边胶，有机废气产生量很少，封胶过程中采用</w:t>
                  </w:r>
                  <w:r>
                    <w:rPr>
                      <w:rFonts w:hint="eastAsia" w:ascii="Times New Roman" w:hAnsi="Times New Roman" w:eastAsia="宋体" w:cs="Times New Roman"/>
                      <w:color w:val="auto"/>
                      <w:spacing w:val="3"/>
                      <w:lang w:eastAsia="zh-CN"/>
                    </w:rPr>
                    <w:t>盖板式</w:t>
                  </w:r>
                  <w:r>
                    <w:rPr>
                      <w:rFonts w:ascii="Times New Roman" w:hAnsi="Times New Roman" w:eastAsia="宋体" w:cs="Times New Roman"/>
                      <w:color w:val="auto"/>
                      <w:spacing w:val="3"/>
                      <w:lang w:eastAsia="zh-CN"/>
                    </w:rPr>
                    <w:t>封胶设备生产，封胶结束后开启盖板取出成品，生产全过程</w:t>
                  </w:r>
                  <w:r>
                    <w:rPr>
                      <w:rFonts w:hint="eastAsia" w:ascii="Times New Roman" w:hAnsi="Times New Roman" w:eastAsia="宋体" w:cs="Times New Roman"/>
                      <w:color w:val="auto"/>
                      <w:spacing w:val="3"/>
                      <w:lang w:eastAsia="zh-CN"/>
                    </w:rPr>
                    <w:t>通过</w:t>
                  </w:r>
                  <w:r>
                    <w:rPr>
                      <w:rFonts w:hint="eastAsia"/>
                      <w:color w:val="auto"/>
                      <w:lang w:eastAsia="zh-CN"/>
                    </w:rPr>
                    <w:t>与设备紧密连接的微负压全密闭集气管道对挥发性有机物进行收集，</w:t>
                  </w:r>
                  <w:r>
                    <w:rPr>
                      <w:rFonts w:ascii="Times New Roman" w:hAnsi="Times New Roman" w:eastAsia="宋体" w:cs="Times New Roman"/>
                      <w:color w:val="auto"/>
                      <w:spacing w:val="3"/>
                      <w:lang w:eastAsia="zh-CN"/>
                    </w:rPr>
                    <w:t>最终进入</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二级活性炭吸附</w:t>
                  </w:r>
                  <w:r>
                    <w:rPr>
                      <w:rFonts w:hint="eastAsia" w:ascii="Times New Roman" w:hAnsi="Times New Roman" w:eastAsia="宋体" w:cs="Times New Roman"/>
                      <w:color w:val="auto"/>
                      <w:spacing w:val="3"/>
                      <w:lang w:eastAsia="zh-CN"/>
                    </w:rPr>
                    <w:t>”</w:t>
                  </w:r>
                  <w:r>
                    <w:rPr>
                      <w:rFonts w:ascii="Times New Roman" w:hAnsi="Times New Roman" w:eastAsia="宋体" w:cs="Times New Roman"/>
                      <w:color w:val="auto"/>
                      <w:spacing w:val="3"/>
                      <w:lang w:eastAsia="zh-CN"/>
                    </w:rPr>
                    <w:t>处理后通过15m高排气筒排放。</w:t>
                  </w:r>
                </w:p>
              </w:tc>
              <w:tc>
                <w:tcPr>
                  <w:tcW w:w="750" w:type="dxa"/>
                  <w:vAlign w:val="center"/>
                </w:tcPr>
                <w:p>
                  <w:pPr>
                    <w:kinsoku/>
                    <w:jc w:val="center"/>
                    <w:rPr>
                      <w:rFonts w:ascii="Times New Roman" w:hAnsi="Times New Roman" w:eastAsia="宋体" w:cs="Times New Roman"/>
                      <w:color w:val="auto"/>
                      <w:spacing w:val="3"/>
                      <w:lang w:eastAsia="zh-CN"/>
                    </w:rPr>
                  </w:pPr>
                  <w:r>
                    <w:rPr>
                      <w:rFonts w:hint="eastAsia" w:ascii="Times New Roman" w:hAnsi="Times New Roman" w:eastAsia="宋体" w:cs="Times New Roman"/>
                      <w:color w:val="auto"/>
                      <w:spacing w:val="3"/>
                      <w:lang w:eastAsia="zh-CN"/>
                    </w:rPr>
                    <w:t>符合</w:t>
                  </w:r>
                </w:p>
              </w:tc>
            </w:tr>
          </w:tbl>
          <w:p>
            <w:pPr>
              <w:pStyle w:val="22"/>
              <w:kinsoku/>
              <w:spacing w:before="30" w:line="360" w:lineRule="auto"/>
              <w:ind w:left="122" w:firstLine="492" w:firstLineChars="200"/>
              <w:rPr>
                <w:rFonts w:hint="eastAsia"/>
                <w:color w:val="auto"/>
                <w:spacing w:val="-2"/>
                <w:lang w:eastAsia="zh-CN"/>
              </w:rPr>
            </w:pPr>
            <w:r>
              <w:rPr>
                <w:color w:val="auto"/>
                <w:spacing w:val="3"/>
                <w:lang w:eastAsia="zh-CN"/>
              </w:rPr>
              <w:t>综上，项目符合《</w:t>
            </w:r>
            <w:r>
              <w:rPr>
                <w:rFonts w:hint="eastAsia"/>
                <w:color w:val="auto"/>
                <w:spacing w:val="3"/>
                <w:lang w:eastAsia="zh-CN"/>
              </w:rPr>
              <w:t>昆明市“十四五”生态环境保护规划</w:t>
            </w:r>
            <w:r>
              <w:rPr>
                <w:color w:val="auto"/>
                <w:spacing w:val="3"/>
                <w:lang w:eastAsia="zh-CN"/>
              </w:rPr>
              <w:t>》</w:t>
            </w:r>
            <w:r>
              <w:rPr>
                <w:color w:val="auto"/>
                <w:spacing w:val="-2"/>
                <w:lang w:eastAsia="zh-CN"/>
              </w:rPr>
              <w:t>相关要求。</w:t>
            </w:r>
          </w:p>
          <w:p>
            <w:pPr>
              <w:pStyle w:val="22"/>
              <w:kinsoku/>
              <w:spacing w:before="36" w:line="360" w:lineRule="auto"/>
              <w:ind w:left="596"/>
              <w:rPr>
                <w:rFonts w:hint="eastAsia"/>
                <w:color w:val="auto"/>
                <w:lang w:eastAsia="zh-CN"/>
              </w:rPr>
            </w:pPr>
            <w:r>
              <w:rPr>
                <w:rFonts w:hint="eastAsia" w:ascii="Times New Roman" w:hAnsi="Times New Roman" w:eastAsia="Times New Roman" w:cs="Times New Roman"/>
                <w:b/>
                <w:bCs/>
                <w:color w:val="auto"/>
                <w:spacing w:val="-6"/>
                <w:lang w:eastAsia="zh-CN"/>
              </w:rPr>
              <w:t>1</w:t>
            </w:r>
            <w:r>
              <w:rPr>
                <w:rFonts w:hint="eastAsia" w:ascii="Times New Roman" w:hAnsi="Times New Roman" w:eastAsia="Times New Roman" w:cs="Times New Roman"/>
                <w:b/>
                <w:bCs/>
                <w:color w:val="auto"/>
                <w:spacing w:val="-6"/>
                <w:lang w:val="en-US" w:eastAsia="zh-CN"/>
              </w:rPr>
              <w:t>8</w:t>
            </w:r>
            <w:r>
              <w:rPr>
                <w:b/>
                <w:bCs/>
                <w:color w:val="auto"/>
                <w:spacing w:val="-6"/>
                <w:lang w:eastAsia="zh-CN"/>
              </w:rPr>
              <w:t>、选址</w:t>
            </w:r>
            <w:r>
              <w:rPr>
                <w:rFonts w:hint="eastAsia"/>
                <w:b/>
                <w:bCs/>
                <w:color w:val="auto"/>
                <w:spacing w:val="-6"/>
                <w:lang w:eastAsia="zh-CN"/>
              </w:rPr>
              <w:t>及环境相容</w:t>
            </w:r>
            <w:r>
              <w:rPr>
                <w:b/>
                <w:bCs/>
                <w:color w:val="auto"/>
                <w:spacing w:val="-6"/>
                <w:lang w:eastAsia="zh-CN"/>
              </w:rPr>
              <w:t>合理性分析</w:t>
            </w:r>
          </w:p>
          <w:p>
            <w:pPr>
              <w:kinsoku/>
              <w:spacing w:line="360" w:lineRule="auto"/>
              <w:ind w:firstLine="524" w:firstLineChars="200"/>
              <w:rPr>
                <w:rFonts w:ascii="Times New Roman" w:hAnsi="Times New Roman" w:eastAsia="宋体" w:cs="Times New Roman"/>
                <w:color w:val="auto"/>
                <w:spacing w:val="11"/>
                <w:sz w:val="24"/>
                <w:szCs w:val="24"/>
                <w:lang w:eastAsia="zh-CN"/>
              </w:rPr>
            </w:pPr>
            <w:r>
              <w:rPr>
                <w:rFonts w:ascii="Times New Roman" w:hAnsi="Times New Roman" w:eastAsia="宋体" w:cs="Times New Roman"/>
                <w:color w:val="auto"/>
                <w:spacing w:val="11"/>
                <w:sz w:val="24"/>
                <w:szCs w:val="24"/>
                <w:lang w:eastAsia="zh-CN"/>
              </w:rPr>
              <w:t>项目位于</w:t>
            </w:r>
            <w:r>
              <w:rPr>
                <w:rFonts w:hint="eastAsia" w:ascii="Times New Roman" w:hAnsi="Times New Roman" w:eastAsia="宋体" w:cs="Times New Roman"/>
                <w:color w:val="auto"/>
                <w:spacing w:val="11"/>
                <w:sz w:val="24"/>
                <w:szCs w:val="24"/>
                <w:lang w:eastAsia="zh-CN"/>
              </w:rPr>
              <w:t>云南嵩明杨林工业园区东环路68号附3号</w:t>
            </w:r>
            <w:r>
              <w:rPr>
                <w:rFonts w:ascii="Times New Roman" w:hAnsi="Times New Roman" w:eastAsia="宋体" w:cs="Times New Roman"/>
                <w:color w:val="auto"/>
                <w:spacing w:val="11"/>
                <w:sz w:val="24"/>
                <w:szCs w:val="24"/>
                <w:lang w:eastAsia="zh-CN"/>
              </w:rPr>
              <w:t>，项目属于家具制造业，主要生产组合家具，不属于园区禁止入园产业，与杨林综合片区新材料综合组团产业发展方向不冲突，且项目于2024年11月21日取得了云南省固定资产投资项目备案证（备案号：</w:t>
            </w:r>
            <w:r>
              <w:rPr>
                <w:rFonts w:ascii="Times New Roman" w:hAnsi="Times New Roman" w:eastAsia="宋体" w:cs="Times New Roman"/>
                <w:color w:val="auto"/>
                <w:spacing w:val="11"/>
                <w:sz w:val="24"/>
                <w:szCs w:val="24"/>
                <w:lang w:eastAsia="zh-CN" w:bidi="ar"/>
              </w:rPr>
              <w:t>2411-530127-04-01-626119</w:t>
            </w:r>
            <w:r>
              <w:rPr>
                <w:rFonts w:ascii="Times New Roman" w:hAnsi="Times New Roman" w:eastAsia="宋体" w:cs="Times New Roman"/>
                <w:color w:val="auto"/>
                <w:spacing w:val="11"/>
                <w:sz w:val="24"/>
                <w:szCs w:val="24"/>
                <w:lang w:eastAsia="zh-CN"/>
              </w:rPr>
              <w:t>）。本项目选址</w:t>
            </w:r>
            <w:r>
              <w:rPr>
                <w:rFonts w:hint="eastAsia" w:ascii="Times New Roman" w:hAnsi="Times New Roman" w:eastAsia="宋体" w:cs="Times New Roman"/>
                <w:color w:val="auto"/>
                <w:spacing w:val="11"/>
                <w:sz w:val="24"/>
                <w:szCs w:val="24"/>
                <w:lang w:eastAsia="zh-CN"/>
              </w:rPr>
              <w:t>符合</w:t>
            </w:r>
            <w:r>
              <w:rPr>
                <w:rFonts w:ascii="Times New Roman" w:hAnsi="Times New Roman" w:eastAsia="宋体" w:cs="Times New Roman"/>
                <w:color w:val="auto"/>
                <w:spacing w:val="11"/>
                <w:sz w:val="24"/>
                <w:szCs w:val="24"/>
                <w:lang w:eastAsia="zh-CN"/>
              </w:rPr>
              <w:t>杨林工业园区总体规划、产业定位、园区规划环评的要求。</w:t>
            </w:r>
          </w:p>
          <w:p>
            <w:pPr>
              <w:kinsoku/>
              <w:spacing w:line="360" w:lineRule="auto"/>
              <w:ind w:firstLine="512"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8"/>
                <w:sz w:val="24"/>
                <w:szCs w:val="24"/>
                <w:lang w:eastAsia="zh-CN"/>
              </w:rPr>
              <w:t>项目租赁现有厂房对其内部进行改造</w:t>
            </w:r>
            <w:r>
              <w:rPr>
                <w:rFonts w:hint="eastAsia" w:ascii="Times New Roman" w:hAnsi="Times New Roman" w:eastAsia="宋体" w:cs="Times New Roman"/>
                <w:color w:val="auto"/>
                <w:spacing w:val="8"/>
                <w:sz w:val="24"/>
                <w:szCs w:val="24"/>
                <w:lang w:eastAsia="zh-CN"/>
              </w:rPr>
              <w:t>，</w:t>
            </w:r>
            <w:r>
              <w:rPr>
                <w:rFonts w:hint="eastAsia" w:ascii="宋体" w:hAnsi="宋体" w:eastAsia="宋体" w:cs="宋体"/>
                <w:color w:val="auto"/>
                <w:spacing w:val="-1"/>
                <w:sz w:val="24"/>
                <w:szCs w:val="24"/>
                <w:lang w:eastAsia="zh-CN"/>
              </w:rPr>
              <w:t>总租赁面积</w:t>
            </w:r>
            <w:r>
              <w:rPr>
                <w:rFonts w:hint="eastAsia" w:ascii="Times New Roman" w:hAnsi="Times New Roman" w:cs="Times New Roman"/>
                <w:color w:val="auto"/>
                <w:spacing w:val="-1"/>
                <w:sz w:val="24"/>
                <w:szCs w:val="24"/>
                <w:lang w:eastAsia="zh-CN"/>
              </w:rPr>
              <w:t>4437</w:t>
            </w:r>
            <w:r>
              <w:rPr>
                <w:rFonts w:ascii="Times New Roman" w:hAnsi="Times New Roman" w:eastAsia="Times New Roman" w:cs="Times New Roman"/>
                <w:color w:val="auto"/>
                <w:spacing w:val="-1"/>
                <w:sz w:val="24"/>
                <w:szCs w:val="24"/>
                <w:lang w:eastAsia="zh-CN"/>
              </w:rPr>
              <w:t>m</w:t>
            </w:r>
            <w:r>
              <w:rPr>
                <w:rFonts w:hint="eastAsia" w:ascii="Times New Roman" w:hAnsi="Times New Roman" w:eastAsia="Times New Roman" w:cs="Times New Roman"/>
                <w:color w:val="auto"/>
                <w:spacing w:val="-1"/>
                <w:sz w:val="24"/>
                <w:szCs w:val="24"/>
                <w:vertAlign w:val="superscript"/>
                <w:lang w:eastAsia="zh-CN"/>
              </w:rPr>
              <w:t>2</w:t>
            </w:r>
            <w:r>
              <w:rPr>
                <w:rFonts w:hint="eastAsia" w:ascii="宋体" w:hAnsi="宋体" w:eastAsia="宋体" w:cs="宋体"/>
                <w:color w:val="auto"/>
                <w:spacing w:val="11"/>
                <w:sz w:val="24"/>
                <w:szCs w:val="24"/>
                <w:lang w:eastAsia="zh-CN"/>
              </w:rPr>
              <w:t>，</w:t>
            </w:r>
            <w:r>
              <w:rPr>
                <w:rFonts w:hint="eastAsia" w:ascii="Times New Roman" w:hAnsi="Times New Roman" w:eastAsia="宋体" w:cs="Times New Roman"/>
                <w:color w:val="auto"/>
                <w:spacing w:val="-1"/>
                <w:sz w:val="24"/>
                <w:szCs w:val="24"/>
                <w:lang w:eastAsia="zh-CN"/>
              </w:rPr>
              <w:t>不新增占地</w:t>
            </w:r>
            <w:r>
              <w:rPr>
                <w:rFonts w:ascii="Times New Roman" w:hAnsi="Times New Roman" w:eastAsia="宋体" w:cs="Times New Roman"/>
                <w:color w:val="auto"/>
                <w:spacing w:val="-1"/>
                <w:sz w:val="24"/>
                <w:szCs w:val="24"/>
                <w:lang w:eastAsia="zh-CN"/>
              </w:rPr>
              <w:t>。项目选址有便利的交通条件和配套的基础设施。</w:t>
            </w:r>
            <w:r>
              <w:rPr>
                <w:rFonts w:hint="eastAsia" w:ascii="Times New Roman" w:hAnsi="Times New Roman" w:eastAsia="宋体" w:cs="Times New Roman"/>
                <w:color w:val="auto"/>
                <w:spacing w:val="-1"/>
                <w:sz w:val="24"/>
                <w:szCs w:val="24"/>
                <w:lang w:eastAsia="zh-CN"/>
              </w:rPr>
              <w:t>根据园区规划图，本项目属于</w:t>
            </w:r>
            <w:r>
              <w:rPr>
                <w:rFonts w:ascii="Times New Roman" w:hAnsi="Times New Roman" w:eastAsia="宋体" w:cs="Times New Roman"/>
                <w:color w:val="auto"/>
                <w:spacing w:val="11"/>
                <w:sz w:val="24"/>
                <w:szCs w:val="24"/>
                <w:lang w:eastAsia="zh-CN"/>
              </w:rPr>
              <w:t>杨林综合片区新材料综合组团</w:t>
            </w:r>
            <w:r>
              <w:rPr>
                <w:rFonts w:hint="eastAsia" w:ascii="Times New Roman" w:hAnsi="Times New Roman" w:eastAsia="宋体" w:cs="Times New Roman"/>
                <w:color w:val="auto"/>
                <w:spacing w:val="11"/>
                <w:sz w:val="24"/>
                <w:szCs w:val="24"/>
                <w:lang w:eastAsia="zh-CN"/>
              </w:rPr>
              <w:t>，为Ⅱ类工业用地。</w:t>
            </w:r>
            <w:r>
              <w:rPr>
                <w:rFonts w:ascii="Times New Roman" w:hAnsi="Times New Roman" w:eastAsia="宋体" w:cs="Times New Roman"/>
                <w:color w:val="auto"/>
                <w:spacing w:val="-1"/>
                <w:sz w:val="24"/>
                <w:szCs w:val="24"/>
                <w:lang w:eastAsia="zh-CN"/>
              </w:rPr>
              <w:t>选址不涉及自然保护区、风景名胜区、饮用水源保护区、基本农田、公益林等敏感区。项目废水、废气、噪声、固废等在采取本环评提出的污染防治措施后对</w:t>
            </w:r>
            <w:r>
              <w:rPr>
                <w:rFonts w:ascii="Times New Roman" w:hAnsi="Times New Roman" w:eastAsia="宋体" w:cs="Times New Roman"/>
                <w:color w:val="auto"/>
                <w:spacing w:val="-3"/>
                <w:sz w:val="24"/>
                <w:szCs w:val="24"/>
                <w:lang w:eastAsia="zh-CN"/>
              </w:rPr>
              <w:t>环境影响较小，不会改变区域环境功能</w:t>
            </w:r>
            <w:r>
              <w:rPr>
                <w:rFonts w:ascii="Times New Roman" w:hAnsi="Times New Roman" w:eastAsia="宋体" w:cs="Times New Roman"/>
                <w:color w:val="auto"/>
                <w:sz w:val="24"/>
                <w:szCs w:val="24"/>
                <w:lang w:eastAsia="zh-CN"/>
              </w:rPr>
              <w:t>。</w:t>
            </w:r>
          </w:p>
          <w:p>
            <w:pPr>
              <w:pStyle w:val="22"/>
              <w:kinsoku/>
              <w:spacing w:before="178" w:line="353" w:lineRule="auto"/>
              <w:ind w:left="111" w:right="102" w:firstLine="482"/>
              <w:jc w:val="both"/>
              <w:rPr>
                <w:rFonts w:hint="eastAsia"/>
                <w:color w:val="auto"/>
                <w:spacing w:val="-1"/>
                <w:lang w:eastAsia="zh-CN"/>
              </w:rPr>
            </w:pPr>
            <w:r>
              <w:rPr>
                <w:rFonts w:ascii="Times New Roman" w:hAnsi="Times New Roman" w:cs="Times New Roman"/>
                <w:color w:val="auto"/>
                <w:lang w:eastAsia="zh-CN"/>
              </w:rPr>
              <w:t>据实地调查，项目距离最近的保护目标为位于项目</w:t>
            </w:r>
            <w:r>
              <w:rPr>
                <w:rFonts w:hint="eastAsia" w:ascii="Times New Roman" w:hAnsi="Times New Roman" w:cs="Times New Roman"/>
                <w:color w:val="auto"/>
                <w:lang w:eastAsia="zh-CN"/>
              </w:rPr>
              <w:t>西</w:t>
            </w:r>
            <w:r>
              <w:rPr>
                <w:rFonts w:ascii="Times New Roman" w:hAnsi="Times New Roman" w:cs="Times New Roman"/>
                <w:color w:val="auto"/>
                <w:lang w:eastAsia="zh-CN"/>
              </w:rPr>
              <w:t>南面</w:t>
            </w:r>
            <w:r>
              <w:rPr>
                <w:rFonts w:hint="eastAsia" w:ascii="Times New Roman" w:hAnsi="Times New Roman" w:cs="Times New Roman"/>
                <w:color w:val="auto"/>
                <w:lang w:eastAsia="zh-CN"/>
              </w:rPr>
              <w:t>234</w:t>
            </w:r>
            <w:r>
              <w:rPr>
                <w:rFonts w:ascii="Times New Roman" w:hAnsi="Times New Roman" w:cs="Times New Roman"/>
                <w:color w:val="auto"/>
                <w:lang w:eastAsia="zh-CN"/>
              </w:rPr>
              <w:t>m处的黄家坡村，</w:t>
            </w:r>
            <w:r>
              <w:rPr>
                <w:rFonts w:hint="eastAsia" w:ascii="Times New Roman" w:hAnsi="Times New Roman" w:cs="Times New Roman"/>
                <w:color w:val="auto"/>
                <w:lang w:eastAsia="zh-CN"/>
              </w:rPr>
              <w:t>位于项目主导风向的上风向，本项目</w:t>
            </w:r>
            <w:r>
              <w:rPr>
                <w:rFonts w:ascii="Times New Roman" w:hAnsi="Times New Roman" w:cs="Times New Roman"/>
                <w:color w:val="auto"/>
                <w:lang w:eastAsia="zh-CN"/>
              </w:rPr>
              <w:t>对敏感目标的影响不大</w:t>
            </w:r>
            <w:r>
              <w:rPr>
                <w:rFonts w:hint="eastAsia" w:ascii="Times New Roman" w:hAnsi="Times New Roman" w:cs="Times New Roman"/>
                <w:color w:val="auto"/>
                <w:lang w:eastAsia="zh-CN"/>
              </w:rPr>
              <w:t>。</w:t>
            </w:r>
            <w:r>
              <w:rPr>
                <w:rFonts w:ascii="Times New Roman" w:hAnsi="Times New Roman" w:cs="Times New Roman"/>
                <w:color w:val="auto"/>
                <w:lang w:eastAsia="zh-CN"/>
              </w:rPr>
              <w:t>项目西北侧厂房为昆明国松特种涂料有限公司，是一家塑粉加工企业，主要污染物为颗粒物及挥发性有机物，与本项目污染物种类一致，200m范围内无食品、医药类生产企业，项目与周边环境相容。</w:t>
            </w:r>
            <w:r>
              <w:rPr>
                <w:rFonts w:hint="eastAsia"/>
                <w:color w:val="auto"/>
                <w:lang w:eastAsia="zh-CN"/>
              </w:rPr>
              <w:t>项目采取废气处理措施后对环境影响较小；项目无生产废水产生，生活废水不外排；固废妥善处置，对区域环境质量影响不大。</w:t>
            </w:r>
          </w:p>
        </w:tc>
      </w:tr>
    </w:tbl>
    <w:p>
      <w:pPr>
        <w:pStyle w:val="8"/>
        <w:kinsoku/>
        <w:rPr>
          <w:color w:val="auto"/>
          <w:lang w:eastAsia="zh-CN"/>
        </w:rPr>
      </w:pPr>
    </w:p>
    <w:p>
      <w:pPr>
        <w:kinsoku/>
        <w:rPr>
          <w:color w:val="auto"/>
          <w:lang w:eastAsia="zh-CN"/>
        </w:rPr>
        <w:sectPr>
          <w:footerReference r:id="rId3" w:type="default"/>
          <w:pgSz w:w="11906" w:h="16839"/>
          <w:pgMar w:top="1418" w:right="1395" w:bottom="1240" w:left="1395" w:header="0" w:footer="1078" w:gutter="0"/>
          <w:pgNumType w:start="1"/>
          <w:cols w:space="720" w:num="1"/>
        </w:sectPr>
      </w:pPr>
    </w:p>
    <w:p>
      <w:pPr>
        <w:kinsoku/>
        <w:spacing w:before="60" w:line="220" w:lineRule="auto"/>
        <w:ind w:left="3163"/>
        <w:outlineLvl w:val="0"/>
        <w:rPr>
          <w:rFonts w:hint="eastAsia" w:ascii="宋体" w:hAnsi="宋体" w:eastAsia="宋体" w:cs="宋体"/>
          <w:color w:val="auto"/>
          <w:sz w:val="30"/>
          <w:szCs w:val="30"/>
        </w:rPr>
      </w:pPr>
      <w:bookmarkStart w:id="10" w:name="bookmark3"/>
      <w:bookmarkEnd w:id="10"/>
      <w:bookmarkStart w:id="11" w:name="_Toc18859"/>
      <w:r>
        <w:rPr>
          <w:rFonts w:ascii="宋体" w:hAnsi="宋体" w:eastAsia="宋体" w:cs="宋体"/>
          <w:b/>
          <w:bCs/>
          <w:color w:val="auto"/>
          <w:spacing w:val="-4"/>
          <w:sz w:val="30"/>
          <w:szCs w:val="30"/>
        </w:rPr>
        <w:t>二、建设项目工程分析</w:t>
      </w:r>
      <w:bookmarkEnd w:id="11"/>
    </w:p>
    <w:p>
      <w:pPr>
        <w:kinsoku/>
        <w:spacing w:line="180" w:lineRule="exact"/>
        <w:rPr>
          <w:color w:val="auto"/>
        </w:rPr>
      </w:pPr>
    </w:p>
    <w:tbl>
      <w:tblPr>
        <w:tblStyle w:val="21"/>
        <w:tblW w:w="92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4"/>
        <w:gridCol w:w="89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364" w:type="dxa"/>
            <w:tcBorders>
              <w:right w:val="single" w:color="000000" w:sz="2" w:space="0"/>
            </w:tcBorders>
            <w:textDirection w:val="tbRlV"/>
          </w:tcPr>
          <w:p>
            <w:pPr>
              <w:pStyle w:val="22"/>
              <w:kinsoku/>
              <w:spacing w:before="111" w:line="199" w:lineRule="auto"/>
              <w:ind w:left="6086"/>
              <w:rPr>
                <w:rFonts w:hint="eastAsia"/>
                <w:color w:val="auto"/>
              </w:rPr>
            </w:pPr>
            <w:r>
              <w:rPr>
                <w:color w:val="auto"/>
                <w:spacing w:val="-1"/>
              </w:rPr>
              <w:t>建设</w:t>
            </w:r>
            <w:r>
              <w:rPr>
                <w:color w:val="auto"/>
                <w:spacing w:val="-1"/>
                <w:position w:val="1"/>
              </w:rPr>
              <w:t>内</w:t>
            </w:r>
            <w:r>
              <w:rPr>
                <w:color w:val="auto"/>
                <w:spacing w:val="-1"/>
              </w:rPr>
              <w:t>容</w:t>
            </w:r>
          </w:p>
        </w:tc>
        <w:tc>
          <w:tcPr>
            <w:tcW w:w="8926" w:type="dxa"/>
            <w:tcBorders>
              <w:left w:val="single" w:color="000000" w:sz="2" w:space="0"/>
            </w:tcBorders>
          </w:tcPr>
          <w:p>
            <w:pPr>
              <w:pStyle w:val="22"/>
              <w:kinsoku/>
              <w:spacing w:before="39" w:line="219" w:lineRule="auto"/>
              <w:ind w:left="592"/>
              <w:rPr>
                <w:rFonts w:hint="eastAsia"/>
                <w:color w:val="auto"/>
                <w:lang w:eastAsia="zh-CN"/>
              </w:rPr>
            </w:pPr>
            <w:r>
              <w:rPr>
                <w:b/>
                <w:bCs/>
                <w:color w:val="auto"/>
                <w:spacing w:val="-4"/>
                <w:lang w:eastAsia="zh-CN"/>
              </w:rPr>
              <w:t>一、项目由来</w:t>
            </w:r>
          </w:p>
          <w:p>
            <w:pPr>
              <w:pStyle w:val="22"/>
              <w:kinsoku/>
              <w:spacing w:before="185" w:line="355" w:lineRule="auto"/>
              <w:ind w:left="107" w:right="102" w:firstLine="483"/>
              <w:jc w:val="both"/>
              <w:rPr>
                <w:rFonts w:hint="eastAsia"/>
                <w:color w:val="auto"/>
                <w:lang w:eastAsia="zh-CN"/>
              </w:rPr>
            </w:pPr>
            <w:r>
              <w:rPr>
                <w:rFonts w:hint="eastAsia"/>
                <w:color w:val="auto"/>
                <w:spacing w:val="6"/>
                <w:lang w:eastAsia="zh-CN"/>
              </w:rPr>
              <w:t>昆明福伦蒂家具制造有限公司拟租赁</w:t>
            </w:r>
            <w:r>
              <w:rPr>
                <w:rFonts w:hint="eastAsia"/>
                <w:color w:val="auto"/>
                <w:spacing w:val="5"/>
                <w:lang w:eastAsia="zh-CN"/>
              </w:rPr>
              <w:t>云南嵩明杨林工业园区东环路68号附3号</w:t>
            </w:r>
            <w:r>
              <w:rPr>
                <w:rFonts w:hint="eastAsia"/>
                <w:color w:val="auto"/>
                <w:spacing w:val="1"/>
                <w:lang w:eastAsia="zh-CN"/>
              </w:rPr>
              <w:t>昆明名健工贸有限公司</w:t>
            </w:r>
            <w:r>
              <w:rPr>
                <w:rFonts w:hint="eastAsia"/>
                <w:color w:val="auto"/>
                <w:spacing w:val="5"/>
                <w:lang w:eastAsia="zh-CN"/>
              </w:rPr>
              <w:t>已建设完成钢结构厂房，</w:t>
            </w:r>
            <w:r>
              <w:rPr>
                <w:color w:val="auto"/>
                <w:spacing w:val="5"/>
                <w:lang w:eastAsia="zh-CN"/>
              </w:rPr>
              <w:t>建</w:t>
            </w:r>
            <w:r>
              <w:rPr>
                <w:color w:val="auto"/>
                <w:spacing w:val="2"/>
                <w:lang w:eastAsia="zh-CN"/>
              </w:rPr>
              <w:t>设</w:t>
            </w:r>
            <w:r>
              <w:rPr>
                <w:rFonts w:hint="eastAsia"/>
                <w:color w:val="auto"/>
                <w:spacing w:val="2"/>
                <w:lang w:eastAsia="zh-CN"/>
              </w:rPr>
              <w:t>“昆明福伦蒂家具制造有限公司年加工家具板8万平方项目”</w:t>
            </w:r>
            <w:r>
              <w:rPr>
                <w:color w:val="auto"/>
                <w:spacing w:val="3"/>
                <w:lang w:eastAsia="zh-CN"/>
              </w:rPr>
              <w:t>，</w:t>
            </w:r>
            <w:r>
              <w:rPr>
                <w:rFonts w:hint="eastAsia"/>
                <w:color w:val="auto"/>
                <w:spacing w:val="3"/>
                <w:lang w:eastAsia="zh-CN"/>
              </w:rPr>
              <w:t>建设单位外购面漆木质板材进行切板、封边、打孔等</w:t>
            </w:r>
            <w:r>
              <w:rPr>
                <w:rFonts w:ascii="Times New Roman" w:hAnsi="Times New Roman" w:cs="Times New Roman"/>
                <w:color w:val="auto"/>
                <w:spacing w:val="6"/>
                <w:lang w:eastAsia="zh-CN"/>
              </w:rPr>
              <w:t>加工，加工完成打包外售。项目建成投产后年产</w:t>
            </w:r>
            <w:r>
              <w:rPr>
                <w:rFonts w:hint="eastAsia" w:ascii="Times New Roman" w:hAnsi="Times New Roman" w:cs="Times New Roman"/>
                <w:color w:val="auto"/>
                <w:spacing w:val="6"/>
                <w:lang w:eastAsia="zh-CN"/>
              </w:rPr>
              <w:t>8</w:t>
            </w:r>
            <w:r>
              <w:rPr>
                <w:rFonts w:ascii="Times New Roman" w:hAnsi="Times New Roman" w:cs="Times New Roman"/>
                <w:color w:val="auto"/>
                <w:spacing w:val="6"/>
                <w:lang w:eastAsia="zh-CN"/>
              </w:rPr>
              <w:t>0000</w:t>
            </w:r>
            <w:r>
              <w:rPr>
                <w:rFonts w:hint="eastAsia" w:ascii="Times New Roman" w:hAnsi="Times New Roman" w:cs="Times New Roman"/>
                <w:color w:val="auto"/>
                <w:spacing w:val="6"/>
                <w:lang w:eastAsia="zh-CN"/>
              </w:rPr>
              <w:t>m</w:t>
            </w:r>
            <w:r>
              <w:rPr>
                <w:rFonts w:hint="eastAsia" w:ascii="Times New Roman" w:hAnsi="Times New Roman" w:cs="Times New Roman"/>
                <w:color w:val="auto"/>
                <w:spacing w:val="6"/>
                <w:vertAlign w:val="superscript"/>
                <w:lang w:eastAsia="zh-CN"/>
              </w:rPr>
              <w:t>2</w:t>
            </w:r>
            <w:r>
              <w:rPr>
                <w:rFonts w:ascii="Times New Roman" w:hAnsi="Times New Roman" w:cs="Times New Roman"/>
                <w:color w:val="auto"/>
                <w:spacing w:val="6"/>
                <w:lang w:eastAsia="zh-CN"/>
              </w:rPr>
              <w:t>组合家</w:t>
            </w:r>
            <w:r>
              <w:rPr>
                <w:rFonts w:hint="eastAsia"/>
                <w:color w:val="auto"/>
                <w:lang w:eastAsia="zh-CN"/>
              </w:rPr>
              <w:t>具</w:t>
            </w:r>
            <w:r>
              <w:rPr>
                <w:color w:val="auto"/>
                <w:spacing w:val="2"/>
                <w:lang w:eastAsia="zh-CN"/>
              </w:rPr>
              <w:t>，本</w:t>
            </w:r>
            <w:r>
              <w:rPr>
                <w:color w:val="auto"/>
                <w:lang w:eastAsia="zh-CN"/>
              </w:rPr>
              <w:t>项目于</w:t>
            </w:r>
            <w:r>
              <w:rPr>
                <w:rFonts w:ascii="Times New Roman" w:hAnsi="Times New Roman" w:eastAsia="Times New Roman" w:cs="Times New Roman"/>
                <w:color w:val="auto"/>
                <w:lang w:eastAsia="zh-CN"/>
              </w:rPr>
              <w:t>202</w:t>
            </w:r>
            <w:r>
              <w:rPr>
                <w:rFonts w:hint="eastAsia" w:ascii="Times New Roman" w:hAnsi="Times New Roman" w:cs="Times New Roman"/>
                <w:color w:val="auto"/>
                <w:lang w:eastAsia="zh-CN"/>
              </w:rPr>
              <w:t>4</w:t>
            </w:r>
            <w:r>
              <w:rPr>
                <w:color w:val="auto"/>
                <w:lang w:eastAsia="zh-CN"/>
              </w:rPr>
              <w:t>年</w:t>
            </w:r>
            <w:r>
              <w:rPr>
                <w:rFonts w:hint="eastAsia" w:ascii="Times New Roman" w:hAnsi="Times New Roman" w:cs="Times New Roman"/>
                <w:color w:val="auto"/>
                <w:lang w:eastAsia="zh-CN"/>
              </w:rPr>
              <w:t>11</w:t>
            </w:r>
            <w:r>
              <w:rPr>
                <w:color w:val="auto"/>
                <w:lang w:eastAsia="zh-CN"/>
              </w:rPr>
              <w:t>月</w:t>
            </w:r>
            <w:r>
              <w:rPr>
                <w:rFonts w:ascii="Times New Roman" w:hAnsi="Times New Roman" w:eastAsia="Times New Roman" w:cs="Times New Roman"/>
                <w:color w:val="auto"/>
                <w:lang w:eastAsia="zh-CN"/>
              </w:rPr>
              <w:t>2</w:t>
            </w:r>
            <w:r>
              <w:rPr>
                <w:rFonts w:hint="eastAsia" w:ascii="Times New Roman" w:hAnsi="Times New Roman" w:cs="Times New Roman"/>
                <w:color w:val="auto"/>
                <w:lang w:eastAsia="zh-CN"/>
              </w:rPr>
              <w:t>1</w:t>
            </w:r>
            <w:r>
              <w:rPr>
                <w:color w:val="auto"/>
                <w:lang w:eastAsia="zh-CN"/>
              </w:rPr>
              <w:t>日取得了嵩明县发展</w:t>
            </w:r>
            <w:r>
              <w:rPr>
                <w:rFonts w:hint="eastAsia"/>
                <w:color w:val="auto"/>
                <w:lang w:eastAsia="zh-CN"/>
              </w:rPr>
              <w:t>改革</w:t>
            </w:r>
            <w:r>
              <w:rPr>
                <w:color w:val="auto"/>
                <w:lang w:eastAsia="zh-CN"/>
              </w:rPr>
              <w:t>局出具的投资项目备案证（项目代码：</w:t>
            </w:r>
            <w:r>
              <w:rPr>
                <w:rFonts w:hint="eastAsia" w:ascii="Times New Roman" w:hAnsi="Times New Roman" w:cs="Times New Roman"/>
                <w:color w:val="auto"/>
                <w:lang w:eastAsia="zh-CN"/>
              </w:rPr>
              <w:t>2411-530127-04-01-626119</w:t>
            </w:r>
            <w:r>
              <w:rPr>
                <w:color w:val="auto"/>
                <w:spacing w:val="-1"/>
                <w:lang w:eastAsia="zh-CN"/>
              </w:rPr>
              <w:t>）。</w:t>
            </w:r>
          </w:p>
          <w:p>
            <w:pPr>
              <w:kinsoku/>
              <w:spacing w:line="360" w:lineRule="auto"/>
              <w:ind w:firstLine="638" w:firstLineChars="266"/>
              <w:rPr>
                <w:rFonts w:ascii="Times New Roman" w:hAnsi="Times New Roman" w:eastAsia="宋体" w:cs="Times New Roman"/>
                <w:color w:val="auto"/>
                <w:spacing w:val="6"/>
                <w:sz w:val="24"/>
                <w:szCs w:val="24"/>
                <w:lang w:eastAsia="zh-CN"/>
              </w:rPr>
            </w:pPr>
            <w:r>
              <w:rPr>
                <w:rFonts w:ascii="Times New Roman" w:hAnsi="Times New Roman" w:eastAsia="宋体" w:cs="Times New Roman"/>
                <w:color w:val="auto"/>
                <w:sz w:val="24"/>
                <w:szCs w:val="24"/>
                <w:lang w:eastAsia="zh-CN"/>
              </w:rPr>
              <w:t>根据《中华人民共和国环境保护法》、国务院令第253号《建设项目环境保护管理条例》、国务院令第682号《国务院关于修改（建设项目环境保护管理条例）的决定》和《中华人民共和国环境影响评价法</w:t>
            </w:r>
            <w:r>
              <w:rPr>
                <w:rFonts w:hint="eastAsia" w:ascii="Times New Roman" w:hAnsi="Times New Roman" w:eastAsia="宋体" w:cs="Times New Roman"/>
                <w:color w:val="auto"/>
                <w:sz w:val="24"/>
                <w:szCs w:val="24"/>
                <w:lang w:eastAsia="zh-CN"/>
              </w:rPr>
              <w:t>》的</w:t>
            </w:r>
            <w:r>
              <w:rPr>
                <w:rFonts w:ascii="Times New Roman" w:hAnsi="Times New Roman" w:eastAsia="宋体" w:cs="Times New Roman"/>
                <w:color w:val="auto"/>
                <w:sz w:val="24"/>
                <w:szCs w:val="24"/>
                <w:lang w:eastAsia="zh-CN"/>
              </w:rPr>
              <w:t>要求，本项目应开展建设项目环境影响评价工作。根据生态环境部令第16号《建设项目环境影响评价分类管理名录（2021年版）》（2021年01月01日施行），本项目建设项目行业类别为“十八、家具制造业21-36木质家具制造211-其他（仅分割、组装的除外；年用非溶剂型低VOCs含量涂料10吨以下的除外）”应编制环境影响报告表。我公司受昆明福伦蒂家具制造有限公司的委托，承担了该项目环境影响报告表的编制工作。我单位接受委托后，通过现场踏勘、资料收集，按照环境影响评价技术导则的要求，编制完成《昆明福伦蒂家具制造有限公司年加工家具板8万平方项目环境影响报告表》，供建设单位上报审批。</w:t>
            </w:r>
          </w:p>
          <w:p>
            <w:pPr>
              <w:pStyle w:val="22"/>
              <w:kinsoku/>
              <w:spacing w:before="178" w:line="219" w:lineRule="auto"/>
              <w:ind w:left="592"/>
              <w:rPr>
                <w:rFonts w:hint="eastAsia"/>
                <w:color w:val="auto"/>
                <w:lang w:eastAsia="zh-CN"/>
              </w:rPr>
            </w:pPr>
            <w:r>
              <w:rPr>
                <w:b/>
                <w:bCs/>
                <w:color w:val="auto"/>
                <w:spacing w:val="-4"/>
                <w:lang w:eastAsia="zh-CN"/>
              </w:rPr>
              <w:t>二、建设内容及规模</w:t>
            </w:r>
          </w:p>
          <w:p>
            <w:pPr>
              <w:pStyle w:val="22"/>
              <w:kinsoku/>
              <w:spacing w:before="179" w:line="219" w:lineRule="auto"/>
              <w:ind w:left="594"/>
              <w:rPr>
                <w:rFonts w:hint="eastAsia"/>
                <w:color w:val="auto"/>
                <w:lang w:eastAsia="zh-CN"/>
              </w:rPr>
            </w:pPr>
            <w:r>
              <w:rPr>
                <w:rFonts w:ascii="Times New Roman" w:hAnsi="Times New Roman" w:eastAsia="Times New Roman" w:cs="Times New Roman"/>
                <w:b/>
                <w:bCs/>
                <w:color w:val="auto"/>
                <w:spacing w:val="-7"/>
                <w:lang w:eastAsia="zh-CN"/>
              </w:rPr>
              <w:t>1</w:t>
            </w:r>
            <w:r>
              <w:rPr>
                <w:b/>
                <w:bCs/>
                <w:color w:val="auto"/>
                <w:spacing w:val="-7"/>
                <w:lang w:eastAsia="zh-CN"/>
              </w:rPr>
              <w:t>、项目基本情况</w:t>
            </w:r>
          </w:p>
          <w:p>
            <w:pPr>
              <w:pStyle w:val="22"/>
              <w:kinsoku/>
              <w:spacing w:before="184" w:line="288" w:lineRule="auto"/>
              <w:ind w:left="107" w:right="102" w:firstLine="492"/>
              <w:rPr>
                <w:rFonts w:hint="eastAsia"/>
                <w:color w:val="auto"/>
                <w:lang w:eastAsia="zh-CN"/>
              </w:rPr>
            </w:pPr>
            <w:r>
              <w:rPr>
                <w:color w:val="auto"/>
                <w:spacing w:val="2"/>
                <w:lang w:eastAsia="zh-CN"/>
              </w:rPr>
              <w:t>（</w:t>
            </w:r>
            <w:r>
              <w:rPr>
                <w:rFonts w:ascii="Times New Roman" w:hAnsi="Times New Roman" w:eastAsia="Times New Roman" w:cs="Times New Roman"/>
                <w:color w:val="auto"/>
                <w:spacing w:val="2"/>
                <w:lang w:eastAsia="zh-CN"/>
              </w:rPr>
              <w:t>1</w:t>
            </w:r>
            <w:r>
              <w:rPr>
                <w:color w:val="auto"/>
                <w:spacing w:val="2"/>
                <w:lang w:eastAsia="zh-CN"/>
              </w:rPr>
              <w:t>）项目名称：</w:t>
            </w:r>
            <w:r>
              <w:rPr>
                <w:rFonts w:hint="eastAsia"/>
                <w:color w:val="auto"/>
                <w:spacing w:val="2"/>
                <w:lang w:eastAsia="zh-CN"/>
              </w:rPr>
              <w:t>昆明福伦蒂家具制造有限公司年加工家具板8万平方项目</w:t>
            </w:r>
          </w:p>
          <w:p>
            <w:pPr>
              <w:pStyle w:val="22"/>
              <w:kinsoku/>
              <w:spacing w:before="184" w:line="219" w:lineRule="auto"/>
              <w:ind w:left="599"/>
              <w:rPr>
                <w:rFonts w:hint="eastAsia"/>
                <w:color w:val="auto"/>
                <w:lang w:eastAsia="zh-CN"/>
              </w:rPr>
            </w:pPr>
            <w:r>
              <w:rPr>
                <w:color w:val="auto"/>
                <w:spacing w:val="-2"/>
                <w:lang w:eastAsia="zh-CN"/>
              </w:rPr>
              <w:t>（</w:t>
            </w:r>
            <w:r>
              <w:rPr>
                <w:rFonts w:ascii="Times New Roman" w:hAnsi="Times New Roman" w:eastAsia="Times New Roman" w:cs="Times New Roman"/>
                <w:color w:val="auto"/>
                <w:spacing w:val="-2"/>
                <w:lang w:eastAsia="zh-CN"/>
              </w:rPr>
              <w:t>2</w:t>
            </w:r>
            <w:r>
              <w:rPr>
                <w:color w:val="auto"/>
                <w:spacing w:val="-2"/>
                <w:lang w:eastAsia="zh-CN"/>
              </w:rPr>
              <w:t>）建设单位：</w:t>
            </w:r>
            <w:r>
              <w:rPr>
                <w:rFonts w:hint="eastAsia"/>
                <w:color w:val="auto"/>
                <w:spacing w:val="-2"/>
                <w:lang w:eastAsia="zh-CN"/>
              </w:rPr>
              <w:t>昆明福伦蒂家具制造有限公司</w:t>
            </w:r>
          </w:p>
          <w:p>
            <w:pPr>
              <w:pStyle w:val="22"/>
              <w:kinsoku/>
              <w:spacing w:before="183" w:line="220" w:lineRule="auto"/>
              <w:ind w:left="599"/>
              <w:rPr>
                <w:rFonts w:hint="eastAsia"/>
                <w:color w:val="auto"/>
                <w:lang w:eastAsia="zh-CN"/>
              </w:rPr>
            </w:pPr>
            <w:r>
              <w:rPr>
                <w:color w:val="auto"/>
                <w:spacing w:val="-3"/>
                <w:lang w:eastAsia="zh-CN"/>
              </w:rPr>
              <w:t>（</w:t>
            </w:r>
            <w:r>
              <w:rPr>
                <w:rFonts w:ascii="Times New Roman" w:hAnsi="Times New Roman" w:eastAsia="Times New Roman" w:cs="Times New Roman"/>
                <w:color w:val="auto"/>
                <w:spacing w:val="-3"/>
                <w:lang w:eastAsia="zh-CN"/>
              </w:rPr>
              <w:t>3</w:t>
            </w:r>
            <w:r>
              <w:rPr>
                <w:color w:val="auto"/>
                <w:spacing w:val="-3"/>
                <w:lang w:eastAsia="zh-CN"/>
              </w:rPr>
              <w:t>）建设性质：</w:t>
            </w:r>
            <w:r>
              <w:rPr>
                <w:rFonts w:hint="eastAsia"/>
                <w:color w:val="auto"/>
                <w:spacing w:val="-3"/>
                <w:lang w:eastAsia="zh-CN"/>
              </w:rPr>
              <w:t>新建</w:t>
            </w:r>
          </w:p>
          <w:p>
            <w:pPr>
              <w:pStyle w:val="22"/>
              <w:kinsoku/>
              <w:spacing w:before="179" w:line="360" w:lineRule="auto"/>
              <w:ind w:left="125" w:right="102" w:firstLine="474"/>
              <w:rPr>
                <w:rFonts w:hint="eastAsia"/>
                <w:color w:val="auto"/>
                <w:spacing w:val="2"/>
                <w:lang w:eastAsia="zh-CN"/>
              </w:rPr>
            </w:pPr>
            <w:r>
              <w:rPr>
                <w:color w:val="auto"/>
                <w:spacing w:val="2"/>
                <w:lang w:eastAsia="zh-CN"/>
              </w:rPr>
              <w:t>（</w:t>
            </w:r>
            <w:r>
              <w:rPr>
                <w:rFonts w:ascii="Times New Roman" w:hAnsi="Times New Roman" w:eastAsia="Times New Roman" w:cs="Times New Roman"/>
                <w:color w:val="auto"/>
                <w:spacing w:val="2"/>
                <w:lang w:eastAsia="zh-CN"/>
              </w:rPr>
              <w:t>4</w:t>
            </w:r>
            <w:r>
              <w:rPr>
                <w:color w:val="auto"/>
                <w:spacing w:val="2"/>
                <w:lang w:eastAsia="zh-CN"/>
              </w:rPr>
              <w:t>）建设地点：</w:t>
            </w:r>
            <w:r>
              <w:rPr>
                <w:rFonts w:hint="eastAsia"/>
                <w:color w:val="auto"/>
                <w:spacing w:val="2"/>
                <w:lang w:eastAsia="zh-CN"/>
              </w:rPr>
              <w:t>云南嵩明杨林工业园区东环路68号附3号，中心地理坐</w:t>
            </w:r>
            <w:r>
              <w:rPr>
                <w:rFonts w:ascii="Times New Roman" w:hAnsi="Times New Roman" w:cs="Times New Roman"/>
                <w:color w:val="auto"/>
                <w:spacing w:val="2"/>
                <w:lang w:eastAsia="zh-CN"/>
              </w:rPr>
              <w:t>标东经103°2′34.221″，北纬25°14′43.459″。</w:t>
            </w:r>
          </w:p>
          <w:p>
            <w:pPr>
              <w:pStyle w:val="22"/>
              <w:kinsoku/>
              <w:spacing w:before="193" w:line="345" w:lineRule="auto"/>
              <w:ind w:left="111" w:right="102" w:firstLine="488"/>
              <w:rPr>
                <w:rFonts w:hint="eastAsia"/>
                <w:color w:val="auto"/>
                <w:lang w:eastAsia="zh-CN"/>
              </w:rPr>
            </w:pPr>
            <w:r>
              <w:rPr>
                <w:color w:val="auto"/>
                <w:spacing w:val="2"/>
                <w:lang w:eastAsia="zh-CN"/>
              </w:rPr>
              <w:t>（</w:t>
            </w:r>
            <w:r>
              <w:rPr>
                <w:rFonts w:ascii="Times New Roman" w:hAnsi="Times New Roman" w:eastAsia="Times New Roman" w:cs="Times New Roman"/>
                <w:color w:val="auto"/>
                <w:spacing w:val="2"/>
                <w:lang w:eastAsia="zh-CN"/>
              </w:rPr>
              <w:t>5</w:t>
            </w:r>
            <w:r>
              <w:rPr>
                <w:color w:val="auto"/>
                <w:spacing w:val="2"/>
                <w:lang w:eastAsia="zh-CN"/>
              </w:rPr>
              <w:t>）工程投资：本项目总投资</w:t>
            </w:r>
            <w:r>
              <w:rPr>
                <w:rFonts w:hint="eastAsia" w:ascii="Times New Roman" w:hAnsi="Times New Roman" w:cs="Times New Roman"/>
                <w:color w:val="auto"/>
                <w:spacing w:val="2"/>
                <w:lang w:eastAsia="zh-CN"/>
              </w:rPr>
              <w:t>210万元</w:t>
            </w:r>
            <w:r>
              <w:rPr>
                <w:color w:val="auto"/>
                <w:spacing w:val="2"/>
                <w:lang w:eastAsia="zh-CN"/>
              </w:rPr>
              <w:t>，其中环保投资</w:t>
            </w:r>
            <w:r>
              <w:rPr>
                <w:rFonts w:hint="eastAsia" w:ascii="Times New Roman" w:hAnsi="Times New Roman" w:cs="Times New Roman"/>
                <w:color w:val="auto"/>
                <w:spacing w:val="2"/>
                <w:lang w:eastAsia="zh-CN"/>
              </w:rPr>
              <w:t>41万元</w:t>
            </w:r>
            <w:r>
              <w:rPr>
                <w:color w:val="auto"/>
                <w:spacing w:val="2"/>
                <w:lang w:eastAsia="zh-CN"/>
              </w:rPr>
              <w:t>，环保</w:t>
            </w:r>
            <w:r>
              <w:rPr>
                <w:color w:val="auto"/>
                <w:spacing w:val="-2"/>
                <w:lang w:eastAsia="zh-CN"/>
              </w:rPr>
              <w:t>投资占总投资的比例</w:t>
            </w:r>
            <w:r>
              <w:rPr>
                <w:rFonts w:hint="eastAsia" w:ascii="Times New Roman" w:hAnsi="Times New Roman" w:cs="Times New Roman"/>
                <w:color w:val="auto"/>
                <w:spacing w:val="-2"/>
                <w:lang w:eastAsia="zh-CN"/>
              </w:rPr>
              <w:t>19.5%</w:t>
            </w:r>
            <w:r>
              <w:rPr>
                <w:color w:val="auto"/>
                <w:spacing w:val="-2"/>
                <w:lang w:eastAsia="zh-CN"/>
              </w:rPr>
              <w:t>。</w:t>
            </w:r>
          </w:p>
          <w:p>
            <w:pPr>
              <w:pStyle w:val="22"/>
              <w:kinsoku/>
              <w:spacing w:before="36" w:line="219" w:lineRule="auto"/>
              <w:ind w:left="584"/>
              <w:rPr>
                <w:rFonts w:hint="eastAsia"/>
                <w:color w:val="auto"/>
                <w:lang w:eastAsia="zh-CN"/>
              </w:rPr>
            </w:pPr>
            <w:r>
              <w:rPr>
                <w:rFonts w:ascii="Times New Roman" w:hAnsi="Times New Roman" w:eastAsia="Times New Roman" w:cs="Times New Roman"/>
                <w:b/>
                <w:bCs/>
                <w:color w:val="auto"/>
                <w:spacing w:val="-7"/>
                <w:lang w:eastAsia="zh-CN"/>
              </w:rPr>
              <w:t>2</w:t>
            </w:r>
            <w:r>
              <w:rPr>
                <w:b/>
                <w:bCs/>
                <w:color w:val="auto"/>
                <w:spacing w:val="-7"/>
                <w:lang w:eastAsia="zh-CN"/>
              </w:rPr>
              <w:t>、建设内容</w:t>
            </w:r>
          </w:p>
          <w:p>
            <w:pPr>
              <w:pStyle w:val="22"/>
              <w:kinsoku/>
              <w:spacing w:before="179" w:line="353" w:lineRule="auto"/>
              <w:ind w:left="109" w:right="102" w:firstLine="480"/>
              <w:jc w:val="both"/>
              <w:rPr>
                <w:rFonts w:hint="eastAsia"/>
                <w:color w:val="auto"/>
                <w:lang w:eastAsia="zh-CN"/>
              </w:rPr>
            </w:pPr>
            <w:r>
              <w:rPr>
                <w:color w:val="auto"/>
                <w:spacing w:val="-1"/>
                <w:lang w:eastAsia="zh-CN"/>
              </w:rPr>
              <w:t>本项目</w:t>
            </w:r>
            <w:r>
              <w:rPr>
                <w:rFonts w:hint="eastAsia"/>
                <w:color w:val="auto"/>
                <w:spacing w:val="-1"/>
                <w:lang w:eastAsia="zh-CN"/>
              </w:rPr>
              <w:t>总租赁</w:t>
            </w:r>
            <w:r>
              <w:rPr>
                <w:color w:val="auto"/>
                <w:spacing w:val="-1"/>
                <w:lang w:eastAsia="zh-CN"/>
              </w:rPr>
              <w:t>面积</w:t>
            </w:r>
            <w:r>
              <w:rPr>
                <w:rFonts w:hint="eastAsia" w:ascii="Times New Roman" w:hAnsi="Times New Roman" w:cs="Times New Roman"/>
                <w:color w:val="auto"/>
                <w:spacing w:val="-1"/>
                <w:lang w:eastAsia="zh-CN"/>
              </w:rPr>
              <w:t>4437</w:t>
            </w:r>
            <w:r>
              <w:rPr>
                <w:rFonts w:ascii="Times New Roman" w:hAnsi="Times New Roman" w:eastAsia="Times New Roman" w:cs="Times New Roman"/>
                <w:color w:val="auto"/>
                <w:spacing w:val="-1"/>
                <w:lang w:eastAsia="zh-CN"/>
              </w:rPr>
              <w:t>m</w:t>
            </w:r>
            <w:r>
              <w:rPr>
                <w:rFonts w:ascii="Times New Roman" w:hAnsi="Times New Roman" w:eastAsia="Times New Roman" w:cs="Times New Roman"/>
                <w:color w:val="auto"/>
                <w:spacing w:val="-1"/>
                <w:position w:val="7"/>
                <w:sz w:val="15"/>
                <w:szCs w:val="15"/>
                <w:lang w:eastAsia="zh-CN"/>
              </w:rPr>
              <w:t>2</w:t>
            </w:r>
            <w:r>
              <w:rPr>
                <w:rFonts w:ascii="Times New Roman" w:hAnsi="Times New Roman" w:cs="Times New Roman"/>
                <w:color w:val="auto"/>
                <w:spacing w:val="11"/>
                <w:lang w:eastAsia="zh-CN"/>
              </w:rPr>
              <w:t>，其中</w:t>
            </w:r>
            <w:r>
              <w:rPr>
                <w:rFonts w:hint="eastAsia" w:ascii="Times New Roman" w:hAnsi="Times New Roman" w:cs="Times New Roman"/>
                <w:color w:val="auto"/>
                <w:spacing w:val="11"/>
                <w:lang w:val="en-US" w:eastAsia="zh-CN"/>
              </w:rPr>
              <w:t>门卫8m</w:t>
            </w:r>
            <w:r>
              <w:rPr>
                <w:rFonts w:hint="eastAsia" w:ascii="Times New Roman" w:hAnsi="Times New Roman" w:cs="Times New Roman"/>
                <w:color w:val="auto"/>
                <w:spacing w:val="11"/>
                <w:vertAlign w:val="superscript"/>
                <w:lang w:val="en-US" w:eastAsia="zh-CN"/>
              </w:rPr>
              <w:t>2</w:t>
            </w:r>
            <w:r>
              <w:rPr>
                <w:rFonts w:hint="eastAsia" w:ascii="Times New Roman" w:hAnsi="Times New Roman" w:cs="Times New Roman"/>
                <w:color w:val="auto"/>
                <w:spacing w:val="11"/>
                <w:lang w:val="en-US" w:eastAsia="zh-CN"/>
              </w:rPr>
              <w:t>，生活区498</w:t>
            </w:r>
            <w:r>
              <w:rPr>
                <w:rFonts w:ascii="Times New Roman" w:hAnsi="Times New Roman" w:eastAsia="Times New Roman" w:cs="Times New Roman"/>
                <w:color w:val="auto"/>
                <w:spacing w:val="-1"/>
                <w:lang w:eastAsia="zh-CN"/>
              </w:rPr>
              <w:t>m</w:t>
            </w:r>
            <w:r>
              <w:rPr>
                <w:rFonts w:hint="eastAsia" w:ascii="Times New Roman" w:hAnsi="Times New Roman" w:eastAsia="Times New Roman" w:cs="Times New Roman"/>
                <w:color w:val="auto"/>
                <w:spacing w:val="-1"/>
                <w:vertAlign w:val="superscript"/>
                <w:lang w:eastAsia="zh-CN"/>
              </w:rPr>
              <w:t>2</w:t>
            </w:r>
            <w:r>
              <w:rPr>
                <w:rFonts w:ascii="Times New Roman" w:hAnsi="Times New Roman" w:cs="Times New Roman"/>
                <w:color w:val="auto"/>
                <w:spacing w:val="11"/>
                <w:lang w:eastAsia="zh-CN"/>
              </w:rPr>
              <w:t>，生产厂房</w:t>
            </w:r>
            <w:r>
              <w:rPr>
                <w:rFonts w:hint="eastAsia" w:ascii="Times New Roman" w:hAnsi="Times New Roman" w:cs="Times New Roman"/>
                <w:color w:val="auto"/>
                <w:spacing w:val="-1"/>
                <w:lang w:eastAsia="zh-CN"/>
              </w:rPr>
              <w:t>3400</w:t>
            </w:r>
            <w:r>
              <w:rPr>
                <w:rFonts w:ascii="Times New Roman" w:hAnsi="Times New Roman" w:eastAsia="Times New Roman" w:cs="Times New Roman"/>
                <w:color w:val="auto"/>
                <w:spacing w:val="-1"/>
                <w:lang w:eastAsia="zh-CN"/>
              </w:rPr>
              <w:t>m</w:t>
            </w:r>
            <w:r>
              <w:rPr>
                <w:rFonts w:ascii="Times New Roman" w:hAnsi="Times New Roman" w:eastAsia="Times New Roman" w:cs="Times New Roman"/>
                <w:color w:val="auto"/>
                <w:spacing w:val="-1"/>
                <w:position w:val="7"/>
                <w:sz w:val="15"/>
                <w:szCs w:val="15"/>
                <w:lang w:eastAsia="zh-CN"/>
              </w:rPr>
              <w:t>2</w:t>
            </w:r>
            <w:r>
              <w:rPr>
                <w:rFonts w:ascii="Times New Roman" w:hAnsi="Times New Roman" w:cs="Times New Roman"/>
                <w:color w:val="auto"/>
                <w:spacing w:val="-1"/>
                <w:lang w:eastAsia="zh-CN"/>
              </w:rPr>
              <w:t>，</w:t>
            </w:r>
            <w:r>
              <w:rPr>
                <w:rFonts w:hint="eastAsia" w:ascii="Times New Roman" w:hAnsi="Times New Roman" w:cs="Times New Roman"/>
                <w:color w:val="auto"/>
                <w:spacing w:val="-1"/>
                <w:lang w:eastAsia="zh-CN"/>
              </w:rPr>
              <w:t>办公室531m</w:t>
            </w:r>
            <w:r>
              <w:rPr>
                <w:rFonts w:hint="eastAsia" w:ascii="Times New Roman" w:hAnsi="Times New Roman" w:cs="Times New Roman"/>
                <w:color w:val="auto"/>
                <w:spacing w:val="-1"/>
                <w:vertAlign w:val="superscript"/>
                <w:lang w:eastAsia="zh-CN"/>
              </w:rPr>
              <w:t>2</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项目主要对租赁</w:t>
            </w:r>
            <w:r>
              <w:rPr>
                <w:rFonts w:hint="eastAsia" w:ascii="Times New Roman" w:hAnsi="Times New Roman" w:cs="Times New Roman"/>
                <w:color w:val="auto"/>
                <w:spacing w:val="-1"/>
                <w:lang w:eastAsia="zh-CN"/>
              </w:rPr>
              <w:t>的高度为10m的</w:t>
            </w:r>
            <w:r>
              <w:rPr>
                <w:rFonts w:ascii="Times New Roman" w:hAnsi="Times New Roman" w:cs="Times New Roman"/>
                <w:color w:val="auto"/>
                <w:spacing w:val="-1"/>
                <w:lang w:eastAsia="zh-CN"/>
              </w:rPr>
              <w:t>一层钢结构厂房进行改造，</w:t>
            </w:r>
            <w:r>
              <w:rPr>
                <w:rFonts w:ascii="Times New Roman" w:hAnsi="Times New Roman" w:cs="Times New Roman"/>
                <w:color w:val="auto"/>
                <w:spacing w:val="1"/>
                <w:lang w:eastAsia="zh-CN"/>
              </w:rPr>
              <w:t>项目分为主体工程、辅助工程、储运工程、公用工程、环保工程</w:t>
            </w:r>
            <w:r>
              <w:rPr>
                <w:rFonts w:ascii="Times New Roman" w:hAnsi="Times New Roman" w:cs="Times New Roman"/>
                <w:color w:val="auto"/>
                <w:lang w:eastAsia="zh-CN"/>
              </w:rPr>
              <w:t>等</w:t>
            </w:r>
            <w:r>
              <w:rPr>
                <w:color w:val="auto"/>
                <w:lang w:eastAsia="zh-CN"/>
              </w:rPr>
              <w:t>，具体内容</w:t>
            </w:r>
            <w:r>
              <w:rPr>
                <w:color w:val="auto"/>
                <w:spacing w:val="-3"/>
                <w:lang w:eastAsia="zh-CN"/>
              </w:rPr>
              <w:t>详见表</w:t>
            </w:r>
            <w:r>
              <w:rPr>
                <w:rFonts w:ascii="Times New Roman" w:hAnsi="Times New Roman" w:eastAsia="Times New Roman" w:cs="Times New Roman"/>
                <w:color w:val="auto"/>
                <w:spacing w:val="-3"/>
                <w:lang w:eastAsia="zh-CN"/>
              </w:rPr>
              <w:t>2-</w:t>
            </w:r>
            <w:r>
              <w:rPr>
                <w:rFonts w:hint="eastAsia" w:ascii="Times New Roman" w:hAnsi="Times New Roman" w:cs="Times New Roman"/>
                <w:color w:val="auto"/>
                <w:spacing w:val="-3"/>
                <w:lang w:eastAsia="zh-CN"/>
              </w:rPr>
              <w:t>1</w:t>
            </w:r>
            <w:r>
              <w:rPr>
                <w:color w:val="auto"/>
                <w:spacing w:val="-3"/>
                <w:lang w:eastAsia="zh-CN"/>
              </w:rPr>
              <w:t>。</w:t>
            </w:r>
          </w:p>
          <w:p>
            <w:pPr>
              <w:pStyle w:val="22"/>
              <w:kinsoku/>
              <w:spacing w:before="28" w:line="228" w:lineRule="auto"/>
              <w:ind w:left="3060"/>
              <w:rPr>
                <w:rFonts w:hint="eastAsia"/>
                <w:color w:val="auto"/>
                <w:sz w:val="20"/>
                <w:szCs w:val="20"/>
              </w:rPr>
            </w:pPr>
            <w:r>
              <w:rPr>
                <w:b/>
                <w:bCs/>
                <w:color w:val="auto"/>
                <w:spacing w:val="5"/>
                <w:sz w:val="20"/>
                <w:szCs w:val="20"/>
              </w:rPr>
              <w:t>表</w:t>
            </w:r>
            <w:r>
              <w:rPr>
                <w:rFonts w:ascii="Times New Roman" w:hAnsi="Times New Roman" w:eastAsia="Times New Roman" w:cs="Times New Roman"/>
                <w:b/>
                <w:bCs/>
                <w:color w:val="auto"/>
                <w:spacing w:val="5"/>
                <w:sz w:val="20"/>
                <w:szCs w:val="20"/>
              </w:rPr>
              <w:t>2-</w:t>
            </w:r>
            <w:r>
              <w:rPr>
                <w:rFonts w:hint="eastAsia" w:ascii="Times New Roman" w:hAnsi="Times New Roman" w:cs="Times New Roman"/>
                <w:b/>
                <w:bCs/>
                <w:color w:val="auto"/>
                <w:spacing w:val="5"/>
                <w:sz w:val="20"/>
                <w:szCs w:val="20"/>
                <w:lang w:eastAsia="zh-CN"/>
              </w:rPr>
              <w:t>1</w:t>
            </w:r>
            <w:r>
              <w:rPr>
                <w:b/>
                <w:bCs/>
                <w:color w:val="auto"/>
                <w:spacing w:val="5"/>
                <w:sz w:val="20"/>
                <w:szCs w:val="20"/>
              </w:rPr>
              <w:t>项目主要内容及规模</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491"/>
              <w:gridCol w:w="636"/>
              <w:gridCol w:w="4943"/>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widowControl w:val="0"/>
                    <w:kinsoku/>
                    <w:jc w:val="center"/>
                    <w:rPr>
                      <w:color w:val="auto"/>
                      <w:lang w:eastAsia="zh-CN"/>
                    </w:rPr>
                  </w:pPr>
                  <w:r>
                    <w:rPr>
                      <w:color w:val="auto"/>
                      <w:lang w:eastAsia="zh-CN"/>
                    </w:rPr>
                    <w:t>类别</w:t>
                  </w:r>
                </w:p>
              </w:tc>
              <w:tc>
                <w:tcPr>
                  <w:tcW w:w="1127" w:type="dxa"/>
                  <w:gridSpan w:val="2"/>
                  <w:vAlign w:val="center"/>
                </w:tcPr>
                <w:p>
                  <w:pPr>
                    <w:widowControl w:val="0"/>
                    <w:kinsoku/>
                    <w:jc w:val="center"/>
                    <w:rPr>
                      <w:color w:val="auto"/>
                      <w:lang w:eastAsia="zh-CN"/>
                    </w:rPr>
                  </w:pPr>
                  <w:r>
                    <w:rPr>
                      <w:color w:val="auto"/>
                      <w:lang w:eastAsia="zh-CN"/>
                    </w:rPr>
                    <w:t>工程名称</w:t>
                  </w:r>
                </w:p>
              </w:tc>
              <w:tc>
                <w:tcPr>
                  <w:tcW w:w="4943" w:type="dxa"/>
                  <w:vAlign w:val="center"/>
                </w:tcPr>
                <w:p>
                  <w:pPr>
                    <w:widowControl w:val="0"/>
                    <w:kinsoku/>
                    <w:jc w:val="center"/>
                    <w:rPr>
                      <w:color w:val="auto"/>
                      <w:lang w:eastAsia="zh-CN"/>
                    </w:rPr>
                  </w:pPr>
                  <w:r>
                    <w:rPr>
                      <w:color w:val="auto"/>
                      <w:lang w:eastAsia="zh-CN"/>
                    </w:rPr>
                    <w:t>建设内容</w:t>
                  </w:r>
                </w:p>
              </w:tc>
              <w:tc>
                <w:tcPr>
                  <w:tcW w:w="1846" w:type="dxa"/>
                  <w:vAlign w:val="center"/>
                </w:tcPr>
                <w:p>
                  <w:pPr>
                    <w:widowControl w:val="0"/>
                    <w:kinsoku/>
                    <w:jc w:val="center"/>
                    <w:rPr>
                      <w:color w:val="auto"/>
                      <w:lang w:eastAsia="zh-CN"/>
                    </w:rPr>
                  </w:pPr>
                  <w:r>
                    <w:rPr>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pPr>
                    <w:widowControl w:val="0"/>
                    <w:kinsoku/>
                    <w:jc w:val="center"/>
                    <w:rPr>
                      <w:color w:val="auto"/>
                    </w:rPr>
                  </w:pPr>
                  <w:r>
                    <w:rPr>
                      <w:color w:val="auto"/>
                      <w:lang w:eastAsia="zh-CN"/>
                    </w:rPr>
                    <w:t>主体工程</w:t>
                  </w:r>
                </w:p>
              </w:tc>
              <w:tc>
                <w:tcPr>
                  <w:tcW w:w="1127" w:type="dxa"/>
                  <w:gridSpan w:val="2"/>
                  <w:vAlign w:val="center"/>
                </w:tcPr>
                <w:p>
                  <w:pPr>
                    <w:widowControl w:val="0"/>
                    <w:kinsoku/>
                    <w:jc w:val="center"/>
                    <w:rPr>
                      <w:color w:val="auto"/>
                      <w:lang w:eastAsia="zh-CN"/>
                    </w:rPr>
                  </w:pPr>
                  <w:r>
                    <w:rPr>
                      <w:color w:val="auto"/>
                      <w:lang w:eastAsia="zh-CN"/>
                    </w:rPr>
                    <w:t>下料区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w:t>
                  </w:r>
                  <w:r>
                    <w:rPr>
                      <w:rFonts w:hint="eastAsia"/>
                      <w:color w:val="auto"/>
                      <w:lang w:eastAsia="zh-CN"/>
                    </w:rPr>
                    <w:t>北</w:t>
                  </w:r>
                  <w:r>
                    <w:rPr>
                      <w:color w:val="auto"/>
                      <w:lang w:eastAsia="zh-CN"/>
                    </w:rPr>
                    <w:t>侧，占地面积约</w:t>
                  </w:r>
                  <w:r>
                    <w:rPr>
                      <w:rFonts w:hint="eastAsia"/>
                      <w:color w:val="auto"/>
                      <w:lang w:eastAsia="zh-CN"/>
                    </w:rPr>
                    <w:t>200</w:t>
                  </w:r>
                  <w:r>
                    <w:rPr>
                      <w:color w:val="auto"/>
                      <w:lang w:eastAsia="zh-CN"/>
                    </w:rPr>
                    <w:t>m</w:t>
                  </w:r>
                  <w:r>
                    <w:rPr>
                      <w:color w:val="auto"/>
                      <w:vertAlign w:val="superscript"/>
                      <w:lang w:eastAsia="zh-CN"/>
                    </w:rPr>
                    <w:t>2</w:t>
                  </w:r>
                  <w:r>
                    <w:rPr>
                      <w:color w:val="auto"/>
                      <w:lang w:eastAsia="zh-CN"/>
                    </w:rPr>
                    <w:t>，拟配置</w:t>
                  </w:r>
                  <w:r>
                    <w:rPr>
                      <w:rFonts w:hint="eastAsia"/>
                      <w:color w:val="auto"/>
                      <w:lang w:eastAsia="zh-CN"/>
                    </w:rPr>
                    <w:t>下料机4台</w:t>
                  </w:r>
                  <w:r>
                    <w:rPr>
                      <w:color w:val="auto"/>
                      <w:lang w:eastAsia="zh-CN"/>
                    </w:rPr>
                    <w:t>。</w:t>
                  </w:r>
                  <w:r>
                    <w:rPr>
                      <w:rFonts w:ascii="Times New Roman" w:hAnsi="Times New Roman" w:eastAsia="宋体" w:cs="Times New Roman"/>
                      <w:color w:val="auto"/>
                      <w:lang w:eastAsia="zh-CN"/>
                    </w:rPr>
                    <w:t>根据订单对原板材进行切割。</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下料堆放区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钢结构厂房下料区南侧，占地面积约</w:t>
                  </w:r>
                  <w:r>
                    <w:rPr>
                      <w:rFonts w:hint="eastAsia"/>
                      <w:color w:val="auto"/>
                      <w:lang w:eastAsia="zh-CN"/>
                    </w:rPr>
                    <w:t>340</w:t>
                  </w:r>
                  <w:r>
                    <w:rPr>
                      <w:color w:val="auto"/>
                      <w:lang w:eastAsia="zh-CN"/>
                    </w:rPr>
                    <w:t>m</w:t>
                  </w:r>
                  <w:r>
                    <w:rPr>
                      <w:color w:val="auto"/>
                      <w:vertAlign w:val="superscript"/>
                      <w:lang w:eastAsia="zh-CN"/>
                    </w:rPr>
                    <w:t>2</w:t>
                  </w:r>
                  <w:r>
                    <w:rPr>
                      <w:color w:val="auto"/>
                      <w:lang w:eastAsia="zh-CN"/>
                    </w:rPr>
                    <w:t>。</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封边区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钢结构厂房中部，占地约</w:t>
                  </w:r>
                  <w:r>
                    <w:rPr>
                      <w:rFonts w:hint="eastAsia"/>
                      <w:color w:val="auto"/>
                      <w:lang w:eastAsia="zh-CN"/>
                    </w:rPr>
                    <w:t>510</w:t>
                  </w:r>
                  <w:r>
                    <w:rPr>
                      <w:color w:val="auto"/>
                      <w:lang w:eastAsia="zh-CN"/>
                    </w:rPr>
                    <w:t>m</w:t>
                  </w:r>
                  <w:r>
                    <w:rPr>
                      <w:color w:val="auto"/>
                      <w:vertAlign w:val="superscript"/>
                      <w:lang w:eastAsia="zh-CN"/>
                    </w:rPr>
                    <w:t>2</w:t>
                  </w:r>
                  <w:r>
                    <w:rPr>
                      <w:color w:val="auto"/>
                      <w:lang w:eastAsia="zh-CN"/>
                    </w:rPr>
                    <w:t>，拟配置自动封边机</w:t>
                  </w:r>
                  <w:r>
                    <w:rPr>
                      <w:rFonts w:hint="eastAsia"/>
                      <w:color w:val="auto"/>
                      <w:lang w:eastAsia="zh-CN"/>
                    </w:rPr>
                    <w:t>6</w:t>
                  </w:r>
                  <w:r>
                    <w:rPr>
                      <w:color w:val="auto"/>
                      <w:lang w:eastAsia="zh-CN"/>
                    </w:rPr>
                    <w:t>台。</w:t>
                  </w:r>
                  <w:r>
                    <w:rPr>
                      <w:rFonts w:ascii="Times New Roman" w:hAnsi="Times New Roman" w:eastAsia="宋体" w:cs="Times New Roman"/>
                      <w:color w:val="auto"/>
                      <w:lang w:eastAsia="zh-CN"/>
                    </w:rPr>
                    <w:t>对完成切割下料的半成品组合家具进行封边处理。</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打孔区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钢结构厂房中部，封边区</w:t>
                  </w:r>
                  <w:r>
                    <w:rPr>
                      <w:rFonts w:hint="eastAsia"/>
                      <w:color w:val="auto"/>
                      <w:lang w:eastAsia="zh-CN"/>
                    </w:rPr>
                    <w:t>东</w:t>
                  </w:r>
                  <w:r>
                    <w:rPr>
                      <w:color w:val="auto"/>
                      <w:lang w:eastAsia="zh-CN"/>
                    </w:rPr>
                    <w:t>南侧，占地约</w:t>
                  </w:r>
                  <w:r>
                    <w:rPr>
                      <w:rFonts w:hint="eastAsia"/>
                      <w:color w:val="auto"/>
                      <w:lang w:eastAsia="zh-CN"/>
                    </w:rPr>
                    <w:t>150</w:t>
                  </w:r>
                  <w:r>
                    <w:rPr>
                      <w:color w:val="auto"/>
                      <w:lang w:eastAsia="zh-CN"/>
                    </w:rPr>
                    <w:t>m</w:t>
                  </w:r>
                  <w:r>
                    <w:rPr>
                      <w:color w:val="auto"/>
                      <w:vertAlign w:val="superscript"/>
                      <w:lang w:eastAsia="zh-CN"/>
                    </w:rPr>
                    <w:t>2</w:t>
                  </w:r>
                  <w:r>
                    <w:rPr>
                      <w:color w:val="auto"/>
                      <w:lang w:eastAsia="zh-CN"/>
                    </w:rPr>
                    <w:t>，拟配置钻孔机</w:t>
                  </w:r>
                  <w:r>
                    <w:rPr>
                      <w:rFonts w:hint="eastAsia"/>
                      <w:color w:val="auto"/>
                      <w:lang w:eastAsia="zh-CN"/>
                    </w:rPr>
                    <w:t>3</w:t>
                  </w:r>
                  <w:r>
                    <w:rPr>
                      <w:color w:val="auto"/>
                      <w:lang w:eastAsia="zh-CN"/>
                    </w:rPr>
                    <w:t>台、螺杆空压机</w:t>
                  </w:r>
                  <w:r>
                    <w:rPr>
                      <w:rFonts w:hint="eastAsia"/>
                      <w:color w:val="auto"/>
                      <w:lang w:eastAsia="zh-CN"/>
                    </w:rPr>
                    <w:t>4</w:t>
                  </w:r>
                  <w:r>
                    <w:rPr>
                      <w:color w:val="auto"/>
                      <w:lang w:eastAsia="zh-CN"/>
                    </w:rPr>
                    <w:t>台。</w:t>
                  </w:r>
                  <w:r>
                    <w:rPr>
                      <w:rFonts w:ascii="Times New Roman" w:hAnsi="Times New Roman" w:eastAsia="宋体" w:cs="Times New Roman"/>
                      <w:color w:val="auto"/>
                      <w:lang w:eastAsia="zh-CN"/>
                    </w:rPr>
                    <w:t>对组合家具进行打孔。</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分拣区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钢结构厂房封边区</w:t>
                  </w:r>
                  <w:r>
                    <w:rPr>
                      <w:rFonts w:hint="eastAsia"/>
                      <w:color w:val="auto"/>
                      <w:lang w:eastAsia="zh-CN"/>
                    </w:rPr>
                    <w:t>南</w:t>
                  </w:r>
                  <w:r>
                    <w:rPr>
                      <w:color w:val="auto"/>
                      <w:lang w:eastAsia="zh-CN"/>
                    </w:rPr>
                    <w:t>侧，占地约</w:t>
                  </w:r>
                  <w:r>
                    <w:rPr>
                      <w:rFonts w:hint="eastAsia"/>
                      <w:color w:val="auto"/>
                      <w:lang w:eastAsia="zh-CN"/>
                    </w:rPr>
                    <w:t>140</w:t>
                  </w:r>
                  <w:r>
                    <w:rPr>
                      <w:color w:val="auto"/>
                      <w:lang w:eastAsia="zh-CN"/>
                    </w:rPr>
                    <w:t>m</w:t>
                  </w:r>
                  <w:r>
                    <w:rPr>
                      <w:color w:val="auto"/>
                      <w:vertAlign w:val="superscript"/>
                      <w:lang w:eastAsia="zh-CN"/>
                    </w:rPr>
                    <w:t>2</w:t>
                  </w:r>
                  <w:r>
                    <w:rPr>
                      <w:rFonts w:hint="eastAsia"/>
                      <w:color w:val="auto"/>
                      <w:lang w:eastAsia="zh-CN"/>
                    </w:rPr>
                    <w:t>，拟配置分拣机1台</w:t>
                  </w:r>
                  <w:r>
                    <w:rPr>
                      <w:color w:val="auto"/>
                      <w:lang w:eastAsia="zh-CN"/>
                    </w:rPr>
                    <w:t>。</w:t>
                  </w:r>
                  <w:r>
                    <w:rPr>
                      <w:rFonts w:ascii="Times New Roman" w:hAnsi="Times New Roman" w:eastAsia="宋体" w:cs="Times New Roman"/>
                      <w:color w:val="auto"/>
                      <w:lang w:eastAsia="zh-CN"/>
                    </w:rPr>
                    <w:t>用于小体积组装家具及五金件分配。</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质检区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钢结构厂房成品区</w:t>
                  </w:r>
                  <w:r>
                    <w:rPr>
                      <w:rFonts w:hint="eastAsia"/>
                      <w:color w:val="auto"/>
                      <w:lang w:eastAsia="zh-CN"/>
                    </w:rPr>
                    <w:t>西北</w:t>
                  </w:r>
                  <w:r>
                    <w:rPr>
                      <w:color w:val="auto"/>
                      <w:lang w:eastAsia="zh-CN"/>
                    </w:rPr>
                    <w:t>侧，打包区西侧，占地约</w:t>
                  </w:r>
                  <w:r>
                    <w:rPr>
                      <w:rFonts w:hint="eastAsia"/>
                      <w:color w:val="auto"/>
                      <w:lang w:eastAsia="zh-CN"/>
                    </w:rPr>
                    <w:t>25</w:t>
                  </w:r>
                  <w:r>
                    <w:rPr>
                      <w:color w:val="auto"/>
                      <w:lang w:eastAsia="zh-CN"/>
                    </w:rPr>
                    <w:t>m</w:t>
                  </w:r>
                  <w:r>
                    <w:rPr>
                      <w:color w:val="auto"/>
                      <w:vertAlign w:val="superscript"/>
                      <w:lang w:eastAsia="zh-CN"/>
                    </w:rPr>
                    <w:t>2</w:t>
                  </w:r>
                  <w:r>
                    <w:rPr>
                      <w:color w:val="auto"/>
                      <w:lang w:eastAsia="zh-CN"/>
                    </w:rPr>
                    <w:t>。</w:t>
                  </w:r>
                  <w:r>
                    <w:rPr>
                      <w:rFonts w:hint="eastAsia"/>
                      <w:color w:val="auto"/>
                      <w:lang w:eastAsia="zh-CN"/>
                    </w:rPr>
                    <w:t>用于</w:t>
                  </w:r>
                  <w:r>
                    <w:rPr>
                      <w:rFonts w:hint="eastAsia" w:ascii="Times New Roman" w:hAnsi="Times New Roman" w:cs="Times New Roman"/>
                      <w:color w:val="auto"/>
                      <w:lang w:eastAsia="zh-CN"/>
                    </w:rPr>
                    <w:t>核实产品与订单内容的符合性，产品是否合格。</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vAlign w:val="center"/>
                </w:tcPr>
                <w:p>
                  <w:pPr>
                    <w:widowControl w:val="0"/>
                    <w:kinsoku/>
                    <w:jc w:val="center"/>
                    <w:rPr>
                      <w:color w:val="auto"/>
                      <w:lang w:eastAsia="zh-CN"/>
                    </w:rPr>
                  </w:pPr>
                </w:p>
              </w:tc>
              <w:tc>
                <w:tcPr>
                  <w:tcW w:w="1127" w:type="dxa"/>
                  <w:gridSpan w:val="2"/>
                  <w:shd w:val="clear" w:color="auto" w:fill="auto"/>
                  <w:vAlign w:val="center"/>
                </w:tcPr>
                <w:p>
                  <w:pPr>
                    <w:widowControl w:val="0"/>
                    <w:kinsoku/>
                    <w:jc w:val="center"/>
                    <w:rPr>
                      <w:color w:val="auto"/>
                      <w:lang w:eastAsia="zh-CN"/>
                    </w:rPr>
                  </w:pPr>
                  <w:r>
                    <w:rPr>
                      <w:color w:val="auto"/>
                      <w:lang w:eastAsia="zh-CN"/>
                    </w:rPr>
                    <w:t>打包区</w:t>
                  </w:r>
                </w:p>
              </w:tc>
              <w:tc>
                <w:tcPr>
                  <w:tcW w:w="4943" w:type="dxa"/>
                  <w:shd w:val="clear" w:color="auto" w:fill="auto"/>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钢结构厂房成品区东北侧，质检区东侧，占地约50m</w:t>
                  </w:r>
                  <w:r>
                    <w:rPr>
                      <w:color w:val="auto"/>
                      <w:vertAlign w:val="superscript"/>
                      <w:lang w:eastAsia="zh-CN"/>
                    </w:rPr>
                    <w:t>2</w:t>
                  </w:r>
                  <w:r>
                    <w:rPr>
                      <w:color w:val="auto"/>
                      <w:lang w:eastAsia="zh-CN"/>
                    </w:rPr>
                    <w:t>，拟配置打包机</w:t>
                  </w:r>
                  <w:r>
                    <w:rPr>
                      <w:rFonts w:hint="eastAsia"/>
                      <w:color w:val="auto"/>
                      <w:lang w:eastAsia="zh-CN"/>
                    </w:rPr>
                    <w:t>1</w:t>
                  </w:r>
                  <w:r>
                    <w:rPr>
                      <w:color w:val="auto"/>
                      <w:lang w:eastAsia="zh-CN"/>
                    </w:rPr>
                    <w:t>台。</w:t>
                  </w:r>
                  <w:r>
                    <w:rPr>
                      <w:rFonts w:ascii="Times New Roman" w:hAnsi="Times New Roman" w:eastAsia="宋体" w:cs="Times New Roman"/>
                      <w:color w:val="auto"/>
                      <w:lang w:eastAsia="zh-CN"/>
                    </w:rPr>
                    <w:t>清理加工完成后组装家具表面残余粉尘，对其进行外包装。</w:t>
                  </w:r>
                </w:p>
              </w:tc>
              <w:tc>
                <w:tcPr>
                  <w:tcW w:w="1846" w:type="dxa"/>
                  <w:shd w:val="clear" w:color="auto" w:fill="auto"/>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pPr>
                    <w:widowControl w:val="0"/>
                    <w:kinsoku/>
                    <w:jc w:val="center"/>
                    <w:rPr>
                      <w:color w:val="auto"/>
                      <w:lang w:eastAsia="zh-CN"/>
                    </w:rPr>
                  </w:pPr>
                  <w:r>
                    <w:rPr>
                      <w:color w:val="auto"/>
                      <w:lang w:eastAsia="zh-CN"/>
                    </w:rPr>
                    <w:t>储运工程</w:t>
                  </w:r>
                </w:p>
              </w:tc>
              <w:tc>
                <w:tcPr>
                  <w:tcW w:w="1127" w:type="dxa"/>
                  <w:gridSpan w:val="2"/>
                  <w:vAlign w:val="center"/>
                </w:tcPr>
                <w:p>
                  <w:pPr>
                    <w:widowControl w:val="0"/>
                    <w:kinsoku/>
                    <w:jc w:val="center"/>
                    <w:rPr>
                      <w:color w:val="auto"/>
                      <w:lang w:eastAsia="zh-CN"/>
                    </w:rPr>
                  </w:pPr>
                  <w:r>
                    <w:rPr>
                      <w:color w:val="auto"/>
                      <w:lang w:eastAsia="zh-CN"/>
                    </w:rPr>
                    <w:t>原料仓库</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钢结构厂房最</w:t>
                  </w:r>
                  <w:r>
                    <w:rPr>
                      <w:rFonts w:hint="eastAsia"/>
                      <w:color w:val="auto"/>
                      <w:lang w:eastAsia="zh-CN"/>
                    </w:rPr>
                    <w:t>西</w:t>
                  </w:r>
                  <w:r>
                    <w:rPr>
                      <w:color w:val="auto"/>
                      <w:lang w:eastAsia="zh-CN"/>
                    </w:rPr>
                    <w:t>北侧，占地约200m</w:t>
                  </w:r>
                  <w:r>
                    <w:rPr>
                      <w:color w:val="auto"/>
                      <w:vertAlign w:val="superscript"/>
                      <w:lang w:eastAsia="zh-CN"/>
                    </w:rPr>
                    <w:t>2</w:t>
                  </w:r>
                  <w:r>
                    <w:rPr>
                      <w:color w:val="auto"/>
                      <w:lang w:eastAsia="zh-CN"/>
                    </w:rPr>
                    <w:t>。</w:t>
                  </w:r>
                  <w:r>
                    <w:rPr>
                      <w:rFonts w:hint="eastAsia"/>
                      <w:color w:val="auto"/>
                      <w:lang w:eastAsia="zh-CN"/>
                    </w:rPr>
                    <w:t>用于原料堆存。</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1127" w:type="dxa"/>
                  <w:gridSpan w:val="2"/>
                  <w:vAlign w:val="center"/>
                </w:tcPr>
                <w:p>
                  <w:pPr>
                    <w:widowControl w:val="0"/>
                    <w:kinsoku/>
                    <w:jc w:val="center"/>
                    <w:rPr>
                      <w:color w:val="auto"/>
                      <w:lang w:eastAsia="zh-CN"/>
                    </w:rPr>
                  </w:pPr>
                  <w:r>
                    <w:rPr>
                      <w:color w:val="auto"/>
                      <w:lang w:eastAsia="zh-CN"/>
                    </w:rPr>
                    <w:t>成品区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钢结构厂房最</w:t>
                  </w:r>
                  <w:r>
                    <w:rPr>
                      <w:rFonts w:hint="eastAsia"/>
                      <w:color w:val="auto"/>
                      <w:lang w:eastAsia="zh-CN"/>
                    </w:rPr>
                    <w:t>西</w:t>
                  </w:r>
                  <w:r>
                    <w:rPr>
                      <w:color w:val="auto"/>
                      <w:lang w:eastAsia="zh-CN"/>
                    </w:rPr>
                    <w:t>南侧，占地约</w:t>
                  </w:r>
                  <w:r>
                    <w:rPr>
                      <w:rFonts w:hint="eastAsia"/>
                      <w:color w:val="auto"/>
                      <w:lang w:eastAsia="zh-CN"/>
                    </w:rPr>
                    <w:t>150</w:t>
                  </w:r>
                  <w:r>
                    <w:rPr>
                      <w:color w:val="auto"/>
                      <w:lang w:eastAsia="zh-CN"/>
                    </w:rPr>
                    <w:t>m</w:t>
                  </w:r>
                  <w:r>
                    <w:rPr>
                      <w:color w:val="auto"/>
                      <w:vertAlign w:val="superscript"/>
                      <w:lang w:eastAsia="zh-CN"/>
                    </w:rPr>
                    <w:t>2</w:t>
                  </w:r>
                  <w:r>
                    <w:rPr>
                      <w:color w:val="auto"/>
                      <w:lang w:eastAsia="zh-CN"/>
                    </w:rPr>
                    <w:t>。</w:t>
                  </w:r>
                  <w:r>
                    <w:rPr>
                      <w:rFonts w:hint="eastAsia"/>
                      <w:color w:val="auto"/>
                      <w:lang w:eastAsia="zh-CN"/>
                    </w:rPr>
                    <w:t>用于成品摆放。</w:t>
                  </w:r>
                </w:p>
              </w:tc>
              <w:tc>
                <w:tcPr>
                  <w:tcW w:w="1846" w:type="dxa"/>
                  <w:vAlign w:val="center"/>
                </w:tcPr>
                <w:p>
                  <w:pPr>
                    <w:widowControl w:val="0"/>
                    <w:kinsoku/>
                    <w:jc w:val="center"/>
                    <w:rPr>
                      <w:color w:val="auto"/>
                      <w:lang w:eastAsia="zh-CN"/>
                    </w:rPr>
                  </w:pPr>
                  <w:r>
                    <w:rPr>
                      <w:rFonts w:hint="eastAsia" w:ascii="宋体" w:hAnsi="宋体" w:eastAsia="宋体" w:cs="宋体"/>
                      <w:color w:val="auto"/>
                      <w:lang w:eastAsia="zh-CN"/>
                    </w:rPr>
                    <w:t>在现有</w:t>
                  </w:r>
                  <w:r>
                    <w:rPr>
                      <w:rFonts w:hint="eastAsia"/>
                      <w:color w:val="auto"/>
                      <w:lang w:eastAsia="zh-CN"/>
                    </w:rPr>
                    <w:t>厂房对设备进行分区摆放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pPr>
                    <w:widowControl w:val="0"/>
                    <w:kinsoku/>
                    <w:jc w:val="center"/>
                    <w:rPr>
                      <w:color w:val="auto"/>
                      <w:lang w:eastAsia="zh-CN"/>
                    </w:rPr>
                  </w:pPr>
                  <w:r>
                    <w:rPr>
                      <w:rFonts w:hint="eastAsia"/>
                      <w:color w:val="auto"/>
                      <w:lang w:eastAsia="zh-CN"/>
                    </w:rPr>
                    <w:t>辅助工程</w:t>
                  </w:r>
                </w:p>
              </w:tc>
              <w:tc>
                <w:tcPr>
                  <w:tcW w:w="1127" w:type="dxa"/>
                  <w:gridSpan w:val="2"/>
                  <w:shd w:val="clear" w:color="auto" w:fill="auto"/>
                  <w:vAlign w:val="center"/>
                </w:tcPr>
                <w:p>
                  <w:pPr>
                    <w:widowControl w:val="0"/>
                    <w:kinsoku/>
                    <w:jc w:val="center"/>
                    <w:rPr>
                      <w:color w:val="auto"/>
                      <w:lang w:eastAsia="zh-CN"/>
                    </w:rPr>
                  </w:pPr>
                  <w:r>
                    <w:rPr>
                      <w:rFonts w:hint="eastAsia"/>
                      <w:color w:val="auto"/>
                      <w:lang w:eastAsia="zh-CN"/>
                    </w:rPr>
                    <w:t>门卫</w:t>
                  </w:r>
                </w:p>
              </w:tc>
              <w:tc>
                <w:tcPr>
                  <w:tcW w:w="4943" w:type="dxa"/>
                  <w:shd w:val="clear" w:color="auto" w:fill="auto"/>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w:t>
                  </w:r>
                  <w:r>
                    <w:rPr>
                      <w:rFonts w:hint="eastAsia"/>
                      <w:color w:val="auto"/>
                      <w:lang w:eastAsia="zh-CN"/>
                    </w:rPr>
                    <w:t>东南</w:t>
                  </w:r>
                  <w:r>
                    <w:rPr>
                      <w:color w:val="auto"/>
                      <w:lang w:eastAsia="zh-CN"/>
                    </w:rPr>
                    <w:t>侧</w:t>
                  </w:r>
                  <w:r>
                    <w:rPr>
                      <w:rFonts w:hint="eastAsia"/>
                      <w:color w:val="auto"/>
                      <w:lang w:eastAsia="zh-CN"/>
                    </w:rPr>
                    <w:t>，综合办公楼旁，面积约8m</w:t>
                  </w:r>
                  <w:r>
                    <w:rPr>
                      <w:rFonts w:hint="eastAsia"/>
                      <w:color w:val="auto"/>
                      <w:vertAlign w:val="superscript"/>
                      <w:lang w:eastAsia="zh-CN"/>
                    </w:rPr>
                    <w:t>2</w:t>
                  </w:r>
                </w:p>
              </w:tc>
              <w:tc>
                <w:tcPr>
                  <w:tcW w:w="1846" w:type="dxa"/>
                  <w:shd w:val="clear" w:color="auto" w:fill="auto"/>
                  <w:vAlign w:val="center"/>
                </w:tcPr>
                <w:p>
                  <w:pPr>
                    <w:widowControl w:val="0"/>
                    <w:kinsoku/>
                    <w:jc w:val="center"/>
                    <w:rPr>
                      <w:color w:val="auto"/>
                      <w:lang w:eastAsia="zh-CN"/>
                    </w:rPr>
                  </w:pPr>
                  <w:r>
                    <w:rPr>
                      <w:rFonts w:hint="eastAsia"/>
                      <w:color w:val="auto"/>
                      <w:lang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vAlign w:val="center"/>
                </w:tcPr>
                <w:p>
                  <w:pPr>
                    <w:widowControl w:val="0"/>
                    <w:kinsoku/>
                    <w:jc w:val="center"/>
                    <w:rPr>
                      <w:color w:val="auto"/>
                      <w:lang w:eastAsia="zh-CN"/>
                    </w:rPr>
                  </w:pPr>
                </w:p>
              </w:tc>
              <w:tc>
                <w:tcPr>
                  <w:tcW w:w="1127" w:type="dxa"/>
                  <w:gridSpan w:val="2"/>
                  <w:shd w:val="clear" w:color="auto" w:fill="auto"/>
                  <w:vAlign w:val="center"/>
                </w:tcPr>
                <w:p>
                  <w:pPr>
                    <w:widowControl w:val="0"/>
                    <w:kinsoku/>
                    <w:jc w:val="center"/>
                    <w:rPr>
                      <w:color w:val="auto"/>
                      <w:lang w:eastAsia="zh-CN"/>
                    </w:rPr>
                  </w:pPr>
                  <w:r>
                    <w:rPr>
                      <w:rFonts w:hint="eastAsia"/>
                      <w:color w:val="auto"/>
                      <w:lang w:val="en-US" w:eastAsia="zh-CN"/>
                    </w:rPr>
                    <w:t>生活区</w:t>
                  </w:r>
                </w:p>
              </w:tc>
              <w:tc>
                <w:tcPr>
                  <w:tcW w:w="4943" w:type="dxa"/>
                  <w:shd w:val="clear" w:color="auto" w:fill="auto"/>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w:t>
                  </w:r>
                  <w:r>
                    <w:rPr>
                      <w:rFonts w:hint="eastAsia"/>
                      <w:color w:val="auto"/>
                      <w:lang w:eastAsia="zh-CN"/>
                    </w:rPr>
                    <w:t>西南</w:t>
                  </w:r>
                  <w:r>
                    <w:rPr>
                      <w:color w:val="auto"/>
                      <w:lang w:eastAsia="zh-CN"/>
                    </w:rPr>
                    <w:t>侧</w:t>
                  </w:r>
                  <w:r>
                    <w:rPr>
                      <w:rFonts w:hint="eastAsia"/>
                      <w:color w:val="auto"/>
                      <w:lang w:eastAsia="zh-CN"/>
                    </w:rPr>
                    <w:t>，综合办公楼，面积约</w:t>
                  </w:r>
                  <w:r>
                    <w:rPr>
                      <w:rFonts w:hint="eastAsia"/>
                      <w:color w:val="auto"/>
                      <w:lang w:val="en-US" w:eastAsia="zh-CN"/>
                    </w:rPr>
                    <w:t>498</w:t>
                  </w:r>
                  <w:r>
                    <w:rPr>
                      <w:rFonts w:hint="eastAsia"/>
                      <w:color w:val="auto"/>
                      <w:lang w:eastAsia="zh-CN"/>
                    </w:rPr>
                    <w:t>m</w:t>
                  </w:r>
                  <w:r>
                    <w:rPr>
                      <w:rFonts w:hint="eastAsia"/>
                      <w:color w:val="auto"/>
                      <w:vertAlign w:val="superscript"/>
                      <w:lang w:eastAsia="zh-CN"/>
                    </w:rPr>
                    <w:t>2</w:t>
                  </w:r>
                </w:p>
              </w:tc>
              <w:tc>
                <w:tcPr>
                  <w:tcW w:w="1846" w:type="dxa"/>
                  <w:shd w:val="clear" w:color="auto" w:fill="auto"/>
                  <w:vAlign w:val="center"/>
                </w:tcPr>
                <w:p>
                  <w:pPr>
                    <w:widowControl w:val="0"/>
                    <w:kinsoku/>
                    <w:jc w:val="center"/>
                    <w:rPr>
                      <w:color w:val="auto"/>
                      <w:lang w:eastAsia="zh-CN"/>
                    </w:rPr>
                  </w:pPr>
                  <w:r>
                    <w:rPr>
                      <w:rFonts w:hint="eastAsia"/>
                      <w:color w:val="auto"/>
                      <w:lang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1127" w:type="dxa"/>
                  <w:gridSpan w:val="2"/>
                  <w:vAlign w:val="center"/>
                </w:tcPr>
                <w:p>
                  <w:pPr>
                    <w:widowControl w:val="0"/>
                    <w:kinsoku/>
                    <w:jc w:val="center"/>
                    <w:rPr>
                      <w:color w:val="auto"/>
                      <w:lang w:eastAsia="zh-CN"/>
                    </w:rPr>
                  </w:pPr>
                  <w:r>
                    <w:rPr>
                      <w:color w:val="auto"/>
                      <w:lang w:eastAsia="zh-CN"/>
                    </w:rPr>
                    <w:t>办公区</w:t>
                  </w:r>
                </w:p>
              </w:tc>
              <w:tc>
                <w:tcPr>
                  <w:tcW w:w="4943" w:type="dxa"/>
                  <w:vAlign w:val="center"/>
                </w:tcPr>
                <w:p>
                  <w:pPr>
                    <w:widowControl w:val="0"/>
                    <w:kinsoku/>
                    <w:jc w:val="center"/>
                    <w:rPr>
                      <w:color w:val="auto"/>
                      <w:lang w:eastAsia="zh-CN"/>
                    </w:rPr>
                  </w:pPr>
                  <w:r>
                    <w:rPr>
                      <w:color w:val="auto"/>
                      <w:lang w:eastAsia="zh-CN"/>
                    </w:rPr>
                    <w:t>位于</w:t>
                  </w:r>
                  <w:r>
                    <w:rPr>
                      <w:rFonts w:hint="eastAsia"/>
                      <w:color w:val="auto"/>
                      <w:lang w:eastAsia="zh-CN"/>
                    </w:rPr>
                    <w:t>一层</w:t>
                  </w:r>
                  <w:r>
                    <w:rPr>
                      <w:color w:val="auto"/>
                      <w:lang w:eastAsia="zh-CN"/>
                    </w:rPr>
                    <w:t>钢结构厂房</w:t>
                  </w:r>
                  <w:r>
                    <w:rPr>
                      <w:rFonts w:hint="eastAsia"/>
                      <w:color w:val="auto"/>
                      <w:lang w:eastAsia="zh-CN"/>
                    </w:rPr>
                    <w:t>南</w:t>
                  </w:r>
                  <w:r>
                    <w:rPr>
                      <w:color w:val="auto"/>
                      <w:lang w:eastAsia="zh-CN"/>
                    </w:rPr>
                    <w:t>侧</w:t>
                  </w:r>
                  <w:r>
                    <w:rPr>
                      <w:rFonts w:hint="eastAsia"/>
                      <w:color w:val="auto"/>
                      <w:lang w:eastAsia="zh-CN"/>
                    </w:rPr>
                    <w:t>综合办公楼</w:t>
                  </w:r>
                  <w:r>
                    <w:rPr>
                      <w:color w:val="auto"/>
                      <w:lang w:eastAsia="zh-CN"/>
                    </w:rPr>
                    <w:t>，占地约</w:t>
                  </w:r>
                  <w:r>
                    <w:rPr>
                      <w:rFonts w:hint="eastAsia"/>
                      <w:color w:val="auto"/>
                      <w:lang w:eastAsia="zh-CN"/>
                    </w:rPr>
                    <w:t>531</w:t>
                  </w:r>
                  <w:r>
                    <w:rPr>
                      <w:color w:val="auto"/>
                      <w:lang w:eastAsia="zh-CN"/>
                    </w:rPr>
                    <w:t>m</w:t>
                  </w:r>
                  <w:r>
                    <w:rPr>
                      <w:color w:val="auto"/>
                      <w:vertAlign w:val="superscript"/>
                      <w:lang w:eastAsia="zh-CN"/>
                    </w:rPr>
                    <w:t>2</w:t>
                  </w:r>
                  <w:r>
                    <w:rPr>
                      <w:color w:val="auto"/>
                      <w:lang w:eastAsia="zh-CN"/>
                    </w:rPr>
                    <w:t>。</w:t>
                  </w:r>
                </w:p>
              </w:tc>
              <w:tc>
                <w:tcPr>
                  <w:tcW w:w="1846" w:type="dxa"/>
                  <w:vAlign w:val="center"/>
                </w:tcPr>
                <w:p>
                  <w:pPr>
                    <w:widowControl w:val="0"/>
                    <w:kinsoku/>
                    <w:jc w:val="center"/>
                    <w:rPr>
                      <w:color w:val="auto"/>
                    </w:rPr>
                  </w:pPr>
                  <w:r>
                    <w:rPr>
                      <w:rFonts w:hint="eastAsia"/>
                      <w:color w:val="auto"/>
                      <w:lang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pPr>
                    <w:widowControl w:val="0"/>
                    <w:kinsoku/>
                    <w:jc w:val="center"/>
                    <w:rPr>
                      <w:color w:val="auto"/>
                    </w:rPr>
                  </w:pPr>
                  <w:r>
                    <w:rPr>
                      <w:color w:val="auto"/>
                      <w:lang w:eastAsia="zh-CN"/>
                    </w:rPr>
                    <w:t>公用工程</w:t>
                  </w:r>
                </w:p>
              </w:tc>
              <w:tc>
                <w:tcPr>
                  <w:tcW w:w="1127" w:type="dxa"/>
                  <w:gridSpan w:val="2"/>
                  <w:shd w:val="clear" w:color="auto" w:fill="auto"/>
                  <w:vAlign w:val="center"/>
                </w:tcPr>
                <w:p>
                  <w:pPr>
                    <w:widowControl w:val="0"/>
                    <w:kinsoku/>
                    <w:jc w:val="center"/>
                    <w:rPr>
                      <w:color w:val="auto"/>
                      <w:lang w:eastAsia="zh-CN"/>
                    </w:rPr>
                  </w:pPr>
                  <w:r>
                    <w:rPr>
                      <w:color w:val="auto"/>
                      <w:lang w:eastAsia="zh-CN"/>
                    </w:rPr>
                    <w:t>供电</w:t>
                  </w:r>
                </w:p>
              </w:tc>
              <w:tc>
                <w:tcPr>
                  <w:tcW w:w="4943" w:type="dxa"/>
                  <w:shd w:val="clear" w:color="auto" w:fill="auto"/>
                  <w:vAlign w:val="center"/>
                </w:tcPr>
                <w:p>
                  <w:pPr>
                    <w:widowControl w:val="0"/>
                    <w:kinsoku/>
                    <w:jc w:val="center"/>
                    <w:rPr>
                      <w:color w:val="auto"/>
                      <w:lang w:eastAsia="zh-CN"/>
                    </w:rPr>
                  </w:pPr>
                  <w:r>
                    <w:rPr>
                      <w:color w:val="auto"/>
                      <w:lang w:eastAsia="zh-CN"/>
                    </w:rPr>
                    <w:t>由杨林工业园区供电系统接入项目区</w:t>
                  </w:r>
                </w:p>
              </w:tc>
              <w:tc>
                <w:tcPr>
                  <w:tcW w:w="1846" w:type="dxa"/>
                  <w:shd w:val="clear" w:color="auto" w:fill="auto"/>
                  <w:vAlign w:val="center"/>
                </w:tcPr>
                <w:p>
                  <w:pPr>
                    <w:widowControl w:val="0"/>
                    <w:kinsoku/>
                    <w:jc w:val="center"/>
                    <w:rPr>
                      <w:color w:val="auto"/>
                      <w:lang w:eastAsia="zh-CN"/>
                    </w:rPr>
                  </w:pPr>
                  <w:r>
                    <w:rPr>
                      <w:color w:val="auto"/>
                      <w:lang w:eastAsia="zh-CN"/>
                    </w:rPr>
                    <w:t>依托</w:t>
                  </w:r>
                  <w:r>
                    <w:rPr>
                      <w:rFonts w:hint="eastAsia"/>
                      <w:color w:val="auto"/>
                      <w:lang w:eastAsia="zh-CN"/>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1127" w:type="dxa"/>
                  <w:gridSpan w:val="2"/>
                  <w:vAlign w:val="center"/>
                </w:tcPr>
                <w:p>
                  <w:pPr>
                    <w:widowControl w:val="0"/>
                    <w:kinsoku/>
                    <w:jc w:val="center"/>
                    <w:rPr>
                      <w:color w:val="auto"/>
                      <w:lang w:eastAsia="zh-CN"/>
                    </w:rPr>
                  </w:pPr>
                  <w:r>
                    <w:rPr>
                      <w:color w:val="auto"/>
                      <w:lang w:eastAsia="zh-CN"/>
                    </w:rPr>
                    <w:t>给水</w:t>
                  </w:r>
                </w:p>
              </w:tc>
              <w:tc>
                <w:tcPr>
                  <w:tcW w:w="4943" w:type="dxa"/>
                  <w:vAlign w:val="center"/>
                </w:tcPr>
                <w:p>
                  <w:pPr>
                    <w:widowControl w:val="0"/>
                    <w:kinsoku/>
                    <w:jc w:val="center"/>
                    <w:rPr>
                      <w:color w:val="auto"/>
                      <w:lang w:eastAsia="zh-CN"/>
                    </w:rPr>
                  </w:pPr>
                  <w:r>
                    <w:rPr>
                      <w:color w:val="auto"/>
                      <w:lang w:eastAsia="zh-CN"/>
                    </w:rPr>
                    <w:t>由杨林工业园区供水管网供给</w:t>
                  </w:r>
                </w:p>
              </w:tc>
              <w:tc>
                <w:tcPr>
                  <w:tcW w:w="1846" w:type="dxa"/>
                  <w:vAlign w:val="center"/>
                </w:tcPr>
                <w:p>
                  <w:pPr>
                    <w:widowControl w:val="0"/>
                    <w:kinsoku/>
                    <w:jc w:val="center"/>
                    <w:rPr>
                      <w:color w:val="auto"/>
                    </w:rPr>
                  </w:pPr>
                  <w:r>
                    <w:rPr>
                      <w:color w:val="auto"/>
                      <w:lang w:eastAsia="zh-CN"/>
                    </w:rPr>
                    <w:t>依托</w:t>
                  </w:r>
                  <w:r>
                    <w:rPr>
                      <w:rFonts w:hint="eastAsia"/>
                      <w:color w:val="auto"/>
                      <w:lang w:eastAsia="zh-CN"/>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vAlign w:val="center"/>
                </w:tcPr>
                <w:p>
                  <w:pPr>
                    <w:widowControl w:val="0"/>
                    <w:kinsoku/>
                    <w:jc w:val="center"/>
                    <w:rPr>
                      <w:color w:val="auto"/>
                    </w:rPr>
                  </w:pPr>
                </w:p>
              </w:tc>
              <w:tc>
                <w:tcPr>
                  <w:tcW w:w="1127" w:type="dxa"/>
                  <w:gridSpan w:val="2"/>
                  <w:vAlign w:val="center"/>
                </w:tcPr>
                <w:p>
                  <w:pPr>
                    <w:widowControl w:val="0"/>
                    <w:kinsoku/>
                    <w:jc w:val="center"/>
                    <w:rPr>
                      <w:color w:val="auto"/>
                      <w:lang w:eastAsia="zh-CN"/>
                    </w:rPr>
                  </w:pPr>
                  <w:r>
                    <w:rPr>
                      <w:color w:val="auto"/>
                      <w:lang w:eastAsia="zh-CN"/>
                    </w:rPr>
                    <w:t>排水</w:t>
                  </w:r>
                </w:p>
              </w:tc>
              <w:tc>
                <w:tcPr>
                  <w:tcW w:w="4943" w:type="dxa"/>
                  <w:vAlign w:val="center"/>
                </w:tcPr>
                <w:p>
                  <w:pPr>
                    <w:widowControl w:val="0"/>
                    <w:kinsoku/>
                    <w:jc w:val="both"/>
                    <w:rPr>
                      <w:color w:val="auto"/>
                      <w:lang w:eastAsia="zh-CN"/>
                    </w:rPr>
                  </w:pPr>
                  <w:r>
                    <w:rPr>
                      <w:rFonts w:ascii="Times New Roman" w:hAnsi="Times New Roman" w:eastAsia="宋体" w:cs="Times New Roman"/>
                      <w:color w:val="auto"/>
                      <w:lang w:eastAsia="zh-CN"/>
                    </w:rPr>
                    <w:t>项目无生产废水外排，生活污水依托化粪池（10m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）处理达到</w:t>
                  </w:r>
                  <w:r>
                    <w:rPr>
                      <w:rFonts w:hint="eastAsia" w:ascii="Times New Roman" w:hAnsi="Times New Roman" w:eastAsia="宋体" w:cs="Times New Roman"/>
                      <w:color w:val="auto"/>
                      <w:lang w:eastAsia="zh-CN"/>
                    </w:rPr>
                    <w:t>《污水综合排放标准》（GB8978-1996）表4三级标准后</w:t>
                  </w:r>
                  <w:r>
                    <w:rPr>
                      <w:rFonts w:ascii="Times New Roman" w:hAnsi="Times New Roman" w:eastAsia="宋体" w:cs="Times New Roman"/>
                      <w:color w:val="auto"/>
                      <w:lang w:eastAsia="zh-CN"/>
                    </w:rPr>
                    <w:t>排入杨林工业园区污水管网，最终进入嵩明县第二污水处理厂处理。</w:t>
                  </w:r>
                </w:p>
              </w:tc>
              <w:tc>
                <w:tcPr>
                  <w:tcW w:w="1846" w:type="dxa"/>
                  <w:vAlign w:val="center"/>
                </w:tcPr>
                <w:p>
                  <w:pPr>
                    <w:widowControl w:val="0"/>
                    <w:kinsoku/>
                    <w:jc w:val="center"/>
                    <w:rPr>
                      <w:color w:val="auto"/>
                    </w:rPr>
                  </w:pPr>
                  <w:r>
                    <w:rPr>
                      <w:color w:val="auto"/>
                      <w:lang w:eastAsia="zh-CN"/>
                    </w:rPr>
                    <w:t>依托</w:t>
                  </w:r>
                  <w:r>
                    <w:rPr>
                      <w:rFonts w:hint="eastAsia"/>
                      <w:color w:val="auto"/>
                      <w:lang w:eastAsia="zh-CN"/>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pPr>
                    <w:widowControl w:val="0"/>
                    <w:kinsoku/>
                    <w:jc w:val="center"/>
                    <w:rPr>
                      <w:color w:val="auto"/>
                      <w:lang w:eastAsia="zh-CN"/>
                    </w:rPr>
                  </w:pPr>
                  <w:r>
                    <w:rPr>
                      <w:color w:val="auto"/>
                      <w:lang w:eastAsia="zh-CN"/>
                    </w:rPr>
                    <w:t>环保工程</w:t>
                  </w:r>
                </w:p>
              </w:tc>
              <w:tc>
                <w:tcPr>
                  <w:tcW w:w="491" w:type="dxa"/>
                  <w:shd w:val="clear" w:color="auto" w:fill="auto"/>
                  <w:vAlign w:val="center"/>
                </w:tcPr>
                <w:p>
                  <w:pPr>
                    <w:widowControl w:val="0"/>
                    <w:kinsoku/>
                    <w:jc w:val="center"/>
                    <w:rPr>
                      <w:color w:val="auto"/>
                      <w:lang w:eastAsia="zh-CN"/>
                    </w:rPr>
                  </w:pPr>
                  <w:r>
                    <w:rPr>
                      <w:rFonts w:hint="eastAsia"/>
                      <w:color w:val="auto"/>
                      <w:lang w:eastAsia="zh-CN"/>
                    </w:rPr>
                    <w:t>废水</w:t>
                  </w:r>
                </w:p>
              </w:tc>
              <w:tc>
                <w:tcPr>
                  <w:tcW w:w="636" w:type="dxa"/>
                  <w:shd w:val="clear" w:color="auto" w:fill="auto"/>
                  <w:vAlign w:val="center"/>
                </w:tcPr>
                <w:p>
                  <w:pPr>
                    <w:widowControl w:val="0"/>
                    <w:kinsoku/>
                    <w:jc w:val="center"/>
                    <w:rPr>
                      <w:color w:val="auto"/>
                      <w:lang w:eastAsia="zh-CN"/>
                    </w:rPr>
                  </w:pPr>
                  <w:r>
                    <w:rPr>
                      <w:rFonts w:hint="eastAsia"/>
                      <w:color w:val="auto"/>
                      <w:lang w:eastAsia="zh-CN"/>
                    </w:rPr>
                    <w:t>生活污水</w:t>
                  </w:r>
                </w:p>
              </w:tc>
              <w:tc>
                <w:tcPr>
                  <w:tcW w:w="4943" w:type="dxa"/>
                  <w:shd w:val="clear" w:color="auto" w:fill="auto"/>
                  <w:vAlign w:val="center"/>
                </w:tcPr>
                <w:p>
                  <w:pPr>
                    <w:widowControl w:val="0"/>
                    <w:kinsoku/>
                    <w:jc w:val="center"/>
                    <w:rPr>
                      <w:color w:val="auto"/>
                      <w:lang w:eastAsia="zh-CN"/>
                    </w:rPr>
                  </w:pPr>
                  <w:r>
                    <w:rPr>
                      <w:rFonts w:ascii="Times New Roman" w:hAnsi="Times New Roman" w:eastAsia="宋体" w:cs="Times New Roman"/>
                      <w:color w:val="auto"/>
                      <w:lang w:eastAsia="zh-CN"/>
                    </w:rPr>
                    <w:t>生活污水进入化粪池（10m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）处理，处理达到</w:t>
                  </w:r>
                  <w:r>
                    <w:rPr>
                      <w:rFonts w:hint="eastAsia" w:ascii="Times New Roman" w:hAnsi="Times New Roman" w:eastAsia="宋体" w:cs="Times New Roman"/>
                      <w:color w:val="auto"/>
                      <w:lang w:eastAsia="zh-CN"/>
                    </w:rPr>
                    <w:t>《污水综合排放标准》（GB8978-1996）表4三级标准后</w:t>
                  </w:r>
                  <w:r>
                    <w:rPr>
                      <w:rFonts w:ascii="Times New Roman" w:hAnsi="Times New Roman" w:eastAsia="宋体" w:cs="Times New Roman"/>
                      <w:color w:val="auto"/>
                      <w:lang w:eastAsia="zh-CN"/>
                    </w:rPr>
                    <w:t>排入杨林工业园区污水管网，最终进入嵩明县第二污水处理厂处理。</w:t>
                  </w:r>
                </w:p>
              </w:tc>
              <w:tc>
                <w:tcPr>
                  <w:tcW w:w="1846" w:type="dxa"/>
                  <w:shd w:val="clear" w:color="auto" w:fill="auto"/>
                  <w:vAlign w:val="center"/>
                </w:tcPr>
                <w:p>
                  <w:pPr>
                    <w:widowControl w:val="0"/>
                    <w:kinsoku/>
                    <w:jc w:val="center"/>
                    <w:rPr>
                      <w:color w:val="auto"/>
                      <w:lang w:eastAsia="zh-CN"/>
                    </w:rPr>
                  </w:pPr>
                  <w:r>
                    <w:rPr>
                      <w:color w:val="auto"/>
                      <w:lang w:eastAsia="zh-CN"/>
                    </w:rPr>
                    <w:t>依托</w:t>
                  </w:r>
                  <w:r>
                    <w:rPr>
                      <w:rFonts w:hint="eastAsia"/>
                      <w:color w:val="auto"/>
                      <w:lang w:eastAsia="zh-CN"/>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lang w:eastAsia="zh-CN"/>
                    </w:rPr>
                  </w:pPr>
                </w:p>
              </w:tc>
              <w:tc>
                <w:tcPr>
                  <w:tcW w:w="491" w:type="dxa"/>
                  <w:vMerge w:val="restart"/>
                  <w:vAlign w:val="center"/>
                </w:tcPr>
                <w:p>
                  <w:pPr>
                    <w:widowControl w:val="0"/>
                    <w:kinsoku/>
                    <w:jc w:val="center"/>
                    <w:rPr>
                      <w:color w:val="auto"/>
                      <w:lang w:eastAsia="zh-CN"/>
                    </w:rPr>
                  </w:pPr>
                  <w:r>
                    <w:rPr>
                      <w:color w:val="auto"/>
                      <w:lang w:eastAsia="zh-CN"/>
                    </w:rPr>
                    <w:t>废气</w:t>
                  </w:r>
                </w:p>
              </w:tc>
              <w:tc>
                <w:tcPr>
                  <w:tcW w:w="636" w:type="dxa"/>
                  <w:vAlign w:val="center"/>
                </w:tcPr>
                <w:p>
                  <w:pPr>
                    <w:widowControl w:val="0"/>
                    <w:kinsoku/>
                    <w:jc w:val="center"/>
                    <w:rPr>
                      <w:color w:val="auto"/>
                      <w:lang w:eastAsia="zh-CN"/>
                    </w:rPr>
                  </w:pPr>
                  <w:r>
                    <w:rPr>
                      <w:rFonts w:hint="eastAsia"/>
                      <w:color w:val="auto"/>
                      <w:lang w:val="en-US" w:eastAsia="zh-CN"/>
                    </w:rPr>
                    <w:t>雕刻</w:t>
                  </w:r>
                  <w:r>
                    <w:rPr>
                      <w:color w:val="auto"/>
                      <w:lang w:eastAsia="zh-CN"/>
                    </w:rPr>
                    <w:t>、打孔</w:t>
                  </w:r>
                  <w:r>
                    <w:rPr>
                      <w:rFonts w:hint="eastAsia"/>
                      <w:color w:val="auto"/>
                      <w:lang w:eastAsia="zh-CN"/>
                    </w:rPr>
                    <w:t>、</w:t>
                  </w:r>
                  <w:r>
                    <w:rPr>
                      <w:color w:val="auto"/>
                      <w:lang w:eastAsia="zh-CN"/>
                    </w:rPr>
                    <w:t>粉尘</w:t>
                  </w:r>
                </w:p>
              </w:tc>
              <w:tc>
                <w:tcPr>
                  <w:tcW w:w="4943" w:type="dxa"/>
                  <w:vAlign w:val="center"/>
                </w:tcPr>
                <w:p>
                  <w:pPr>
                    <w:widowControl w:val="0"/>
                    <w:kinsoku/>
                    <w:jc w:val="center"/>
                    <w:rPr>
                      <w:color w:val="auto"/>
                      <w:lang w:eastAsia="zh-CN"/>
                    </w:rPr>
                  </w:pPr>
                  <w:r>
                    <w:rPr>
                      <w:rFonts w:hint="eastAsia" w:ascii="Times New Roman" w:hAnsi="Times New Roman" w:eastAsia="宋体" w:cs="Times New Roman"/>
                      <w:color w:val="auto"/>
                      <w:lang w:eastAsia="zh-CN"/>
                    </w:rPr>
                    <w:t>经设备自带吸尘管及设备上方集气罩收集后通过废气收集管至中央除尘系统处理后通过1根15m高排气筒（DA001）</w:t>
                  </w:r>
                  <w:r>
                    <w:rPr>
                      <w:color w:val="auto"/>
                      <w:lang w:eastAsia="zh-CN"/>
                    </w:rPr>
                    <w:t>外排。</w:t>
                  </w:r>
                </w:p>
              </w:tc>
              <w:tc>
                <w:tcPr>
                  <w:tcW w:w="1846" w:type="dxa"/>
                  <w:vAlign w:val="center"/>
                </w:tcPr>
                <w:p>
                  <w:pPr>
                    <w:widowControl w:val="0"/>
                    <w:kinsoku/>
                    <w:jc w:val="center"/>
                    <w:rPr>
                      <w:color w:val="auto"/>
                      <w:lang w:eastAsia="zh-CN"/>
                    </w:rPr>
                  </w:pPr>
                  <w:r>
                    <w:rPr>
                      <w:rFonts w:hint="eastAsia"/>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491" w:type="dxa"/>
                  <w:vMerge w:val="continue"/>
                  <w:vAlign w:val="center"/>
                </w:tcPr>
                <w:p>
                  <w:pPr>
                    <w:widowControl w:val="0"/>
                    <w:kinsoku/>
                    <w:jc w:val="center"/>
                    <w:rPr>
                      <w:color w:val="auto"/>
                      <w:lang w:eastAsia="zh-CN"/>
                    </w:rPr>
                  </w:pPr>
                </w:p>
              </w:tc>
              <w:tc>
                <w:tcPr>
                  <w:tcW w:w="636" w:type="dxa"/>
                  <w:vAlign w:val="center"/>
                </w:tcPr>
                <w:p>
                  <w:pPr>
                    <w:widowControl w:val="0"/>
                    <w:kinsoku/>
                    <w:jc w:val="center"/>
                    <w:rPr>
                      <w:color w:val="auto"/>
                      <w:lang w:eastAsia="zh-CN"/>
                    </w:rPr>
                  </w:pPr>
                  <w:r>
                    <w:rPr>
                      <w:color w:val="auto"/>
                      <w:lang w:eastAsia="zh-CN"/>
                    </w:rPr>
                    <w:t>封边废气</w:t>
                  </w:r>
                </w:p>
              </w:tc>
              <w:tc>
                <w:tcPr>
                  <w:tcW w:w="4943" w:type="dxa"/>
                  <w:vAlign w:val="center"/>
                </w:tcPr>
                <w:p>
                  <w:pPr>
                    <w:widowControl w:val="0"/>
                    <w:kinsoku/>
                    <w:jc w:val="center"/>
                    <w:rPr>
                      <w:rFonts w:ascii="Times New Roman" w:hAnsi="Times New Roman" w:eastAsia="宋体" w:cs="Times New Roman"/>
                      <w:color w:val="auto"/>
                      <w:lang w:eastAsia="zh-CN"/>
                    </w:rPr>
                  </w:pPr>
                  <w:r>
                    <w:rPr>
                      <w:rFonts w:hint="eastAsia"/>
                      <w:lang w:val="en-US" w:eastAsia="zh-CN"/>
                    </w:rPr>
                    <w:t>在封边工段采用盖板式封边机，关闭盖板时密闭封边机相当于小型集气罩，集气管道与封边设备紧密相连，在设备工作的情况下，风机持续运转，可保证操作空间持续处于微负压状态，封胶结束后开启盖板取出成品。生产全过程与设备紧密相连的集气管道对挥发性有机物进行收集，车间上方不额外设置集气罩，有机废气收集后接入一套二级活性炭吸附设备处理，最终由一根15m高排气筒DA002排放</w:t>
                  </w:r>
                  <w:r>
                    <w:rPr>
                      <w:rFonts w:ascii="Times New Roman" w:hAnsi="Times New Roman" w:eastAsia="宋体" w:cs="Times New Roman"/>
                      <w:color w:val="auto"/>
                      <w:lang w:eastAsia="zh-CN"/>
                    </w:rPr>
                    <w:t>。</w:t>
                  </w:r>
                </w:p>
                <w:p>
                  <w:pPr>
                    <w:widowControl w:val="0"/>
                    <w:kinsoku/>
                    <w:jc w:val="center"/>
                    <w:rPr>
                      <w:color w:val="auto"/>
                      <w:lang w:eastAsia="zh-CN"/>
                    </w:rPr>
                  </w:pPr>
                  <w:r>
                    <w:rPr>
                      <w:rFonts w:ascii="Times New Roman" w:hAnsi="Times New Roman" w:eastAsia="宋体" w:cs="Times New Roman"/>
                      <w:color w:val="auto"/>
                      <w:lang w:eastAsia="zh-CN"/>
                    </w:rPr>
                    <w:t>封边胶桶在开启和设备添加</w:t>
                  </w:r>
                  <w:r>
                    <w:rPr>
                      <w:rFonts w:hint="eastAsia" w:ascii="Times New Roman" w:hAnsi="Times New Roman" w:eastAsia="宋体" w:cs="Times New Roman"/>
                      <w:color w:val="auto"/>
                      <w:lang w:eastAsia="zh-CN"/>
                    </w:rPr>
                    <w:t>封边胶</w:t>
                  </w:r>
                  <w:r>
                    <w:rPr>
                      <w:rFonts w:ascii="Times New Roman" w:hAnsi="Times New Roman" w:eastAsia="宋体" w:cs="Times New Roman"/>
                      <w:color w:val="auto"/>
                      <w:lang w:eastAsia="zh-CN"/>
                    </w:rPr>
                    <w:t>时产生少量</w:t>
                  </w:r>
                  <w:r>
                    <w:rPr>
                      <w:rFonts w:hint="eastAsia" w:ascii="Times New Roman" w:hAnsi="Times New Roman" w:eastAsia="宋体" w:cs="Times New Roman"/>
                      <w:color w:val="auto"/>
                      <w:lang w:eastAsia="zh-CN"/>
                    </w:rPr>
                    <w:t>异味</w:t>
                  </w:r>
                  <w:r>
                    <w:rPr>
                      <w:rFonts w:ascii="Times New Roman" w:hAnsi="Times New Roman" w:eastAsia="宋体" w:cs="Times New Roman"/>
                      <w:color w:val="auto"/>
                      <w:lang w:eastAsia="zh-CN"/>
                    </w:rPr>
                    <w:t>，以无组织形式排放到大气环境中，通过加强通风、空气稀释的方式降低空气中</w:t>
                  </w:r>
                  <w:r>
                    <w:rPr>
                      <w:rFonts w:hint="eastAsia" w:ascii="Times New Roman" w:hAnsi="Times New Roman" w:eastAsia="宋体" w:cs="Times New Roman"/>
                      <w:color w:val="auto"/>
                      <w:lang w:eastAsia="zh-CN"/>
                    </w:rPr>
                    <w:t>异味</w:t>
                  </w:r>
                  <w:r>
                    <w:rPr>
                      <w:rFonts w:ascii="Times New Roman" w:hAnsi="Times New Roman" w:eastAsia="宋体" w:cs="Times New Roman"/>
                      <w:color w:val="auto"/>
                      <w:lang w:eastAsia="zh-CN"/>
                    </w:rPr>
                    <w:t>浓度。</w:t>
                  </w:r>
                </w:p>
              </w:tc>
              <w:tc>
                <w:tcPr>
                  <w:tcW w:w="1846" w:type="dxa"/>
                  <w:vAlign w:val="center"/>
                </w:tcPr>
                <w:p>
                  <w:pPr>
                    <w:widowControl w:val="0"/>
                    <w:kinsoku/>
                    <w:jc w:val="center"/>
                    <w:rPr>
                      <w:color w:val="auto"/>
                    </w:rPr>
                  </w:pPr>
                  <w:r>
                    <w:rPr>
                      <w:rFonts w:hint="eastAsia"/>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vMerge w:val="continue"/>
                  <w:vAlign w:val="center"/>
                </w:tcPr>
                <w:p>
                  <w:pPr>
                    <w:widowControl w:val="0"/>
                    <w:kinsoku/>
                    <w:jc w:val="center"/>
                    <w:rPr>
                      <w:color w:val="auto"/>
                    </w:rPr>
                  </w:pPr>
                </w:p>
              </w:tc>
              <w:tc>
                <w:tcPr>
                  <w:tcW w:w="491" w:type="dxa"/>
                  <w:vMerge w:val="restart"/>
                  <w:vAlign w:val="center"/>
                </w:tcPr>
                <w:p>
                  <w:pPr>
                    <w:widowControl w:val="0"/>
                    <w:kinsoku/>
                    <w:jc w:val="center"/>
                    <w:rPr>
                      <w:color w:val="auto"/>
                      <w:lang w:eastAsia="zh-CN"/>
                    </w:rPr>
                  </w:pPr>
                  <w:r>
                    <w:rPr>
                      <w:color w:val="auto"/>
                      <w:lang w:eastAsia="zh-CN"/>
                    </w:rPr>
                    <w:t>固废</w:t>
                  </w:r>
                </w:p>
              </w:tc>
              <w:tc>
                <w:tcPr>
                  <w:tcW w:w="636" w:type="dxa"/>
                  <w:vAlign w:val="center"/>
                </w:tcPr>
                <w:p>
                  <w:pPr>
                    <w:widowControl w:val="0"/>
                    <w:kinsoku/>
                    <w:jc w:val="center"/>
                    <w:rPr>
                      <w:color w:val="auto"/>
                      <w:lang w:eastAsia="zh-CN"/>
                    </w:rPr>
                  </w:pPr>
                  <w:r>
                    <w:rPr>
                      <w:color w:val="auto"/>
                      <w:lang w:eastAsia="zh-CN"/>
                    </w:rPr>
                    <w:t>危废暂存间</w:t>
                  </w:r>
                </w:p>
              </w:tc>
              <w:tc>
                <w:tcPr>
                  <w:tcW w:w="4943" w:type="dxa"/>
                  <w:vAlign w:val="center"/>
                </w:tcPr>
                <w:p>
                  <w:pPr>
                    <w:widowControl w:val="0"/>
                    <w:kinsoku/>
                    <w:jc w:val="center"/>
                    <w:rPr>
                      <w:color w:val="auto"/>
                      <w:lang w:eastAsia="zh-CN"/>
                    </w:rPr>
                  </w:pPr>
                  <w:r>
                    <w:rPr>
                      <w:color w:val="auto"/>
                      <w:lang w:eastAsia="zh-CN"/>
                    </w:rPr>
                    <w:t>危废暂存间位于厂房东北侧</w:t>
                  </w:r>
                  <w:r>
                    <w:rPr>
                      <w:rFonts w:hint="eastAsia"/>
                      <w:color w:val="auto"/>
                      <w:lang w:eastAsia="zh-CN"/>
                    </w:rPr>
                    <w:t>，</w:t>
                  </w:r>
                  <w:r>
                    <w:rPr>
                      <w:color w:val="auto"/>
                      <w:lang w:eastAsia="zh-CN"/>
                    </w:rPr>
                    <w:t>建筑面积10m</w:t>
                  </w:r>
                  <w:r>
                    <w:rPr>
                      <w:color w:val="auto"/>
                      <w:vertAlign w:val="superscript"/>
                      <w:lang w:eastAsia="zh-CN"/>
                    </w:rPr>
                    <w:t>2</w:t>
                  </w:r>
                  <w:r>
                    <w:rPr>
                      <w:rFonts w:hint="eastAsia"/>
                      <w:color w:val="auto"/>
                      <w:vertAlign w:val="superscript"/>
                      <w:lang w:eastAsia="zh-CN"/>
                    </w:rPr>
                    <w:t>，</w:t>
                  </w:r>
                  <w:r>
                    <w:rPr>
                      <w:color w:val="auto"/>
                      <w:lang w:eastAsia="zh-CN"/>
                    </w:rPr>
                    <w:t>用于暂存项目区产生的废润滑油</w:t>
                  </w:r>
                  <w:r>
                    <w:rPr>
                      <w:rFonts w:hint="eastAsia"/>
                      <w:color w:val="auto"/>
                      <w:lang w:eastAsia="zh-CN"/>
                    </w:rPr>
                    <w:t>、</w:t>
                  </w:r>
                  <w:r>
                    <w:rPr>
                      <w:rFonts w:hint="eastAsia"/>
                      <w:color w:val="auto"/>
                      <w:lang w:val="en-US" w:eastAsia="zh-CN"/>
                    </w:rPr>
                    <w:t>废活性炭、废含油棉纱、手套</w:t>
                  </w:r>
                  <w:r>
                    <w:rPr>
                      <w:color w:val="auto"/>
                      <w:lang w:eastAsia="zh-CN"/>
                    </w:rPr>
                    <w:t>。地面防渗(危险废物暂存间地面采用2mm厚的高密度聚乙烯或其他人工材料进行防渗处理，防透系数≤10</w:t>
                  </w:r>
                  <w:r>
                    <w:rPr>
                      <w:color w:val="auto"/>
                      <w:vertAlign w:val="superscript"/>
                      <w:lang w:eastAsia="zh-CN"/>
                    </w:rPr>
                    <w:t>-10</w:t>
                  </w:r>
                  <w:r>
                    <w:rPr>
                      <w:color w:val="auto"/>
                      <w:lang w:eastAsia="zh-CN"/>
                    </w:rPr>
                    <w:t>cm/s)。按《危险废物贮存污染控制标准》(GB18597-2023)进行建设。</w:t>
                  </w:r>
                  <w:r>
                    <w:rPr>
                      <w:rFonts w:hint="eastAsia"/>
                      <w:color w:val="auto"/>
                      <w:lang w:eastAsia="zh-CN"/>
                    </w:rPr>
                    <w:t>经收集后危险废物委托有资质的单位进行处置。</w:t>
                  </w:r>
                </w:p>
              </w:tc>
              <w:tc>
                <w:tcPr>
                  <w:tcW w:w="1846" w:type="dxa"/>
                  <w:vAlign w:val="center"/>
                </w:tcPr>
                <w:p>
                  <w:pPr>
                    <w:widowControl w:val="0"/>
                    <w:kinsoku/>
                    <w:jc w:val="center"/>
                    <w:rPr>
                      <w:color w:val="auto"/>
                    </w:rPr>
                  </w:pPr>
                  <w:r>
                    <w:rPr>
                      <w:rFonts w:hint="eastAsia" w:ascii="宋体" w:hAnsi="宋体" w:eastAsia="宋体" w:cs="宋体"/>
                      <w:color w:val="auto"/>
                      <w:lang w:eastAsia="zh-CN"/>
                    </w:rPr>
                    <w:t>对现有</w:t>
                  </w:r>
                  <w:r>
                    <w:rPr>
                      <w:rFonts w:hint="eastAsia"/>
                      <w:color w:val="auto"/>
                      <w:lang w:eastAsia="zh-CN"/>
                    </w:rPr>
                    <w:t>厂房</w:t>
                  </w:r>
                  <w:r>
                    <w:rPr>
                      <w:rFonts w:hint="eastAsia" w:ascii="宋体" w:hAnsi="宋体" w:eastAsia="宋体" w:cs="宋体"/>
                      <w:color w:val="auto"/>
                      <w:lang w:eastAsia="zh-CN"/>
                    </w:rPr>
                    <w:t>进行</w:t>
                  </w:r>
                  <w:r>
                    <w:rPr>
                      <w:rFonts w:hint="eastAsia"/>
                      <w:color w:val="auto"/>
                      <w:lang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491" w:type="dxa"/>
                  <w:vMerge w:val="continue"/>
                  <w:vAlign w:val="center"/>
                </w:tcPr>
                <w:p>
                  <w:pPr>
                    <w:widowControl w:val="0"/>
                    <w:kinsoku/>
                    <w:jc w:val="center"/>
                    <w:rPr>
                      <w:color w:val="auto"/>
                      <w:lang w:eastAsia="zh-CN"/>
                    </w:rPr>
                  </w:pPr>
                </w:p>
              </w:tc>
              <w:tc>
                <w:tcPr>
                  <w:tcW w:w="636" w:type="dxa"/>
                  <w:vAlign w:val="center"/>
                </w:tcPr>
                <w:p>
                  <w:pPr>
                    <w:widowControl w:val="0"/>
                    <w:kinsoku/>
                    <w:jc w:val="center"/>
                    <w:rPr>
                      <w:color w:val="auto"/>
                      <w:lang w:eastAsia="zh-CN"/>
                    </w:rPr>
                  </w:pPr>
                  <w:r>
                    <w:rPr>
                      <w:color w:val="auto"/>
                      <w:lang w:eastAsia="zh-CN"/>
                    </w:rPr>
                    <w:t>一般固废暂存区</w:t>
                  </w:r>
                </w:p>
              </w:tc>
              <w:tc>
                <w:tcPr>
                  <w:tcW w:w="4943" w:type="dxa"/>
                  <w:vAlign w:val="center"/>
                </w:tcPr>
                <w:p>
                  <w:pPr>
                    <w:widowControl w:val="0"/>
                    <w:kinsoku/>
                    <w:jc w:val="center"/>
                    <w:rPr>
                      <w:color w:val="auto"/>
                      <w:lang w:eastAsia="zh-CN"/>
                    </w:rPr>
                  </w:pPr>
                  <w:r>
                    <w:rPr>
                      <w:color w:val="auto"/>
                      <w:lang w:eastAsia="zh-CN"/>
                    </w:rPr>
                    <w:t>废包装材料堆放区位于厂房1层东侧，占地面积为10m</w:t>
                  </w:r>
                  <w:r>
                    <w:rPr>
                      <w:color w:val="auto"/>
                      <w:vertAlign w:val="superscript"/>
                      <w:lang w:eastAsia="zh-CN"/>
                    </w:rPr>
                    <w:t>2</w:t>
                  </w:r>
                  <w:r>
                    <w:rPr>
                      <w:rFonts w:hint="eastAsia"/>
                      <w:color w:val="auto"/>
                      <w:lang w:eastAsia="zh-CN"/>
                    </w:rPr>
                    <w:t>，</w:t>
                  </w:r>
                  <w:r>
                    <w:rPr>
                      <w:color w:val="auto"/>
                      <w:lang w:eastAsia="zh-CN"/>
                    </w:rPr>
                    <w:t>主要堆放原材料废包装袋、废边角木料、</w:t>
                  </w:r>
                  <w:r>
                    <w:rPr>
                      <w:rFonts w:hint="eastAsia"/>
                      <w:color w:val="auto"/>
                      <w:lang w:eastAsia="zh-CN"/>
                    </w:rPr>
                    <w:t>无回用不合格产品、</w:t>
                  </w:r>
                  <w:r>
                    <w:rPr>
                      <w:color w:val="auto"/>
                      <w:lang w:eastAsia="zh-CN"/>
                    </w:rPr>
                    <w:t>中央除尘系统收集木屑粉尘</w:t>
                  </w:r>
                  <w:r>
                    <w:rPr>
                      <w:rFonts w:hint="eastAsia"/>
                      <w:color w:val="auto"/>
                      <w:lang w:eastAsia="zh-CN"/>
                    </w:rPr>
                    <w:t>、</w:t>
                  </w:r>
                  <w:r>
                    <w:rPr>
                      <w:rFonts w:hint="eastAsia"/>
                      <w:color w:val="auto"/>
                      <w:lang w:val="en-US" w:eastAsia="zh-CN"/>
                    </w:rPr>
                    <w:t>废胶、废胶桶</w:t>
                  </w:r>
                  <w:r>
                    <w:rPr>
                      <w:color w:val="auto"/>
                      <w:lang w:eastAsia="zh-CN"/>
                    </w:rPr>
                    <w:t>，定期外售。</w:t>
                  </w:r>
                </w:p>
              </w:tc>
              <w:tc>
                <w:tcPr>
                  <w:tcW w:w="1846" w:type="dxa"/>
                  <w:vAlign w:val="center"/>
                </w:tcPr>
                <w:p>
                  <w:pPr>
                    <w:widowControl w:val="0"/>
                    <w:kinsoku/>
                    <w:jc w:val="center"/>
                    <w:rPr>
                      <w:color w:val="auto"/>
                    </w:rPr>
                  </w:pPr>
                  <w:r>
                    <w:rPr>
                      <w:rFonts w:hint="eastAsia" w:ascii="宋体" w:hAnsi="宋体" w:eastAsia="宋体" w:cs="宋体"/>
                      <w:color w:val="auto"/>
                      <w:lang w:eastAsia="zh-CN"/>
                    </w:rPr>
                    <w:t>对现有</w:t>
                  </w:r>
                  <w:r>
                    <w:rPr>
                      <w:rFonts w:hint="eastAsia"/>
                      <w:color w:val="auto"/>
                      <w:lang w:eastAsia="zh-CN"/>
                    </w:rPr>
                    <w:t>厂房</w:t>
                  </w:r>
                  <w:r>
                    <w:rPr>
                      <w:rFonts w:hint="eastAsia" w:ascii="宋体" w:hAnsi="宋体" w:eastAsia="宋体" w:cs="宋体"/>
                      <w:color w:val="auto"/>
                      <w:lang w:eastAsia="zh-CN"/>
                    </w:rPr>
                    <w:t>进行</w:t>
                  </w:r>
                  <w:r>
                    <w:rPr>
                      <w:rFonts w:hint="eastAsia"/>
                      <w:color w:val="auto"/>
                      <w:lang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491" w:type="dxa"/>
                  <w:vMerge w:val="continue"/>
                  <w:vAlign w:val="center"/>
                </w:tcPr>
                <w:p>
                  <w:pPr>
                    <w:widowControl w:val="0"/>
                    <w:kinsoku/>
                    <w:jc w:val="center"/>
                    <w:rPr>
                      <w:color w:val="auto"/>
                      <w:lang w:eastAsia="zh-CN"/>
                    </w:rPr>
                  </w:pPr>
                </w:p>
              </w:tc>
              <w:tc>
                <w:tcPr>
                  <w:tcW w:w="636" w:type="dxa"/>
                  <w:vAlign w:val="center"/>
                </w:tcPr>
                <w:p>
                  <w:pPr>
                    <w:widowControl w:val="0"/>
                    <w:kinsoku/>
                    <w:jc w:val="center"/>
                    <w:rPr>
                      <w:color w:val="auto"/>
                      <w:lang w:eastAsia="zh-CN"/>
                    </w:rPr>
                  </w:pPr>
                  <w:r>
                    <w:rPr>
                      <w:color w:val="auto"/>
                      <w:lang w:eastAsia="zh-CN"/>
                    </w:rPr>
                    <w:t>生活垃圾</w:t>
                  </w:r>
                </w:p>
              </w:tc>
              <w:tc>
                <w:tcPr>
                  <w:tcW w:w="4943" w:type="dxa"/>
                  <w:vAlign w:val="center"/>
                </w:tcPr>
                <w:p>
                  <w:pPr>
                    <w:widowControl w:val="0"/>
                    <w:kinsoku/>
                    <w:jc w:val="center"/>
                    <w:rPr>
                      <w:color w:val="auto"/>
                      <w:lang w:eastAsia="zh-CN"/>
                    </w:rPr>
                  </w:pPr>
                  <w:r>
                    <w:rPr>
                      <w:color w:val="auto"/>
                      <w:lang w:eastAsia="zh-CN"/>
                    </w:rPr>
                    <w:t>厂区内设置带盖垃圾桶5个，用于收集生活垃圾。</w:t>
                  </w:r>
                </w:p>
              </w:tc>
              <w:tc>
                <w:tcPr>
                  <w:tcW w:w="1846" w:type="dxa"/>
                  <w:vAlign w:val="center"/>
                </w:tcPr>
                <w:p>
                  <w:pPr>
                    <w:widowControl w:val="0"/>
                    <w:kinsoku/>
                    <w:jc w:val="center"/>
                    <w:rPr>
                      <w:color w:val="auto"/>
                    </w:rPr>
                  </w:pPr>
                  <w:r>
                    <w:rPr>
                      <w:color w:val="auto"/>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pPr>
                    <w:widowControl w:val="0"/>
                    <w:kinsoku/>
                    <w:jc w:val="center"/>
                    <w:rPr>
                      <w:color w:val="auto"/>
                    </w:rPr>
                  </w:pPr>
                </w:p>
              </w:tc>
              <w:tc>
                <w:tcPr>
                  <w:tcW w:w="1127" w:type="dxa"/>
                  <w:gridSpan w:val="2"/>
                  <w:vAlign w:val="center"/>
                </w:tcPr>
                <w:p>
                  <w:pPr>
                    <w:widowControl w:val="0"/>
                    <w:kinsoku/>
                    <w:jc w:val="center"/>
                    <w:rPr>
                      <w:color w:val="auto"/>
                      <w:lang w:eastAsia="zh-CN"/>
                    </w:rPr>
                  </w:pPr>
                  <w:r>
                    <w:rPr>
                      <w:color w:val="auto"/>
                      <w:lang w:eastAsia="zh-CN"/>
                    </w:rPr>
                    <w:t>噪声</w:t>
                  </w:r>
                </w:p>
              </w:tc>
              <w:tc>
                <w:tcPr>
                  <w:tcW w:w="4943" w:type="dxa"/>
                  <w:vAlign w:val="center"/>
                </w:tcPr>
                <w:p>
                  <w:pPr>
                    <w:widowControl w:val="0"/>
                    <w:kinsoku/>
                    <w:jc w:val="center"/>
                    <w:rPr>
                      <w:color w:val="auto"/>
                      <w:lang w:eastAsia="zh-CN"/>
                    </w:rPr>
                  </w:pPr>
                  <w:r>
                    <w:rPr>
                      <w:color w:val="auto"/>
                      <w:lang w:eastAsia="zh-CN"/>
                    </w:rPr>
                    <w:t>生产设备选用低噪声设备，合理布局，主语封闭车间内，加装基础</w:t>
                  </w:r>
                  <w:r>
                    <w:rPr>
                      <w:rFonts w:hint="eastAsia"/>
                      <w:color w:val="auto"/>
                      <w:lang w:eastAsia="zh-CN"/>
                    </w:rPr>
                    <w:t>减振</w:t>
                  </w:r>
                  <w:r>
                    <w:rPr>
                      <w:color w:val="auto"/>
                      <w:lang w:eastAsia="zh-CN"/>
                    </w:rPr>
                    <w:t>垫</w:t>
                  </w:r>
                </w:p>
              </w:tc>
              <w:tc>
                <w:tcPr>
                  <w:tcW w:w="1846" w:type="dxa"/>
                  <w:vAlign w:val="center"/>
                </w:tcPr>
                <w:p>
                  <w:pPr>
                    <w:widowControl w:val="0"/>
                    <w:kinsoku/>
                    <w:jc w:val="center"/>
                    <w:rPr>
                      <w:color w:val="auto"/>
                      <w:lang w:eastAsia="zh-CN"/>
                    </w:rPr>
                  </w:pPr>
                  <w:r>
                    <w:rPr>
                      <w:color w:val="auto"/>
                      <w:lang w:eastAsia="zh-CN"/>
                    </w:rPr>
                    <w:t>环评提出</w:t>
                  </w:r>
                </w:p>
              </w:tc>
            </w:tr>
          </w:tbl>
          <w:p>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77" w:firstLineChars="200"/>
              <w:jc w:val="both"/>
              <w:textAlignment w:val="baseline"/>
              <w:rPr>
                <w:rFonts w:hint="default" w:ascii="Times New Roman" w:hAnsi="Times New Roman" w:cs="Times New Roman"/>
                <w:b/>
                <w:bCs/>
                <w:color w:val="auto"/>
                <w:spacing w:val="-1"/>
                <w:highlight w:val="none"/>
                <w:lang w:val="en-US" w:eastAsia="zh-CN"/>
              </w:rPr>
            </w:pPr>
            <w:r>
              <w:rPr>
                <w:rFonts w:hint="eastAsia" w:ascii="Times New Roman" w:hAnsi="Times New Roman" w:cs="Times New Roman"/>
                <w:b/>
                <w:bCs/>
                <w:color w:val="auto"/>
                <w:spacing w:val="-1"/>
                <w:highlight w:val="none"/>
                <w:lang w:val="en-US" w:eastAsia="zh-CN"/>
              </w:rPr>
              <w:t>依托工程可行性可靠性分析：</w:t>
            </w:r>
          </w:p>
          <w:p>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b/>
                <w:bCs/>
                <w:color w:val="auto"/>
                <w:spacing w:val="-3"/>
                <w:lang w:eastAsia="zh-CN"/>
              </w:rPr>
            </w:pPr>
            <w:r>
              <w:rPr>
                <w:rFonts w:hint="eastAsia" w:ascii="Times New Roman" w:hAnsi="Times New Roman" w:cs="Times New Roman"/>
                <w:color w:val="auto"/>
                <w:spacing w:val="-1"/>
                <w:highlight w:val="none"/>
                <w:lang w:val="en-US" w:eastAsia="zh-CN"/>
              </w:rPr>
              <w:t>本项目生产厂房、办公及住宿租用</w:t>
            </w:r>
            <w:r>
              <w:rPr>
                <w:rFonts w:hint="eastAsia"/>
                <w:color w:val="auto"/>
                <w:spacing w:val="5"/>
                <w:lang w:eastAsia="zh-CN"/>
              </w:rPr>
              <w:t>云南嵩明杨林工业园区东环路68号附3号</w:t>
            </w:r>
            <w:r>
              <w:rPr>
                <w:rFonts w:hint="eastAsia"/>
                <w:color w:val="auto"/>
                <w:spacing w:val="1"/>
                <w:lang w:eastAsia="zh-CN"/>
              </w:rPr>
              <w:t>昆明名健工贸有限公司</w:t>
            </w:r>
            <w:r>
              <w:rPr>
                <w:rFonts w:hint="eastAsia"/>
                <w:color w:val="auto"/>
                <w:spacing w:val="5"/>
                <w:lang w:eastAsia="zh-CN"/>
              </w:rPr>
              <w:t>已建设完成钢结构厂房</w:t>
            </w:r>
            <w:r>
              <w:rPr>
                <w:rFonts w:hint="eastAsia" w:ascii="Times New Roman" w:hAnsi="Times New Roman" w:cs="Times New Roman"/>
                <w:color w:val="auto"/>
                <w:spacing w:val="-1"/>
                <w:highlight w:val="none"/>
                <w:lang w:val="en-US" w:eastAsia="zh-CN"/>
              </w:rPr>
              <w:t>、办公楼，运输道路、给水、排水、供电依托其已建设施，</w:t>
            </w:r>
            <w:r>
              <w:rPr>
                <w:rFonts w:hint="eastAsia"/>
                <w:color w:val="auto"/>
                <w:spacing w:val="1"/>
                <w:lang w:eastAsia="zh-CN"/>
              </w:rPr>
              <w:t>昆明名健工贸有限公司</w:t>
            </w:r>
            <w:r>
              <w:rPr>
                <w:rFonts w:hint="eastAsia" w:ascii="Times New Roman" w:hAnsi="Times New Roman" w:cs="Times New Roman"/>
                <w:color w:val="auto"/>
                <w:spacing w:val="-1"/>
                <w:highlight w:val="none"/>
                <w:lang w:val="en-US" w:eastAsia="zh-CN"/>
              </w:rPr>
              <w:t>已</w:t>
            </w:r>
            <w:r>
              <w:rPr>
                <w:rFonts w:hint="eastAsia"/>
                <w:color w:val="auto"/>
                <w:spacing w:val="7"/>
                <w:lang w:eastAsia="zh-CN"/>
              </w:rPr>
              <w:t>取得环评批复（嵩生环复〔2022〕81号）</w:t>
            </w:r>
            <w:r>
              <w:rPr>
                <w:rFonts w:hint="eastAsia"/>
                <w:color w:val="auto"/>
                <w:spacing w:val="7"/>
                <w:lang w:val="en-US" w:eastAsia="zh-CN"/>
              </w:rPr>
              <w:t>并</w:t>
            </w:r>
            <w:r>
              <w:rPr>
                <w:rFonts w:hint="eastAsia" w:ascii="Times New Roman" w:hAnsi="Times New Roman" w:cs="Times New Roman"/>
                <w:color w:val="auto"/>
                <w:spacing w:val="-1"/>
                <w:highlight w:val="none"/>
                <w:lang w:val="en-US" w:eastAsia="zh-CN"/>
              </w:rPr>
              <w:t>建设标准厂房、办公楼及办公楼配套环保设施（见“与项目有关的原有环境污染问题”章节），租用及依托的设施满足本项目的生产需求；生活污水处理依托</w:t>
            </w:r>
            <w:r>
              <w:rPr>
                <w:rFonts w:hint="eastAsia"/>
                <w:color w:val="auto"/>
                <w:spacing w:val="1"/>
                <w:lang w:eastAsia="zh-CN"/>
              </w:rPr>
              <w:t>昆明名健工贸有限公司</w:t>
            </w:r>
            <w:r>
              <w:rPr>
                <w:rFonts w:hint="eastAsia" w:ascii="Times New Roman" w:hAnsi="Times New Roman" w:cs="Times New Roman"/>
                <w:color w:val="auto"/>
                <w:spacing w:val="-1"/>
                <w:highlight w:val="none"/>
                <w:lang w:val="en-US" w:eastAsia="zh-CN"/>
              </w:rPr>
              <w:t>已配套建设的化粪池，处理后经市政管网进入嵩明县第二污水处理厂，依托的化粪池备在处理能力、处理工艺、水质相容性等方面满足本项目环境管理要求。（见“四、主要环境影响和保护措施-运营期环境保护措施-二、地表水环境影响分析”）。</w:t>
            </w:r>
          </w:p>
          <w:p>
            <w:pPr>
              <w:pStyle w:val="22"/>
              <w:kinsoku/>
              <w:spacing w:before="161" w:line="360" w:lineRule="auto"/>
              <w:ind w:left="582"/>
              <w:rPr>
                <w:rFonts w:hint="eastAsia"/>
                <w:color w:val="auto"/>
                <w:lang w:eastAsia="zh-CN"/>
              </w:rPr>
            </w:pPr>
            <w:r>
              <w:rPr>
                <w:b/>
                <w:bCs/>
                <w:color w:val="auto"/>
                <w:spacing w:val="-3"/>
                <w:lang w:eastAsia="zh-CN"/>
              </w:rPr>
              <w:t>三、主要原辅材料、燃料及年用量</w:t>
            </w:r>
          </w:p>
          <w:p>
            <w:pPr>
              <w:pStyle w:val="22"/>
              <w:kinsoku/>
              <w:spacing w:before="39" w:line="360" w:lineRule="auto"/>
              <w:ind w:left="108" w:right="102" w:firstLine="364" w:firstLineChars="153"/>
              <w:rPr>
                <w:rFonts w:hint="eastAsia"/>
                <w:color w:val="auto"/>
                <w:spacing w:val="-1"/>
                <w:lang w:eastAsia="zh-CN"/>
              </w:rPr>
            </w:pPr>
            <w:r>
              <w:rPr>
                <w:rFonts w:ascii="Times New Roman" w:hAnsi="Times New Roman" w:cs="Times New Roman"/>
                <w:color w:val="auto"/>
                <w:spacing w:val="-1"/>
                <w:lang w:eastAsia="zh-CN"/>
              </w:rPr>
              <w:t>根据建设单位提供资料，</w:t>
            </w:r>
            <w:r>
              <w:rPr>
                <w:color w:val="auto"/>
                <w:spacing w:val="-1"/>
                <w:lang w:eastAsia="zh-CN"/>
              </w:rPr>
              <w:t>本项目主要原辅材料、能源消耗情况具体见表</w:t>
            </w:r>
            <w:r>
              <w:rPr>
                <w:rFonts w:ascii="Times New Roman" w:hAnsi="Times New Roman" w:eastAsia="Times New Roman" w:cs="Times New Roman"/>
                <w:color w:val="auto"/>
                <w:spacing w:val="-1"/>
                <w:lang w:eastAsia="zh-CN"/>
              </w:rPr>
              <w:t>2-</w:t>
            </w:r>
            <w:r>
              <w:rPr>
                <w:rFonts w:hint="eastAsia" w:ascii="Times New Roman" w:hAnsi="Times New Roman" w:cs="Times New Roman"/>
                <w:color w:val="auto"/>
                <w:spacing w:val="-1"/>
                <w:lang w:eastAsia="zh-CN"/>
              </w:rPr>
              <w:t>2</w:t>
            </w:r>
            <w:r>
              <w:rPr>
                <w:color w:val="auto"/>
                <w:spacing w:val="-1"/>
                <w:lang w:eastAsia="zh-CN"/>
              </w:rPr>
              <w:t>。</w:t>
            </w:r>
          </w:p>
          <w:p>
            <w:pPr>
              <w:pStyle w:val="22"/>
              <w:kinsoku/>
              <w:spacing w:before="39" w:line="360" w:lineRule="auto"/>
              <w:ind w:left="108" w:right="102" w:firstLine="110" w:firstLineChars="52"/>
              <w:jc w:val="center"/>
              <w:rPr>
                <w:rFonts w:hint="eastAsia"/>
                <w:b/>
                <w:bCs/>
                <w:color w:val="auto"/>
                <w:spacing w:val="6"/>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2-</w:t>
            </w:r>
            <w:r>
              <w:rPr>
                <w:rFonts w:hint="eastAsia" w:ascii="Times New Roman" w:hAnsi="Times New Roman" w:cs="Times New Roman"/>
                <w:b/>
                <w:bCs/>
                <w:color w:val="auto"/>
                <w:spacing w:val="6"/>
                <w:sz w:val="20"/>
                <w:szCs w:val="20"/>
                <w:lang w:eastAsia="zh-CN"/>
              </w:rPr>
              <w:t>2</w:t>
            </w:r>
            <w:r>
              <w:rPr>
                <w:b/>
                <w:bCs/>
                <w:color w:val="auto"/>
                <w:spacing w:val="6"/>
                <w:sz w:val="20"/>
                <w:szCs w:val="20"/>
                <w:lang w:eastAsia="zh-CN"/>
              </w:rPr>
              <w:t>项目主要原辅材料、能源消耗情况一览表</w:t>
            </w:r>
          </w:p>
          <w:tbl>
            <w:tblPr>
              <w:tblStyle w:val="16"/>
              <w:tblW w:w="9922" w:type="dxa"/>
              <w:tblInd w:w="63" w:type="dxa"/>
              <w:tblLayout w:type="fixed"/>
              <w:tblCellMar>
                <w:top w:w="0" w:type="dxa"/>
                <w:left w:w="108" w:type="dxa"/>
                <w:bottom w:w="0" w:type="dxa"/>
                <w:right w:w="108" w:type="dxa"/>
              </w:tblCellMar>
            </w:tblPr>
            <w:tblGrid>
              <w:gridCol w:w="1179"/>
              <w:gridCol w:w="1317"/>
              <w:gridCol w:w="948"/>
              <w:gridCol w:w="795"/>
              <w:gridCol w:w="1197"/>
              <w:gridCol w:w="1197"/>
              <w:gridCol w:w="1146"/>
              <w:gridCol w:w="998"/>
              <w:gridCol w:w="1145"/>
            </w:tblGrid>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原料名称</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规格型号</w:t>
                  </w:r>
                </w:p>
              </w:tc>
              <w:tc>
                <w:tcPr>
                  <w:tcW w:w="948"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用量</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单位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最大暂存量</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暂存位置</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来源</w:t>
                  </w:r>
                </w:p>
              </w:tc>
              <w:tc>
                <w:tcPr>
                  <w:tcW w:w="998"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备注</w:t>
                  </w: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欧松板</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1220*2740*18mm</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4700</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470</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vMerge w:val="restart"/>
                  <w:tcBorders>
                    <w:top w:val="single" w:color="000000" w:sz="4" w:space="0"/>
                    <w:left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生产综合损耗约13%</w:t>
                  </w:r>
                  <w:r>
                    <w:rPr>
                      <w:rFonts w:hint="eastAsia" w:ascii="Times New Roman" w:hAnsi="Times New Roman" w:eastAsia="宋体" w:cs="Times New Roman"/>
                      <w:color w:val="auto"/>
                      <w:sz w:val="24"/>
                      <w:szCs w:val="24"/>
                      <w:lang w:eastAsia="zh-CN"/>
                    </w:rPr>
                    <w:t>（以重量计）</w:t>
                  </w: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颗粒板</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1220*2440*18mm</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64700</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6470</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vMerge w:val="continue"/>
                  <w:tcBorders>
                    <w:left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准分子</w:t>
                  </w:r>
                  <w:r>
                    <w:rPr>
                      <w:rFonts w:hint="eastAsia" w:ascii="Times New Roman" w:hAnsi="Times New Roman" w:eastAsia="宋体" w:cs="Times New Roman"/>
                      <w:color w:val="auto"/>
                      <w:lang w:eastAsia="zh-CN"/>
                    </w:rPr>
                    <w:t>板</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1220*2740*22mm</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1200</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vMerge w:val="continue"/>
                  <w:tcBorders>
                    <w:left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多层板</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1220*2440*18mm</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23500</w:t>
                  </w:r>
                </w:p>
              </w:tc>
              <w:tc>
                <w:tcPr>
                  <w:tcW w:w="795"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2350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封边条</w:t>
                  </w:r>
                </w:p>
              </w:tc>
              <w:tc>
                <w:tcPr>
                  <w:tcW w:w="1317"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0.1*22mm</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10000</w:t>
                  </w:r>
                  <w:r>
                    <w:rPr>
                      <w:rFonts w:hint="eastAsia" w:ascii="Times New Roman" w:hAnsi="Times New Roman" w:eastAsia="宋体" w:cs="Times New Roman"/>
                      <w:color w:val="auto"/>
                      <w:lang w:eastAsia="zh-CN"/>
                    </w:rPr>
                    <w:t>0</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10000</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封边</w:t>
                  </w:r>
                  <w:r>
                    <w:rPr>
                      <w:rFonts w:ascii="Times New Roman" w:hAnsi="Times New Roman" w:eastAsia="宋体" w:cs="Times New Roman"/>
                      <w:color w:val="auto"/>
                      <w:lang w:eastAsia="zh-CN"/>
                    </w:rPr>
                    <w:t>胶</w:t>
                  </w:r>
                </w:p>
              </w:tc>
              <w:tc>
                <w:tcPr>
                  <w:tcW w:w="1317"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20kg/桶</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0.4</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trHeight w:val="23" w:hRule="atLeast"/>
              </w:trPr>
              <w:tc>
                <w:tcPr>
                  <w:tcW w:w="1179"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五金配件</w:t>
                  </w:r>
                </w:p>
              </w:tc>
              <w:tc>
                <w:tcPr>
                  <w:tcW w:w="1317"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根据定制家具灵活选用</w:t>
                  </w:r>
                </w:p>
              </w:tc>
              <w:tc>
                <w:tcPr>
                  <w:tcW w:w="948"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0.1</w:t>
                  </w:r>
                </w:p>
              </w:tc>
              <w:tc>
                <w:tcPr>
                  <w:tcW w:w="795"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45"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外购</w:t>
                  </w: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电</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948"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万度</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园区电网</w:t>
                  </w:r>
                </w:p>
              </w:tc>
              <w:tc>
                <w:tcPr>
                  <w:tcW w:w="998"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gridAfter w:val="1"/>
                <w:wAfter w:w="1145" w:type="dxa"/>
                <w:trHeight w:val="23" w:hRule="atLeast"/>
              </w:trPr>
              <w:tc>
                <w:tcPr>
                  <w:tcW w:w="1179"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水</w:t>
                  </w:r>
                </w:p>
              </w:tc>
              <w:tc>
                <w:tcPr>
                  <w:tcW w:w="131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948" w:type="dxa"/>
                  <w:tcBorders>
                    <w:top w:val="single" w:color="000000" w:sz="4" w:space="0"/>
                    <w:left w:val="single" w:color="000000" w:sz="4" w:space="0"/>
                    <w:bottom w:val="single" w:color="000000" w:sz="4" w:space="0"/>
                  </w:tcBorders>
                  <w:vAlign w:val="center"/>
                </w:tcPr>
                <w:p>
                  <w:pPr>
                    <w:kinsoku/>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739.2</w:t>
                  </w:r>
                </w:p>
              </w:tc>
              <w:tc>
                <w:tcPr>
                  <w:tcW w:w="795"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/a</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197"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146"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供水管网</w:t>
                  </w:r>
                </w:p>
              </w:tc>
              <w:tc>
                <w:tcPr>
                  <w:tcW w:w="998"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bl>
          <w:p>
            <w:pPr>
              <w:pStyle w:val="22"/>
              <w:kinsoku/>
              <w:spacing w:before="39" w:line="360" w:lineRule="auto"/>
              <w:ind w:left="108" w:right="102" w:firstLine="597" w:firstLineChars="250"/>
              <w:rPr>
                <w:rFonts w:hint="eastAsia"/>
                <w:color w:val="auto"/>
                <w:spacing w:val="-1"/>
                <w:lang w:eastAsia="zh-CN"/>
              </w:rPr>
            </w:pPr>
            <w:r>
              <w:rPr>
                <w:rFonts w:hint="eastAsia"/>
                <w:b/>
                <w:bCs/>
                <w:color w:val="auto"/>
                <w:spacing w:val="-1"/>
                <w:lang w:eastAsia="zh-CN"/>
              </w:rPr>
              <w:t>原辅性能及理化性质：</w:t>
            </w:r>
          </w:p>
          <w:p>
            <w:pPr>
              <w:pStyle w:val="22"/>
              <w:kinsoku/>
              <w:spacing w:before="39" w:line="360" w:lineRule="auto"/>
              <w:ind w:left="108" w:right="102" w:firstLine="595" w:firstLineChars="250"/>
              <w:rPr>
                <w:rFonts w:hint="eastAsia"/>
                <w:color w:val="auto"/>
                <w:spacing w:val="-1"/>
                <w:lang w:eastAsia="zh-CN"/>
              </w:rPr>
            </w:pPr>
            <w:r>
              <w:rPr>
                <w:rFonts w:hint="eastAsia"/>
                <w:color w:val="auto"/>
                <w:spacing w:val="-1"/>
                <w:lang w:eastAsia="zh-CN"/>
              </w:rPr>
              <w:t>封边胶：本项目采用封边胶为本体型胶黏剂，为湿气固化反应型聚氨酯热熔胶（PUR热熔胶），主要成分是：端异氰酸酯聚氨酯预聚体。PUR的粘接性和韧性（弹性）可调节，并有着优异的粘接强度，耐温性，耐化学腐蚀性和耐老化性，呈半固态，是家具制造业的一种新型环保胶黏剂产品，具有干燥速度快、粘接强度高、易涂刷、耐热抗冻等优良性能。用于室内外装饰工程木材、三合板、防火板、铝塑板、橡胶、纸张、皮革等材料的粘贴。</w:t>
            </w:r>
          </w:p>
          <w:p>
            <w:pPr>
              <w:pStyle w:val="22"/>
              <w:kinsoku/>
              <w:spacing w:before="39" w:line="360" w:lineRule="auto"/>
              <w:ind w:left="108" w:right="102" w:firstLine="595" w:firstLineChars="250"/>
              <w:rPr>
                <w:rFonts w:hint="eastAsia"/>
                <w:color w:val="auto"/>
                <w:spacing w:val="-1"/>
                <w:lang w:eastAsia="zh-CN"/>
              </w:rPr>
            </w:pPr>
            <w:r>
              <w:rPr>
                <w:rFonts w:hint="eastAsia"/>
                <w:color w:val="auto"/>
                <w:spacing w:val="-1"/>
                <w:lang w:eastAsia="zh-CN"/>
              </w:rPr>
              <w:t>根据华测检测报告（报告编号：A2190353310101001E），本项目使用胶黏剂主要成分如下表2-3。</w:t>
            </w:r>
          </w:p>
          <w:p>
            <w:pPr>
              <w:pStyle w:val="22"/>
              <w:kinsoku/>
              <w:spacing w:before="39" w:line="360" w:lineRule="auto"/>
              <w:ind w:left="105" w:right="102" w:hanging="107" w:hangingChars="51"/>
              <w:jc w:val="center"/>
              <w:rPr>
                <w:rFonts w:hint="eastAsia"/>
                <w:color w:val="auto"/>
                <w:spacing w:val="-1"/>
                <w:lang w:eastAsia="zh-CN"/>
              </w:rPr>
            </w:pPr>
            <w:r>
              <w:rPr>
                <w:b/>
                <w:bCs/>
                <w:color w:val="auto"/>
                <w:spacing w:val="5"/>
                <w:sz w:val="20"/>
                <w:szCs w:val="20"/>
                <w:lang w:eastAsia="zh-CN"/>
              </w:rPr>
              <w:t>表2-3胶黏剂主要成分检测结果表</w:t>
            </w:r>
          </w:p>
          <w:tbl>
            <w:tblPr>
              <w:tblStyle w:val="1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395"/>
              <w:gridCol w:w="2542"/>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测试项目</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结果</w:t>
                  </w:r>
                </w:p>
              </w:tc>
              <w:tc>
                <w:tcPr>
                  <w:tcW w:w="2542" w:type="dxa"/>
                  <w:vAlign w:val="center"/>
                </w:tcPr>
                <w:p>
                  <w:pPr>
                    <w:pStyle w:val="22"/>
                    <w:widowControl w:val="0"/>
                    <w:kinsoku/>
                    <w:spacing w:before="39"/>
                    <w:ind w:right="6"/>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方法检出限（mg/kg）</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限制（mg/kg）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铅</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2</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镉</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2</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汞</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2</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六价铬</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8</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2" w:type="dxa"/>
                  <w:gridSpan w:val="4"/>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多溴联苯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一溴联苯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二溴联苯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三溴联苯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四溴联苯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五溴联苯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六溴联苯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七溴联苯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八溴联苯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九溴联苯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十溴联苯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2" w:type="dxa"/>
                  <w:gridSpan w:val="4"/>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多溴二苯醚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一溴二苯醚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二溴二苯醚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三溴二苯醚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四溴二苯醚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五溴二苯醚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六溴二苯醚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七溴二苯醚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八溴二苯醚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九溴二苯醚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十溴二苯醚</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2" w:type="dxa"/>
                  <w:gridSpan w:val="4"/>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邻苯二甲酸酯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邻苯二甲酸二丁酯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50</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邻苯二甲酸</w:t>
                  </w:r>
                  <w:r>
                    <w:rPr>
                      <w:rFonts w:ascii="Times New Roman" w:hAnsi="Times New Roman" w:cs="Times New Roman"/>
                      <w:color w:val="auto"/>
                      <w:spacing w:val="-1"/>
                      <w:sz w:val="21"/>
                      <w:szCs w:val="21"/>
                      <w:lang w:eastAsia="zh-CN"/>
                    </w:rPr>
                    <w:t>丁基苄基酯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50</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邻苯二甲酸二（2-乙基）己酯）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50</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0"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邻苯二甲酸二异丁酯</w:t>
                  </w:r>
                </w:p>
              </w:tc>
              <w:tc>
                <w:tcPr>
                  <w:tcW w:w="139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N.D.</w:t>
                  </w:r>
                </w:p>
              </w:tc>
              <w:tc>
                <w:tcPr>
                  <w:tcW w:w="2542"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50</w:t>
                  </w:r>
                </w:p>
              </w:tc>
              <w:tc>
                <w:tcPr>
                  <w:tcW w:w="1935" w:type="dxa"/>
                  <w:vAlign w:val="center"/>
                </w:tcPr>
                <w:p>
                  <w:pPr>
                    <w:pStyle w:val="22"/>
                    <w:widowControl w:val="0"/>
                    <w:kinsoku/>
                    <w:spacing w:before="39"/>
                    <w:ind w:right="102"/>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2" w:type="dxa"/>
                  <w:gridSpan w:val="4"/>
                  <w:vAlign w:val="center"/>
                </w:tcPr>
                <w:p>
                  <w:pPr>
                    <w:pStyle w:val="22"/>
                    <w:widowControl w:val="0"/>
                    <w:kinsoku/>
                    <w:spacing w:before="39"/>
                    <w:ind w:right="102"/>
                    <w:jc w:val="left"/>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注：“</w:t>
                  </w:r>
                  <w:r>
                    <w:rPr>
                      <w:rFonts w:ascii="Times New Roman" w:hAnsi="Times New Roman" w:cs="Times New Roman"/>
                      <w:color w:val="auto"/>
                      <w:spacing w:val="-1"/>
                      <w:sz w:val="21"/>
                      <w:szCs w:val="21"/>
                      <w:lang w:eastAsia="zh-CN"/>
                    </w:rPr>
                    <w:t>N.D.</w:t>
                  </w:r>
                  <w:r>
                    <w:rPr>
                      <w:rFonts w:hint="eastAsia" w:ascii="Times New Roman" w:hAnsi="Times New Roman" w:cs="Times New Roman"/>
                      <w:color w:val="auto"/>
                      <w:spacing w:val="-1"/>
                      <w:sz w:val="21"/>
                      <w:szCs w:val="21"/>
                      <w:lang w:eastAsia="zh-CN"/>
                    </w:rPr>
                    <w:t>”表示检测结果低于方法检出限</w:t>
                  </w:r>
                </w:p>
              </w:tc>
            </w:tr>
          </w:tbl>
          <w:p>
            <w:pPr>
              <w:pStyle w:val="22"/>
              <w:kinsoku/>
              <w:spacing w:before="40" w:line="219" w:lineRule="auto"/>
              <w:ind w:left="597"/>
              <w:rPr>
                <w:rFonts w:hint="eastAsia"/>
                <w:color w:val="auto"/>
                <w:lang w:eastAsia="zh-CN"/>
              </w:rPr>
            </w:pPr>
            <w:r>
              <w:rPr>
                <w:rFonts w:hint="eastAsia"/>
                <w:b/>
                <w:bCs/>
                <w:color w:val="auto"/>
                <w:spacing w:val="-3"/>
                <w:lang w:eastAsia="zh-CN"/>
              </w:rPr>
              <w:t>四</w:t>
            </w:r>
            <w:r>
              <w:rPr>
                <w:b/>
                <w:bCs/>
                <w:color w:val="auto"/>
                <w:spacing w:val="-3"/>
                <w:lang w:eastAsia="zh-CN"/>
              </w:rPr>
              <w:t>、项目主要生产设备</w:t>
            </w:r>
          </w:p>
          <w:p>
            <w:pPr>
              <w:pStyle w:val="22"/>
              <w:kinsoku/>
              <w:spacing w:before="180" w:line="219" w:lineRule="auto"/>
              <w:ind w:left="601"/>
              <w:rPr>
                <w:rFonts w:hint="eastAsia"/>
                <w:color w:val="auto"/>
                <w:lang w:eastAsia="zh-CN"/>
              </w:rPr>
            </w:pPr>
            <w:r>
              <w:rPr>
                <w:color w:val="auto"/>
                <w:spacing w:val="-2"/>
                <w:lang w:eastAsia="zh-CN"/>
              </w:rPr>
              <w:t>项目主要生产设备具体见表</w:t>
            </w:r>
            <w:r>
              <w:rPr>
                <w:rFonts w:ascii="Times New Roman" w:hAnsi="Times New Roman" w:eastAsia="Times New Roman" w:cs="Times New Roman"/>
                <w:color w:val="auto"/>
                <w:spacing w:val="-2"/>
                <w:lang w:eastAsia="zh-CN"/>
              </w:rPr>
              <w:t>2-</w:t>
            </w:r>
            <w:r>
              <w:rPr>
                <w:rFonts w:hint="eastAsia" w:ascii="Times New Roman" w:hAnsi="Times New Roman" w:eastAsia="Times New Roman" w:cs="Times New Roman"/>
                <w:color w:val="auto"/>
                <w:spacing w:val="-2"/>
                <w:lang w:eastAsia="zh-CN"/>
              </w:rPr>
              <w:t>4</w:t>
            </w:r>
            <w:r>
              <w:rPr>
                <w:color w:val="auto"/>
                <w:spacing w:val="-2"/>
                <w:lang w:eastAsia="zh-CN"/>
              </w:rPr>
              <w:t>。</w:t>
            </w:r>
          </w:p>
          <w:p>
            <w:pPr>
              <w:pStyle w:val="22"/>
              <w:kinsoku/>
              <w:spacing w:before="39" w:line="360" w:lineRule="auto"/>
              <w:ind w:left="108" w:right="102" w:firstLine="111" w:firstLineChars="53"/>
              <w:jc w:val="center"/>
              <w:rPr>
                <w:rFonts w:hint="eastAsia"/>
                <w:b/>
                <w:bCs/>
                <w:color w:val="auto"/>
                <w:spacing w:val="5"/>
                <w:sz w:val="20"/>
                <w:szCs w:val="20"/>
                <w:lang w:eastAsia="zh-CN"/>
              </w:rPr>
            </w:pPr>
            <w:r>
              <w:rPr>
                <w:b/>
                <w:bCs/>
                <w:color w:val="auto"/>
                <w:spacing w:val="5"/>
                <w:sz w:val="20"/>
                <w:szCs w:val="20"/>
                <w:lang w:eastAsia="zh-CN"/>
              </w:rPr>
              <w:t>表</w:t>
            </w:r>
            <w:r>
              <w:rPr>
                <w:rFonts w:ascii="Times New Roman" w:hAnsi="Times New Roman" w:eastAsia="Times New Roman" w:cs="Times New Roman"/>
                <w:b/>
                <w:bCs/>
                <w:color w:val="auto"/>
                <w:spacing w:val="5"/>
                <w:sz w:val="20"/>
                <w:szCs w:val="20"/>
                <w:lang w:eastAsia="zh-CN"/>
              </w:rPr>
              <w:t>2-</w:t>
            </w:r>
            <w:r>
              <w:rPr>
                <w:rFonts w:hint="eastAsia" w:ascii="Times New Roman" w:hAnsi="Times New Roman" w:eastAsia="Times New Roman" w:cs="Times New Roman"/>
                <w:b/>
                <w:bCs/>
                <w:color w:val="auto"/>
                <w:spacing w:val="5"/>
                <w:sz w:val="20"/>
                <w:szCs w:val="20"/>
                <w:lang w:eastAsia="zh-CN"/>
              </w:rPr>
              <w:t>4</w:t>
            </w:r>
            <w:r>
              <w:rPr>
                <w:b/>
                <w:bCs/>
                <w:color w:val="auto"/>
                <w:spacing w:val="5"/>
                <w:sz w:val="20"/>
                <w:szCs w:val="20"/>
                <w:lang w:eastAsia="zh-CN"/>
              </w:rPr>
              <w:t>项目主要生产设备表</w:t>
            </w:r>
          </w:p>
          <w:tbl>
            <w:tblPr>
              <w:tblStyle w:val="16"/>
              <w:tblW w:w="0" w:type="auto"/>
              <w:jc w:val="center"/>
              <w:tblLayout w:type="fixed"/>
              <w:tblCellMar>
                <w:top w:w="0" w:type="dxa"/>
                <w:left w:w="108" w:type="dxa"/>
                <w:bottom w:w="0" w:type="dxa"/>
                <w:right w:w="108" w:type="dxa"/>
              </w:tblCellMar>
            </w:tblPr>
            <w:tblGrid>
              <w:gridCol w:w="1940"/>
              <w:gridCol w:w="1353"/>
              <w:gridCol w:w="767"/>
              <w:gridCol w:w="721"/>
              <w:gridCol w:w="3754"/>
            </w:tblGrid>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设备名称</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规格型号</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数量</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单位</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来源</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空气</w:t>
                  </w:r>
                  <w:r>
                    <w:rPr>
                      <w:rFonts w:ascii="Times New Roman" w:hAnsi="Times New Roman" w:eastAsia="宋体" w:cs="Times New Roman"/>
                      <w:color w:val="auto"/>
                      <w:lang w:eastAsia="zh-CN"/>
                    </w:rPr>
                    <w:t>储气罐</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广东汉德精密机械股份有限公司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德玛克智能装备</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GB12257</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江西德玛智能装备有限公司</w:t>
                  </w:r>
                </w:p>
              </w:tc>
            </w:tr>
            <w:tr>
              <w:tblPrEx>
                <w:tblCellMar>
                  <w:top w:w="0" w:type="dxa"/>
                  <w:left w:w="108" w:type="dxa"/>
                  <w:bottom w:w="0" w:type="dxa"/>
                  <w:right w:w="108" w:type="dxa"/>
                </w:tblCellMar>
              </w:tblPrEx>
              <w:trPr>
                <w:trHeight w:val="90" w:hRule="atLeast"/>
                <w:jc w:val="center"/>
              </w:trPr>
              <w:tc>
                <w:tcPr>
                  <w:tcW w:w="1940"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六面钻</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SKD-6125B</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广东省佛山市顺德区伦教北海工业区兴业路北3号</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广东省东莞市厚街镇科技工业园南兴路</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自动双锯片切角机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HZJ3135</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台州市华泽机械有限公司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打孔机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SKH-640/690/612</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广东顺德旭盛机械制造有限公司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下料机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BLA-2813M</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佰利安机械装备有限公司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佰利安机械装备有限公司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立式单抽木工铣床</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MX5117A</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广东省佛山市顺德区勒流工业区</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打孔机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IZ73031A</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佰利安机械装备有限公司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数控双头锯</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JD-W3700</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佛山市南海区里水镇岗联新庄工业园区16号</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螺杆式空气压缩机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广东省惠州市博罗县园洲镇秀丽路十米工业路</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工业钻床</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ZQ4116S</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浙江莱肯工贸有限公司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分拣接料台</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GENN</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江苏玖昂智能机械有限公司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叉车</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TYPE</w:t>
                  </w: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凯傲宝骊江苏叉车有限公司</w:t>
                  </w: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打包机</w:t>
                  </w:r>
                </w:p>
              </w:tc>
              <w:tc>
                <w:tcPr>
                  <w:tcW w:w="1353"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p>
              </w:tc>
              <w:tc>
                <w:tcPr>
                  <w:tcW w:w="767"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台</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lang w:val="en-US" w:eastAsia="zh-CN"/>
                    </w:rPr>
                    <w:t>中央收尘系统（包含配套集气管道、除尘风机及布袋）</w:t>
                  </w:r>
                </w:p>
              </w:tc>
              <w:tc>
                <w:tcPr>
                  <w:tcW w:w="1353"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75千瓦</w:t>
                  </w:r>
                </w:p>
              </w:tc>
              <w:tc>
                <w:tcPr>
                  <w:tcW w:w="767"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套</w:t>
                  </w:r>
                </w:p>
              </w:tc>
              <w:tc>
                <w:tcPr>
                  <w:tcW w:w="3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color w:val="auto"/>
                      <w:lang w:eastAsia="zh-CN"/>
                    </w:rPr>
                  </w:pPr>
                </w:p>
              </w:tc>
            </w:tr>
            <w:tr>
              <w:tblPrEx>
                <w:tblCellMar>
                  <w:top w:w="0" w:type="dxa"/>
                  <w:left w:w="108" w:type="dxa"/>
                  <w:bottom w:w="0" w:type="dxa"/>
                  <w:right w:w="108" w:type="dxa"/>
                </w:tblCellMar>
              </w:tblPrEx>
              <w:trPr>
                <w:trHeight w:val="23" w:hRule="atLeast"/>
                <w:jc w:val="center"/>
              </w:trPr>
              <w:tc>
                <w:tcPr>
                  <w:tcW w:w="1940"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活性炭废气处理</w:t>
                  </w:r>
                  <w:r>
                    <w:rPr>
                      <w:rFonts w:hint="eastAsia" w:ascii="Times New Roman" w:hAnsi="Times New Roman" w:eastAsia="宋体" w:cs="Times New Roman"/>
                      <w:color w:val="auto"/>
                      <w:lang w:val="en-US" w:eastAsia="zh-CN"/>
                    </w:rPr>
                    <w:t>系统（包含</w:t>
                  </w:r>
                  <w:r>
                    <w:rPr>
                      <w:rFonts w:hint="eastAsia"/>
                      <w:lang w:val="en-US" w:eastAsia="zh-CN"/>
                    </w:rPr>
                    <w:t>配套集气管道、</w:t>
                  </w:r>
                  <w:r>
                    <w:rPr>
                      <w:rFonts w:hint="eastAsia" w:ascii="Times New Roman" w:hAnsi="Times New Roman" w:eastAsia="宋体" w:cs="Times New Roman"/>
                      <w:color w:val="auto"/>
                      <w:lang w:val="en-US" w:eastAsia="zh-CN"/>
                    </w:rPr>
                    <w:t>废气处理</w:t>
                  </w:r>
                  <w:r>
                    <w:rPr>
                      <w:rFonts w:ascii="Times New Roman" w:hAnsi="Times New Roman" w:eastAsia="宋体" w:cs="Times New Roman"/>
                      <w:color w:val="auto"/>
                      <w:lang w:eastAsia="zh-CN"/>
                    </w:rPr>
                    <w:t>器</w:t>
                  </w:r>
                  <w:r>
                    <w:rPr>
                      <w:rFonts w:hint="eastAsia" w:ascii="Times New Roman" w:hAnsi="Times New Roman" w:eastAsia="宋体" w:cs="Times New Roman"/>
                      <w:color w:val="auto"/>
                      <w:lang w:val="en-US" w:eastAsia="zh-CN"/>
                    </w:rPr>
                    <w:t>及风机）</w:t>
                  </w:r>
                </w:p>
              </w:tc>
              <w:tc>
                <w:tcPr>
                  <w:tcW w:w="1353"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p>
              </w:tc>
              <w:tc>
                <w:tcPr>
                  <w:tcW w:w="767"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721" w:type="dxa"/>
                  <w:tcBorders>
                    <w:top w:val="single" w:color="000000" w:sz="4" w:space="0"/>
                    <w:left w:val="single" w:color="000000" w:sz="4" w:space="0"/>
                    <w:bottom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套</w:t>
                  </w:r>
                </w:p>
              </w:tc>
              <w:tc>
                <w:tcPr>
                  <w:tcW w:w="3754" w:type="dxa"/>
                  <w:tcBorders>
                    <w:top w:val="single" w:color="000000" w:sz="4" w:space="0"/>
                    <w:left w:val="single" w:color="000000" w:sz="4" w:space="0"/>
                    <w:bottom w:val="single" w:color="000000" w:sz="4" w:space="0"/>
                    <w:right w:val="single" w:color="000000" w:sz="4" w:space="0"/>
                  </w:tcBorders>
                  <w:vAlign w:val="center"/>
                </w:tcPr>
                <w:p>
                  <w:pPr>
                    <w:kinsoku/>
                    <w:jc w:val="center"/>
                    <w:rPr>
                      <w:rFonts w:ascii="Times New Roman" w:hAnsi="Times New Roman" w:eastAsia="宋体" w:cs="Times New Roman"/>
                      <w:color w:val="auto"/>
                      <w:lang w:eastAsia="zh-CN"/>
                    </w:rPr>
                  </w:pPr>
                </w:p>
              </w:tc>
            </w:tr>
          </w:tbl>
          <w:p>
            <w:pPr>
              <w:pStyle w:val="22"/>
              <w:kinsoku/>
              <w:spacing w:before="32" w:line="219" w:lineRule="auto"/>
              <w:ind w:left="620"/>
              <w:rPr>
                <w:rFonts w:hint="eastAsia"/>
                <w:color w:val="auto"/>
                <w:lang w:eastAsia="zh-CN"/>
              </w:rPr>
            </w:pPr>
            <w:r>
              <w:rPr>
                <w:rFonts w:hint="eastAsia"/>
                <w:b/>
                <w:bCs/>
                <w:color w:val="auto"/>
                <w:spacing w:val="-8"/>
                <w:lang w:eastAsia="zh-CN"/>
              </w:rPr>
              <w:t>五</w:t>
            </w:r>
            <w:r>
              <w:rPr>
                <w:b/>
                <w:bCs/>
                <w:color w:val="auto"/>
                <w:spacing w:val="-8"/>
                <w:lang w:eastAsia="zh-CN"/>
              </w:rPr>
              <w:t>、产品方案</w:t>
            </w:r>
          </w:p>
          <w:p>
            <w:pPr>
              <w:pStyle w:val="22"/>
              <w:kinsoku/>
              <w:spacing w:before="182" w:line="350" w:lineRule="auto"/>
              <w:ind w:left="118" w:firstLine="479"/>
              <w:jc w:val="both"/>
              <w:rPr>
                <w:rFonts w:hint="eastAsia"/>
                <w:color w:val="auto"/>
                <w:lang w:eastAsia="zh-CN"/>
              </w:rPr>
            </w:pPr>
            <w:r>
              <w:rPr>
                <w:color w:val="auto"/>
                <w:spacing w:val="15"/>
                <w:lang w:eastAsia="zh-CN"/>
              </w:rPr>
              <w:t>本项目建成后主要进行</w:t>
            </w:r>
            <w:r>
              <w:rPr>
                <w:rFonts w:hint="eastAsia"/>
                <w:color w:val="auto"/>
                <w:spacing w:val="15"/>
                <w:lang w:eastAsia="zh-CN"/>
              </w:rPr>
              <w:t>家具</w:t>
            </w:r>
            <w:r>
              <w:rPr>
                <w:color w:val="auto"/>
                <w:spacing w:val="15"/>
                <w:lang w:eastAsia="zh-CN"/>
              </w:rPr>
              <w:t>加工生产，</w:t>
            </w:r>
            <w:r>
              <w:rPr>
                <w:color w:val="auto"/>
                <w:spacing w:val="-2"/>
                <w:lang w:eastAsia="zh-CN"/>
              </w:rPr>
              <w:t>项目产品方案见表</w:t>
            </w:r>
            <w:r>
              <w:rPr>
                <w:rFonts w:ascii="Times New Roman" w:hAnsi="Times New Roman" w:eastAsia="Times New Roman" w:cs="Times New Roman"/>
                <w:color w:val="auto"/>
                <w:spacing w:val="-2"/>
                <w:lang w:eastAsia="zh-CN"/>
              </w:rPr>
              <w:t>2-</w:t>
            </w:r>
            <w:r>
              <w:rPr>
                <w:rFonts w:hint="eastAsia" w:ascii="Times New Roman" w:hAnsi="Times New Roman" w:eastAsia="Times New Roman" w:cs="Times New Roman"/>
                <w:color w:val="auto"/>
                <w:spacing w:val="-2"/>
                <w:lang w:eastAsia="zh-CN"/>
              </w:rPr>
              <w:t>5</w:t>
            </w:r>
            <w:r>
              <w:rPr>
                <w:color w:val="auto"/>
                <w:spacing w:val="-2"/>
                <w:lang w:eastAsia="zh-CN"/>
              </w:rPr>
              <w:t>。</w:t>
            </w:r>
          </w:p>
          <w:p>
            <w:pPr>
              <w:pStyle w:val="22"/>
              <w:kinsoku/>
              <w:spacing w:before="179" w:line="227" w:lineRule="auto"/>
              <w:jc w:val="center"/>
              <w:rPr>
                <w:rFonts w:hint="eastAsia"/>
                <w:b/>
                <w:bCs/>
                <w:color w:val="auto"/>
                <w:spacing w:val="5"/>
                <w:sz w:val="21"/>
                <w:szCs w:val="21"/>
              </w:rPr>
            </w:pPr>
            <w:r>
              <w:rPr>
                <w:b/>
                <w:bCs/>
                <w:color w:val="auto"/>
                <w:spacing w:val="5"/>
                <w:sz w:val="21"/>
                <w:szCs w:val="21"/>
              </w:rPr>
              <w:t>表</w:t>
            </w:r>
            <w:r>
              <w:rPr>
                <w:rFonts w:ascii="Times New Roman" w:hAnsi="Times New Roman" w:eastAsia="Times New Roman" w:cs="Times New Roman"/>
                <w:b/>
                <w:bCs/>
                <w:color w:val="auto"/>
                <w:spacing w:val="5"/>
                <w:sz w:val="21"/>
                <w:szCs w:val="21"/>
              </w:rPr>
              <w:t>2-</w:t>
            </w:r>
            <w:r>
              <w:rPr>
                <w:rFonts w:hint="eastAsia" w:ascii="Times New Roman" w:hAnsi="Times New Roman" w:cs="Times New Roman"/>
                <w:b/>
                <w:bCs/>
                <w:color w:val="auto"/>
                <w:spacing w:val="5"/>
                <w:sz w:val="21"/>
                <w:szCs w:val="21"/>
                <w:lang w:eastAsia="zh-CN"/>
              </w:rPr>
              <w:t>5</w:t>
            </w:r>
            <w:r>
              <w:rPr>
                <w:b/>
                <w:bCs/>
                <w:color w:val="auto"/>
                <w:spacing w:val="5"/>
                <w:sz w:val="21"/>
                <w:szCs w:val="21"/>
              </w:rPr>
              <w:t>项目产品方案一览表</w:t>
            </w:r>
          </w:p>
          <w:tbl>
            <w:tblPr>
              <w:tblStyle w:val="17"/>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433"/>
              <w:gridCol w:w="768"/>
              <w:gridCol w:w="1093"/>
              <w:gridCol w:w="2035"/>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pPr>
                    <w:widowControl/>
                    <w:kinsoku/>
                    <w:jc w:val="center"/>
                    <w:textAlignment w:val="center"/>
                    <w:rPr>
                      <w:rFonts w:ascii="Times New Roman" w:hAnsi="Times New Roman" w:cs="Times New Roman"/>
                      <w:b/>
                      <w:bCs/>
                      <w:color w:val="auto"/>
                    </w:rPr>
                  </w:pPr>
                  <w:bookmarkStart w:id="12" w:name="_Hlk175144070"/>
                  <w:r>
                    <w:rPr>
                      <w:rFonts w:ascii="Times New Roman" w:hAnsi="Times New Roman" w:cs="Times New Roman"/>
                      <w:b/>
                      <w:bCs/>
                      <w:color w:val="auto"/>
                    </w:rPr>
                    <w:t>序号</w:t>
                  </w:r>
                </w:p>
              </w:tc>
              <w:tc>
                <w:tcPr>
                  <w:tcW w:w="1433" w:type="dxa"/>
                  <w:vAlign w:val="center"/>
                </w:tcPr>
                <w:p>
                  <w:pPr>
                    <w:widowControl/>
                    <w:kinsoku/>
                    <w:jc w:val="center"/>
                    <w:textAlignment w:val="center"/>
                    <w:rPr>
                      <w:rFonts w:ascii="Times New Roman" w:hAnsi="Times New Roman" w:cs="Times New Roman"/>
                      <w:b/>
                      <w:bCs/>
                      <w:color w:val="auto"/>
                    </w:rPr>
                  </w:pPr>
                  <w:r>
                    <w:rPr>
                      <w:rFonts w:ascii="Times New Roman" w:hAnsi="Times New Roman" w:cs="Times New Roman"/>
                      <w:b/>
                      <w:bCs/>
                      <w:color w:val="auto"/>
                    </w:rPr>
                    <w:t>产品名称</w:t>
                  </w:r>
                </w:p>
              </w:tc>
              <w:tc>
                <w:tcPr>
                  <w:tcW w:w="768" w:type="dxa"/>
                  <w:vAlign w:val="center"/>
                </w:tcPr>
                <w:p>
                  <w:pPr>
                    <w:widowControl/>
                    <w:kinsoku/>
                    <w:jc w:val="center"/>
                    <w:textAlignment w:val="center"/>
                    <w:rPr>
                      <w:rFonts w:ascii="Times New Roman" w:hAnsi="Times New Roman" w:cs="Times New Roman"/>
                      <w:b/>
                      <w:bCs/>
                      <w:color w:val="auto"/>
                    </w:rPr>
                  </w:pPr>
                  <w:r>
                    <w:rPr>
                      <w:rFonts w:ascii="Times New Roman" w:hAnsi="Times New Roman" w:cs="Times New Roman"/>
                      <w:b/>
                      <w:bCs/>
                      <w:color w:val="auto"/>
                    </w:rPr>
                    <w:t>单位</w:t>
                  </w:r>
                </w:p>
              </w:tc>
              <w:tc>
                <w:tcPr>
                  <w:tcW w:w="1093" w:type="dxa"/>
                  <w:vAlign w:val="center"/>
                </w:tcPr>
                <w:p>
                  <w:pPr>
                    <w:widowControl/>
                    <w:kinsoku/>
                    <w:jc w:val="center"/>
                    <w:textAlignment w:val="center"/>
                    <w:rPr>
                      <w:rFonts w:ascii="Times New Roman" w:hAnsi="Times New Roman" w:cs="Times New Roman"/>
                      <w:b/>
                      <w:bCs/>
                      <w:color w:val="auto"/>
                    </w:rPr>
                  </w:pPr>
                  <w:r>
                    <w:rPr>
                      <w:rFonts w:ascii="Times New Roman" w:hAnsi="Times New Roman" w:cs="Times New Roman"/>
                      <w:b/>
                      <w:bCs/>
                      <w:color w:val="auto"/>
                    </w:rPr>
                    <w:t>年产量</w:t>
                  </w:r>
                </w:p>
              </w:tc>
              <w:tc>
                <w:tcPr>
                  <w:tcW w:w="2035" w:type="dxa"/>
                  <w:vAlign w:val="center"/>
                </w:tcPr>
                <w:p>
                  <w:pPr>
                    <w:widowControl/>
                    <w:kinsoku/>
                    <w:jc w:val="center"/>
                    <w:textAlignment w:val="center"/>
                    <w:rPr>
                      <w:rFonts w:ascii="Times New Roman" w:hAnsi="Times New Roman" w:cs="Times New Roman"/>
                      <w:b/>
                      <w:bCs/>
                      <w:color w:val="auto"/>
                    </w:rPr>
                  </w:pPr>
                  <w:r>
                    <w:rPr>
                      <w:rFonts w:hint="eastAsia" w:ascii="Times New Roman" w:hAnsi="Times New Roman" w:eastAsia="宋体" w:cs="Times New Roman"/>
                      <w:b/>
                      <w:bCs/>
                      <w:color w:val="auto"/>
                      <w:lang w:eastAsia="zh-CN"/>
                    </w:rPr>
                    <w:t>产品</w:t>
                  </w:r>
                  <w:r>
                    <w:rPr>
                      <w:rFonts w:ascii="Times New Roman" w:hAnsi="Times New Roman" w:cs="Times New Roman"/>
                      <w:b/>
                      <w:bCs/>
                      <w:color w:val="auto"/>
                    </w:rPr>
                    <w:t>规格</w:t>
                  </w:r>
                </w:p>
              </w:tc>
              <w:tc>
                <w:tcPr>
                  <w:tcW w:w="2023" w:type="dxa"/>
                  <w:vAlign w:val="center"/>
                </w:tcPr>
                <w:p>
                  <w:pPr>
                    <w:widowControl/>
                    <w:kinsoku/>
                    <w:jc w:val="center"/>
                    <w:textAlignment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pPr>
                    <w:widowControl w:val="0"/>
                    <w:numPr>
                      <w:ilvl w:val="0"/>
                      <w:numId w:val="3"/>
                    </w:numPr>
                    <w:kinsoku/>
                    <w:autoSpaceDE/>
                    <w:autoSpaceDN/>
                    <w:spacing w:line="240" w:lineRule="atLeast"/>
                    <w:ind w:firstLine="0"/>
                    <w:jc w:val="center"/>
                    <w:textAlignment w:val="auto"/>
                    <w:rPr>
                      <w:rFonts w:ascii="Times New Roman" w:hAnsi="Times New Roman" w:eastAsia="宋体" w:cs="Times New Roman"/>
                      <w:color w:val="auto"/>
                      <w:kern w:val="2"/>
                      <w:lang w:eastAsia="zh-CN"/>
                    </w:rPr>
                  </w:pPr>
                </w:p>
              </w:tc>
              <w:tc>
                <w:tcPr>
                  <w:tcW w:w="1433" w:type="dxa"/>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组合家具</w:t>
                  </w:r>
                </w:p>
              </w:tc>
              <w:tc>
                <w:tcPr>
                  <w:tcW w:w="768" w:type="dxa"/>
                  <w:vAlign w:val="center"/>
                </w:tcPr>
                <w:p>
                  <w:pPr>
                    <w:widowControl/>
                    <w:kinsoku/>
                    <w:autoSpaceDE/>
                    <w:autoSpaceDN/>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2</w:t>
                  </w:r>
                </w:p>
              </w:tc>
              <w:tc>
                <w:tcPr>
                  <w:tcW w:w="1093" w:type="dxa"/>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80000</w:t>
                  </w:r>
                </w:p>
              </w:tc>
              <w:tc>
                <w:tcPr>
                  <w:tcW w:w="2035" w:type="dxa"/>
                  <w:vAlign w:val="center"/>
                </w:tcPr>
                <w:p>
                  <w:pPr>
                    <w:widowControl/>
                    <w:kinsoku/>
                    <w:autoSpaceDE/>
                    <w:autoSpaceDN/>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根据市场需求定制</w:t>
                  </w:r>
                </w:p>
              </w:tc>
              <w:tc>
                <w:tcPr>
                  <w:tcW w:w="2023" w:type="dxa"/>
                  <w:vAlign w:val="center"/>
                </w:tcPr>
                <w:p>
                  <w:pPr>
                    <w:widowControl/>
                    <w:kinsoku/>
                    <w:autoSpaceDE/>
                    <w:autoSpaceDN/>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材料密度500kg/m</w:t>
                  </w:r>
                  <w:r>
                    <w:rPr>
                      <w:rFonts w:hint="eastAsia" w:ascii="Times New Roman" w:hAnsi="Times New Roman" w:eastAsia="宋体" w:cs="Times New Roman"/>
                      <w:color w:val="auto"/>
                      <w:vertAlign w:val="superscript"/>
                      <w:lang w:eastAsia="zh-CN"/>
                    </w:rPr>
                    <w:t>3</w:t>
                  </w:r>
                </w:p>
              </w:tc>
            </w:tr>
            <w:bookmarkEnd w:id="12"/>
          </w:tbl>
          <w:p>
            <w:pPr>
              <w:pStyle w:val="22"/>
              <w:kinsoku/>
              <w:spacing w:before="34" w:line="360" w:lineRule="auto"/>
              <w:ind w:left="601"/>
              <w:rPr>
                <w:rFonts w:hint="eastAsia"/>
                <w:color w:val="auto"/>
              </w:rPr>
            </w:pPr>
            <w:r>
              <w:rPr>
                <w:rFonts w:hint="eastAsia"/>
                <w:b/>
                <w:bCs/>
                <w:color w:val="auto"/>
                <w:spacing w:val="-5"/>
                <w:lang w:eastAsia="zh-CN"/>
              </w:rPr>
              <w:t>六</w:t>
            </w:r>
            <w:r>
              <w:rPr>
                <w:b/>
                <w:bCs/>
                <w:color w:val="auto"/>
                <w:spacing w:val="-5"/>
              </w:rPr>
              <w:t>、公用工程</w:t>
            </w:r>
          </w:p>
          <w:p>
            <w:pPr>
              <w:pStyle w:val="22"/>
              <w:kinsoku/>
              <w:spacing w:before="179" w:line="219" w:lineRule="auto"/>
              <w:ind w:left="594"/>
              <w:rPr>
                <w:rFonts w:hint="eastAsia"/>
                <w:color w:val="auto"/>
              </w:rPr>
            </w:pPr>
            <w:r>
              <w:rPr>
                <w:rFonts w:hint="eastAsia" w:ascii="Times New Roman" w:hAnsi="Times New Roman" w:cs="Times New Roman"/>
                <w:b/>
                <w:bCs/>
                <w:color w:val="auto"/>
                <w:spacing w:val="-12"/>
                <w:lang w:eastAsia="zh-CN"/>
              </w:rPr>
              <w:t>1、</w:t>
            </w:r>
            <w:r>
              <w:rPr>
                <w:b/>
                <w:bCs/>
                <w:color w:val="auto"/>
                <w:spacing w:val="-12"/>
              </w:rPr>
              <w:t>供电</w:t>
            </w:r>
          </w:p>
          <w:p>
            <w:pPr>
              <w:pStyle w:val="22"/>
              <w:kinsoku/>
              <w:spacing w:before="182" w:line="345" w:lineRule="auto"/>
              <w:ind w:left="110" w:right="102" w:firstLine="481"/>
              <w:rPr>
                <w:rFonts w:hint="eastAsia"/>
                <w:color w:val="auto"/>
                <w:lang w:eastAsia="zh-CN"/>
              </w:rPr>
            </w:pPr>
            <w:r>
              <w:rPr>
                <w:color w:val="auto"/>
                <w:spacing w:val="6"/>
                <w:lang w:eastAsia="zh-CN"/>
              </w:rPr>
              <w:t>项目使用能源为电能，由杨林工业园区供电线路供给，能够满足生产、生活</w:t>
            </w:r>
            <w:r>
              <w:rPr>
                <w:color w:val="auto"/>
                <w:spacing w:val="-2"/>
                <w:lang w:eastAsia="zh-CN"/>
              </w:rPr>
              <w:t>用电需求，本项目年用电</w:t>
            </w:r>
            <w:r>
              <w:rPr>
                <w:rFonts w:hint="eastAsia" w:ascii="Times New Roman" w:hAnsi="Times New Roman" w:cs="Times New Roman"/>
                <w:color w:val="auto"/>
                <w:spacing w:val="-2"/>
                <w:lang w:eastAsia="zh-CN"/>
              </w:rPr>
              <w:t>20</w:t>
            </w:r>
            <w:r>
              <w:rPr>
                <w:color w:val="auto"/>
                <w:spacing w:val="-2"/>
                <w:lang w:eastAsia="zh-CN"/>
              </w:rPr>
              <w:t>万度。</w:t>
            </w:r>
          </w:p>
          <w:p>
            <w:pPr>
              <w:pStyle w:val="22"/>
              <w:kinsoku/>
              <w:spacing w:before="38" w:line="219" w:lineRule="auto"/>
              <w:ind w:left="584"/>
              <w:rPr>
                <w:rFonts w:hint="eastAsia"/>
                <w:color w:val="auto"/>
                <w:lang w:eastAsia="zh-CN"/>
              </w:rPr>
            </w:pPr>
            <w:r>
              <w:rPr>
                <w:rFonts w:hint="eastAsia" w:ascii="Times New Roman" w:hAnsi="Times New Roman" w:cs="Times New Roman"/>
                <w:b/>
                <w:bCs/>
                <w:color w:val="auto"/>
                <w:spacing w:val="-10"/>
                <w:lang w:eastAsia="zh-CN"/>
              </w:rPr>
              <w:t>2、</w:t>
            </w:r>
            <w:r>
              <w:rPr>
                <w:b/>
                <w:bCs/>
                <w:color w:val="auto"/>
                <w:spacing w:val="-10"/>
                <w:lang w:eastAsia="zh-CN"/>
              </w:rPr>
              <w:t>给水</w:t>
            </w:r>
          </w:p>
          <w:p>
            <w:pPr>
              <w:pStyle w:val="22"/>
              <w:kinsoku/>
              <w:spacing w:before="183" w:line="345" w:lineRule="auto"/>
              <w:ind w:left="110" w:right="316" w:firstLine="481"/>
              <w:rPr>
                <w:rFonts w:hint="eastAsia"/>
                <w:color w:val="auto"/>
                <w:lang w:eastAsia="zh-CN"/>
              </w:rPr>
            </w:pPr>
            <w:r>
              <w:rPr>
                <w:color w:val="auto"/>
                <w:spacing w:val="-1"/>
                <w:lang w:eastAsia="zh-CN"/>
              </w:rPr>
              <w:t>项目使用的自来水由杨林工业园区供水管网供给，能满足员工的生活用水需</w:t>
            </w:r>
            <w:r>
              <w:rPr>
                <w:color w:val="auto"/>
                <w:spacing w:val="-2"/>
                <w:lang w:eastAsia="zh-CN"/>
              </w:rPr>
              <w:t>求，用水量为</w:t>
            </w:r>
            <w:r>
              <w:rPr>
                <w:rFonts w:hint="eastAsia" w:ascii="Times New Roman" w:hAnsi="Times New Roman" w:cs="Times New Roman"/>
                <w:color w:val="auto"/>
                <w:spacing w:val="-2"/>
                <w:lang w:eastAsia="zh-CN"/>
              </w:rPr>
              <w:t>739.2</w:t>
            </w:r>
            <w:r>
              <w:rPr>
                <w:rFonts w:ascii="Times New Roman" w:hAnsi="Times New Roman" w:eastAsia="Times New Roman" w:cs="Times New Roman"/>
                <w:color w:val="auto"/>
                <w:spacing w:val="-2"/>
                <w:lang w:eastAsia="zh-CN"/>
              </w:rPr>
              <w:t>m</w:t>
            </w:r>
            <w:r>
              <w:rPr>
                <w:rFonts w:ascii="Times New Roman" w:hAnsi="Times New Roman" w:eastAsia="Times New Roman" w:cs="Times New Roman"/>
                <w:color w:val="auto"/>
                <w:spacing w:val="-2"/>
                <w:position w:val="7"/>
                <w:sz w:val="15"/>
                <w:szCs w:val="15"/>
                <w:lang w:eastAsia="zh-CN"/>
              </w:rPr>
              <w:t>3</w:t>
            </w:r>
            <w:r>
              <w:rPr>
                <w:rFonts w:ascii="Times New Roman" w:hAnsi="Times New Roman" w:eastAsia="Times New Roman" w:cs="Times New Roman"/>
                <w:color w:val="auto"/>
                <w:spacing w:val="-2"/>
                <w:lang w:eastAsia="zh-CN"/>
              </w:rPr>
              <w:t>/a</w:t>
            </w:r>
            <w:r>
              <w:rPr>
                <w:color w:val="auto"/>
                <w:spacing w:val="-2"/>
                <w:lang w:eastAsia="zh-CN"/>
              </w:rPr>
              <w:t>。</w:t>
            </w:r>
          </w:p>
          <w:p>
            <w:pPr>
              <w:pStyle w:val="22"/>
              <w:kinsoku/>
              <w:spacing w:before="35" w:line="219" w:lineRule="auto"/>
              <w:ind w:left="582"/>
              <w:rPr>
                <w:rFonts w:hint="eastAsia"/>
                <w:color w:val="auto"/>
                <w:lang w:eastAsia="zh-CN"/>
              </w:rPr>
            </w:pPr>
            <w:r>
              <w:rPr>
                <w:rFonts w:hint="eastAsia" w:ascii="Times New Roman" w:hAnsi="Times New Roman" w:cs="Times New Roman"/>
                <w:b/>
                <w:bCs/>
                <w:color w:val="auto"/>
                <w:spacing w:val="-9"/>
                <w:lang w:eastAsia="zh-CN"/>
              </w:rPr>
              <w:t>3、</w:t>
            </w:r>
            <w:r>
              <w:rPr>
                <w:b/>
                <w:bCs/>
                <w:color w:val="auto"/>
                <w:spacing w:val="-9"/>
                <w:lang w:eastAsia="zh-CN"/>
              </w:rPr>
              <w:t>排水</w:t>
            </w:r>
          </w:p>
          <w:p>
            <w:pPr>
              <w:pStyle w:val="22"/>
              <w:kinsoku/>
              <w:spacing w:before="182" w:line="345" w:lineRule="auto"/>
              <w:ind w:left="111" w:right="102" w:firstLine="477"/>
              <w:rPr>
                <w:rFonts w:hint="eastAsia"/>
                <w:color w:val="auto"/>
                <w:lang w:eastAsia="zh-CN"/>
              </w:rPr>
            </w:pPr>
            <w:r>
              <w:rPr>
                <w:color w:val="auto"/>
                <w:spacing w:val="6"/>
                <w:lang w:eastAsia="zh-CN"/>
              </w:rPr>
              <w:t>根据</w:t>
            </w:r>
            <w:r>
              <w:rPr>
                <w:rFonts w:hint="eastAsia"/>
                <w:color w:val="auto"/>
                <w:spacing w:val="6"/>
                <w:lang w:eastAsia="zh-CN"/>
              </w:rPr>
              <w:t>现场勘查</w:t>
            </w:r>
            <w:r>
              <w:rPr>
                <w:color w:val="auto"/>
                <w:spacing w:val="6"/>
                <w:lang w:eastAsia="zh-CN"/>
              </w:rPr>
              <w:t>，杨林工业园区雨污水管网已建成并投入使用，项目区雨水经</w:t>
            </w:r>
            <w:r>
              <w:rPr>
                <w:color w:val="auto"/>
                <w:spacing w:val="-1"/>
                <w:lang w:eastAsia="zh-CN"/>
              </w:rPr>
              <w:t>厂区雨水管网收集后排入杨林工业园区雨水管网。</w:t>
            </w:r>
          </w:p>
          <w:p>
            <w:pPr>
              <w:pStyle w:val="22"/>
              <w:kinsoku/>
              <w:spacing w:before="36" w:line="353" w:lineRule="auto"/>
              <w:ind w:left="109" w:right="102" w:firstLine="482"/>
              <w:rPr>
                <w:rFonts w:hint="eastAsia"/>
                <w:color w:val="auto"/>
                <w:lang w:eastAsia="zh-CN"/>
              </w:rPr>
            </w:pPr>
            <w:r>
              <w:rPr>
                <w:color w:val="auto"/>
                <w:spacing w:val="6"/>
                <w:lang w:eastAsia="zh-CN"/>
              </w:rPr>
              <w:t>项目生产过程中</w:t>
            </w:r>
            <w:r>
              <w:rPr>
                <w:color w:val="auto"/>
                <w:lang w:eastAsia="zh-CN"/>
              </w:rPr>
              <w:t>不使用新鲜水</w:t>
            </w:r>
            <w:r>
              <w:rPr>
                <w:color w:val="auto"/>
                <w:spacing w:val="6"/>
                <w:lang w:eastAsia="zh-CN"/>
              </w:rPr>
              <w:t>，无生产废水外排，外排废水主要为生活污</w:t>
            </w:r>
            <w:r>
              <w:rPr>
                <w:color w:val="auto"/>
                <w:spacing w:val="13"/>
                <w:lang w:eastAsia="zh-CN"/>
              </w:rPr>
              <w:t>水，经化粪池处理，处理达到</w:t>
            </w:r>
            <w:r>
              <w:rPr>
                <w:rFonts w:hint="eastAsia"/>
                <w:color w:val="auto"/>
                <w:spacing w:val="1"/>
                <w:lang w:eastAsia="zh-CN"/>
              </w:rPr>
              <w:t>《污水综合排放标准》（GB8978-1996）表4三级标准后</w:t>
            </w:r>
            <w:r>
              <w:rPr>
                <w:color w:val="auto"/>
                <w:spacing w:val="1"/>
                <w:lang w:eastAsia="zh-CN"/>
              </w:rPr>
              <w:t>排入杨</w:t>
            </w:r>
            <w:r>
              <w:rPr>
                <w:color w:val="auto"/>
                <w:spacing w:val="-1"/>
                <w:lang w:eastAsia="zh-CN"/>
              </w:rPr>
              <w:t>林工业园区污水管网，最终进入嵩明县第二污水处理厂处理。</w:t>
            </w:r>
          </w:p>
          <w:p>
            <w:pPr>
              <w:pStyle w:val="22"/>
              <w:kinsoku/>
              <w:spacing w:before="33" w:line="219" w:lineRule="auto"/>
              <w:ind w:left="587"/>
              <w:rPr>
                <w:rFonts w:hint="eastAsia"/>
                <w:color w:val="auto"/>
                <w:lang w:eastAsia="zh-CN"/>
              </w:rPr>
            </w:pPr>
            <w:r>
              <w:rPr>
                <w:rFonts w:hint="eastAsia"/>
                <w:b/>
                <w:bCs/>
                <w:color w:val="auto"/>
                <w:spacing w:val="-4"/>
                <w:lang w:eastAsia="zh-CN"/>
              </w:rPr>
              <w:t>七</w:t>
            </w:r>
            <w:r>
              <w:rPr>
                <w:b/>
                <w:bCs/>
                <w:color w:val="auto"/>
                <w:spacing w:val="-4"/>
                <w:lang w:eastAsia="zh-CN"/>
              </w:rPr>
              <w:t>、水平衡</w:t>
            </w:r>
          </w:p>
          <w:p>
            <w:pPr>
              <w:pStyle w:val="22"/>
              <w:kinsoku/>
              <w:spacing w:before="182" w:line="360" w:lineRule="auto"/>
              <w:ind w:left="593"/>
              <w:rPr>
                <w:rFonts w:ascii="Times New Roman" w:hAnsi="Times New Roman" w:cs="Times New Roman"/>
                <w:color w:val="auto"/>
                <w:lang w:eastAsia="zh-CN"/>
              </w:rPr>
            </w:pPr>
            <w:r>
              <w:rPr>
                <w:rFonts w:ascii="Times New Roman" w:hAnsi="Times New Roman" w:cs="Times New Roman"/>
                <w:color w:val="auto"/>
                <w:spacing w:val="-1"/>
                <w:lang w:eastAsia="zh-CN"/>
              </w:rPr>
              <w:t>项目无生产用水，生活用水由杨林工业园区供水管网统一供给。</w:t>
            </w:r>
          </w:p>
          <w:p>
            <w:pPr>
              <w:kinsoku/>
              <w:spacing w:line="360" w:lineRule="auto"/>
              <w:ind w:firstLine="638" w:firstLineChars="242"/>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2"/>
                <w:sz w:val="24"/>
                <w:szCs w:val="24"/>
                <w:lang w:eastAsia="zh-CN"/>
              </w:rPr>
              <w:t>项目共有员工28人，</w:t>
            </w:r>
            <w:r>
              <w:rPr>
                <w:rFonts w:hint="eastAsia"/>
                <w:color w:val="auto"/>
                <w:spacing w:val="3"/>
                <w:sz w:val="24"/>
                <w:szCs w:val="24"/>
                <w:lang w:eastAsia="zh-CN"/>
              </w:rPr>
              <w:t>均在厂内住宿，不就餐</w:t>
            </w:r>
            <w:r>
              <w:rPr>
                <w:rFonts w:ascii="Times New Roman" w:hAnsi="Times New Roman" w:eastAsia="宋体" w:cs="Times New Roman"/>
                <w:color w:val="auto"/>
                <w:spacing w:val="12"/>
                <w:sz w:val="24"/>
                <w:szCs w:val="24"/>
                <w:lang w:eastAsia="zh-CN"/>
              </w:rPr>
              <w:t>。产生的生活污水中含有</w:t>
            </w:r>
            <w:r>
              <w:rPr>
                <w:rFonts w:ascii="Times New Roman" w:hAnsi="Times New Roman" w:eastAsia="宋体" w:cs="Times New Roman"/>
                <w:color w:val="auto"/>
                <w:sz w:val="24"/>
                <w:szCs w:val="24"/>
                <w:lang w:eastAsia="zh-CN"/>
              </w:rPr>
              <w:t>COD</w:t>
            </w:r>
            <w:r>
              <w:rPr>
                <w:rFonts w:ascii="Times New Roman" w:hAnsi="Times New Roman" w:eastAsia="宋体" w:cs="Times New Roman"/>
                <w:color w:val="auto"/>
                <w:spacing w:val="12"/>
                <w:sz w:val="24"/>
                <w:szCs w:val="24"/>
                <w:lang w:eastAsia="zh-CN"/>
              </w:rPr>
              <w:t>、</w:t>
            </w:r>
            <w:r>
              <w:rPr>
                <w:rFonts w:ascii="Times New Roman" w:hAnsi="Times New Roman" w:eastAsia="宋体" w:cs="Times New Roman"/>
                <w:color w:val="auto"/>
                <w:sz w:val="24"/>
                <w:szCs w:val="24"/>
                <w:lang w:eastAsia="zh-CN"/>
              </w:rPr>
              <w:t>BOD</w:t>
            </w:r>
            <w:r>
              <w:rPr>
                <w:rFonts w:ascii="Times New Roman" w:hAnsi="Times New Roman" w:eastAsia="宋体" w:cs="Times New Roman"/>
                <w:color w:val="auto"/>
                <w:spacing w:val="12"/>
                <w:position w:val="-1"/>
                <w:sz w:val="24"/>
                <w:szCs w:val="24"/>
                <w:vertAlign w:val="subscript"/>
                <w:lang w:eastAsia="zh-CN"/>
              </w:rPr>
              <w:t>5</w:t>
            </w:r>
            <w:r>
              <w:rPr>
                <w:rFonts w:ascii="Times New Roman" w:hAnsi="Times New Roman" w:eastAsia="宋体" w:cs="Times New Roman"/>
                <w:color w:val="auto"/>
                <w:spacing w:val="12"/>
                <w:sz w:val="24"/>
                <w:szCs w:val="24"/>
                <w:lang w:eastAsia="zh-CN"/>
              </w:rPr>
              <w:t>、</w:t>
            </w:r>
            <w:r>
              <w:rPr>
                <w:rFonts w:ascii="Times New Roman" w:hAnsi="Times New Roman" w:eastAsia="宋体" w:cs="Times New Roman"/>
                <w:color w:val="auto"/>
                <w:sz w:val="24"/>
                <w:szCs w:val="24"/>
                <w:lang w:eastAsia="zh-CN"/>
              </w:rPr>
              <w:t>SS</w:t>
            </w:r>
            <w:r>
              <w:rPr>
                <w:rFonts w:ascii="Times New Roman" w:hAnsi="Times New Roman" w:eastAsia="宋体" w:cs="Times New Roman"/>
                <w:color w:val="auto"/>
                <w:spacing w:val="12"/>
                <w:sz w:val="24"/>
                <w:szCs w:val="24"/>
                <w:lang w:eastAsia="zh-CN"/>
              </w:rPr>
              <w:t>、氨氮等污染物。</w:t>
            </w:r>
            <w:r>
              <w:rPr>
                <w:rFonts w:hint="eastAsia" w:ascii="Times New Roman" w:hAnsi="Times New Roman" w:eastAsia="宋体" w:cs="Times New Roman"/>
                <w:color w:val="auto"/>
                <w:spacing w:val="12"/>
                <w:sz w:val="24"/>
                <w:szCs w:val="24"/>
                <w:lang w:eastAsia="zh-CN"/>
              </w:rPr>
              <w:t>参照</w:t>
            </w:r>
            <w:r>
              <w:rPr>
                <w:rFonts w:ascii="Times New Roman" w:hAnsi="Times New Roman" w:eastAsia="宋体" w:cs="Times New Roman"/>
                <w:color w:val="auto"/>
                <w:sz w:val="24"/>
                <w:szCs w:val="24"/>
                <w:lang w:eastAsia="zh-CN"/>
              </w:rPr>
              <w:t>《云南省用水定额</w:t>
            </w:r>
            <w:r>
              <w:rPr>
                <w:rFonts w:ascii="Times New Roman" w:hAnsi="Times New Roman" w:eastAsia="宋体" w:cs="Times New Roman"/>
                <w:color w:val="auto"/>
                <w:spacing w:val="10"/>
                <w:sz w:val="24"/>
                <w:szCs w:val="24"/>
                <w:lang w:eastAsia="zh-CN"/>
              </w:rPr>
              <w:t>》</w:t>
            </w:r>
            <w:r>
              <w:rPr>
                <w:rFonts w:ascii="Times New Roman" w:hAnsi="Times New Roman" w:eastAsia="宋体" w:cs="Times New Roman"/>
                <w:color w:val="auto"/>
                <w:sz w:val="24"/>
                <w:szCs w:val="24"/>
                <w:lang w:eastAsia="zh-CN"/>
              </w:rPr>
              <w:t>（2019年版</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pacing w:val="-2"/>
                <w:sz w:val="24"/>
                <w:szCs w:val="24"/>
                <w:lang w:eastAsia="zh-CN"/>
              </w:rPr>
              <w:t>表12</w:t>
            </w:r>
            <w:r>
              <w:rPr>
                <w:rFonts w:hint="eastAsia" w:ascii="Times New Roman" w:hAnsi="Times New Roman" w:eastAsia="宋体" w:cs="Times New Roman"/>
                <w:color w:val="auto"/>
                <w:spacing w:val="-2"/>
                <w:sz w:val="24"/>
                <w:szCs w:val="24"/>
                <w:lang w:eastAsia="zh-CN"/>
              </w:rPr>
              <w:t>及项目实际情况，</w:t>
            </w:r>
            <w:r>
              <w:rPr>
                <w:rFonts w:hint="eastAsia" w:ascii="Times New Roman" w:hAnsi="Times New Roman" w:cs="Times New Roman"/>
                <w:color w:val="auto"/>
                <w:spacing w:val="7"/>
                <w:sz w:val="24"/>
                <w:szCs w:val="24"/>
                <w:lang w:eastAsia="zh-CN"/>
              </w:rPr>
              <w:t>本项目用水量为80L/（人·d），</w:t>
            </w:r>
            <w:r>
              <w:rPr>
                <w:rFonts w:ascii="Times New Roman" w:hAnsi="Times New Roman" w:eastAsia="宋体" w:cs="Times New Roman"/>
                <w:color w:val="auto"/>
                <w:spacing w:val="-3"/>
                <w:sz w:val="24"/>
                <w:szCs w:val="24"/>
                <w:lang w:eastAsia="zh-CN"/>
              </w:rPr>
              <w:t>则生</w:t>
            </w:r>
            <w:r>
              <w:rPr>
                <w:rFonts w:ascii="Times New Roman" w:hAnsi="Times New Roman" w:eastAsia="宋体" w:cs="Times New Roman"/>
                <w:color w:val="auto"/>
                <w:spacing w:val="-1"/>
                <w:sz w:val="24"/>
                <w:szCs w:val="24"/>
                <w:lang w:eastAsia="zh-CN"/>
              </w:rPr>
              <w:t>活用水量为</w:t>
            </w:r>
            <w:r>
              <w:rPr>
                <w:rFonts w:hint="eastAsia" w:ascii="Times New Roman" w:hAnsi="Times New Roman" w:eastAsia="宋体" w:cs="Times New Roman"/>
                <w:color w:val="auto"/>
                <w:spacing w:val="-1"/>
                <w:sz w:val="24"/>
                <w:szCs w:val="24"/>
                <w:lang w:eastAsia="zh-CN"/>
              </w:rPr>
              <w:t>2.24</w:t>
            </w:r>
            <w:r>
              <w:rPr>
                <w:rFonts w:ascii="Times New Roman" w:hAnsi="Times New Roman" w:eastAsia="宋体" w:cs="Times New Roman"/>
                <w:color w:val="auto"/>
                <w:spacing w:val="-1"/>
                <w:sz w:val="24"/>
                <w:szCs w:val="24"/>
                <w:lang w:eastAsia="zh-CN"/>
              </w:rPr>
              <w:t>m</w:t>
            </w:r>
            <w:r>
              <w:rPr>
                <w:rFonts w:hint="eastAsia" w:ascii="Times New Roman" w:hAnsi="Times New Roman" w:eastAsia="宋体" w:cs="Times New Roman"/>
                <w:color w:val="auto"/>
                <w:spacing w:val="-1"/>
                <w:sz w:val="24"/>
                <w:szCs w:val="24"/>
                <w:vertAlign w:val="superscript"/>
                <w:lang w:eastAsia="zh-CN"/>
              </w:rPr>
              <w:t>3</w:t>
            </w:r>
            <w:r>
              <w:rPr>
                <w:rFonts w:ascii="Times New Roman" w:hAnsi="Times New Roman" w:eastAsia="宋体" w:cs="Times New Roman"/>
                <w:color w:val="auto"/>
                <w:spacing w:val="-1"/>
                <w:sz w:val="24"/>
                <w:szCs w:val="24"/>
                <w:lang w:eastAsia="zh-CN"/>
              </w:rPr>
              <w:t>/d，</w:t>
            </w:r>
            <w:r>
              <w:rPr>
                <w:rFonts w:hint="eastAsia" w:ascii="Times New Roman" w:hAnsi="Times New Roman" w:eastAsia="宋体" w:cs="Times New Roman"/>
                <w:color w:val="auto"/>
                <w:spacing w:val="-1"/>
                <w:sz w:val="24"/>
                <w:szCs w:val="24"/>
                <w:lang w:eastAsia="zh-CN"/>
              </w:rPr>
              <w:t>739.2</w:t>
            </w:r>
            <w:r>
              <w:rPr>
                <w:rFonts w:ascii="Times New Roman" w:hAnsi="Times New Roman" w:eastAsia="宋体" w:cs="Times New Roman"/>
                <w:color w:val="auto"/>
                <w:spacing w:val="-1"/>
                <w:sz w:val="24"/>
                <w:szCs w:val="24"/>
                <w:lang w:eastAsia="zh-CN"/>
              </w:rPr>
              <w:t>m</w:t>
            </w:r>
            <w:r>
              <w:rPr>
                <w:rFonts w:hint="eastAsia" w:ascii="Times New Roman" w:hAnsi="Times New Roman" w:eastAsia="宋体" w:cs="Times New Roman"/>
                <w:color w:val="auto"/>
                <w:spacing w:val="-1"/>
                <w:sz w:val="24"/>
                <w:szCs w:val="24"/>
                <w:vertAlign w:val="superscript"/>
                <w:lang w:eastAsia="zh-CN"/>
              </w:rPr>
              <w:t>3</w:t>
            </w:r>
            <w:r>
              <w:rPr>
                <w:rFonts w:ascii="Times New Roman" w:hAnsi="Times New Roman" w:eastAsia="宋体" w:cs="Times New Roman"/>
                <w:color w:val="auto"/>
                <w:spacing w:val="-1"/>
                <w:sz w:val="24"/>
                <w:szCs w:val="24"/>
                <w:lang w:eastAsia="zh-CN"/>
              </w:rPr>
              <w:t>/a。生活污水产生系数按80%计算，则生活污水的产</w:t>
            </w:r>
            <w:r>
              <w:rPr>
                <w:rFonts w:ascii="Times New Roman" w:hAnsi="Times New Roman" w:eastAsia="宋体" w:cs="Times New Roman"/>
                <w:color w:val="auto"/>
                <w:spacing w:val="-3"/>
                <w:sz w:val="24"/>
                <w:szCs w:val="24"/>
                <w:lang w:eastAsia="zh-CN"/>
              </w:rPr>
              <w:t>生量为</w:t>
            </w:r>
            <w:r>
              <w:rPr>
                <w:rFonts w:hint="eastAsia" w:ascii="Times New Roman" w:hAnsi="Times New Roman" w:eastAsia="宋体" w:cs="Times New Roman"/>
                <w:color w:val="auto"/>
                <w:spacing w:val="-3"/>
                <w:sz w:val="24"/>
                <w:szCs w:val="24"/>
                <w:lang w:eastAsia="zh-CN"/>
              </w:rPr>
              <w:t>1.79</w:t>
            </w:r>
            <w:r>
              <w:rPr>
                <w:rFonts w:ascii="Times New Roman" w:hAnsi="Times New Roman" w:eastAsia="宋体" w:cs="Times New Roman"/>
                <w:color w:val="auto"/>
                <w:spacing w:val="-3"/>
                <w:sz w:val="24"/>
                <w:szCs w:val="24"/>
                <w:lang w:eastAsia="zh-CN"/>
              </w:rPr>
              <w:t>m</w:t>
            </w:r>
            <w:r>
              <w:rPr>
                <w:rFonts w:hint="eastAsia" w:ascii="Times New Roman" w:hAnsi="Times New Roman" w:eastAsia="宋体" w:cs="Times New Roman"/>
                <w:color w:val="auto"/>
                <w:spacing w:val="-3"/>
                <w:sz w:val="24"/>
                <w:szCs w:val="24"/>
                <w:vertAlign w:val="superscript"/>
                <w:lang w:eastAsia="zh-CN"/>
              </w:rPr>
              <w:t>3</w:t>
            </w:r>
            <w:r>
              <w:rPr>
                <w:rFonts w:ascii="Times New Roman" w:hAnsi="Times New Roman" w:eastAsia="宋体" w:cs="Times New Roman"/>
                <w:color w:val="auto"/>
                <w:spacing w:val="-3"/>
                <w:sz w:val="24"/>
                <w:szCs w:val="24"/>
                <w:lang w:eastAsia="zh-CN"/>
              </w:rPr>
              <w:t>/d，</w:t>
            </w:r>
            <w:r>
              <w:rPr>
                <w:rFonts w:hint="eastAsia" w:ascii="Times New Roman" w:hAnsi="Times New Roman" w:eastAsia="宋体" w:cs="Times New Roman"/>
                <w:color w:val="auto"/>
                <w:spacing w:val="-3"/>
                <w:sz w:val="24"/>
                <w:szCs w:val="24"/>
                <w:lang w:eastAsia="zh-CN"/>
              </w:rPr>
              <w:t>591.4</w:t>
            </w:r>
            <w:r>
              <w:rPr>
                <w:rFonts w:ascii="Times New Roman" w:hAnsi="Times New Roman" w:eastAsia="宋体" w:cs="Times New Roman"/>
                <w:color w:val="auto"/>
                <w:spacing w:val="-3"/>
                <w:sz w:val="24"/>
                <w:szCs w:val="24"/>
                <w:lang w:eastAsia="zh-CN"/>
              </w:rPr>
              <w:t>m</w:t>
            </w:r>
            <w:r>
              <w:rPr>
                <w:rFonts w:hint="eastAsia" w:ascii="Times New Roman" w:hAnsi="Times New Roman" w:eastAsia="宋体" w:cs="Times New Roman"/>
                <w:color w:val="auto"/>
                <w:spacing w:val="-3"/>
                <w:sz w:val="24"/>
                <w:szCs w:val="24"/>
                <w:vertAlign w:val="superscript"/>
                <w:lang w:eastAsia="zh-CN"/>
              </w:rPr>
              <w:t>3</w:t>
            </w:r>
            <w:r>
              <w:rPr>
                <w:rFonts w:ascii="Times New Roman" w:hAnsi="Times New Roman" w:eastAsia="宋体" w:cs="Times New Roman"/>
                <w:color w:val="auto"/>
                <w:spacing w:val="-3"/>
                <w:sz w:val="24"/>
                <w:szCs w:val="24"/>
                <w:lang w:eastAsia="zh-CN"/>
              </w:rPr>
              <w:t>/a</w:t>
            </w:r>
            <w:r>
              <w:rPr>
                <w:rFonts w:ascii="Times New Roman" w:hAnsi="Times New Roman" w:eastAsia="宋体" w:cs="Times New Roman"/>
                <w:color w:val="auto"/>
                <w:spacing w:val="-1"/>
                <w:sz w:val="24"/>
                <w:szCs w:val="24"/>
                <w:lang w:eastAsia="zh-CN"/>
              </w:rPr>
              <w:t>。</w:t>
            </w:r>
            <w:r>
              <w:rPr>
                <w:rFonts w:ascii="Times New Roman" w:hAnsi="Times New Roman" w:eastAsia="宋体" w:cs="Times New Roman"/>
                <w:color w:val="auto"/>
                <w:sz w:val="24"/>
                <w:szCs w:val="24"/>
                <w:lang w:eastAsia="zh-CN"/>
              </w:rPr>
              <w:t>项目用排水情况见表2-6。</w:t>
            </w:r>
          </w:p>
          <w:p>
            <w:pPr>
              <w:kinsoku/>
              <w:spacing w:line="360" w:lineRule="auto"/>
              <w:jc w:val="center"/>
              <w:rPr>
                <w:rFonts w:hint="eastAsia" w:ascii="宋体" w:hAnsi="宋体" w:eastAsia="宋体" w:cs="宋体"/>
                <w:b/>
                <w:bCs/>
                <w:color w:val="auto"/>
                <w:spacing w:val="-4"/>
                <w:kern w:val="2"/>
                <w:lang w:eastAsia="zh-CN"/>
              </w:rPr>
            </w:pPr>
            <w:r>
              <w:rPr>
                <w:rFonts w:hint="eastAsia" w:ascii="宋体" w:hAnsi="宋体" w:eastAsia="宋体" w:cs="宋体"/>
                <w:b/>
                <w:bCs/>
                <w:color w:val="auto"/>
                <w:spacing w:val="-4"/>
                <w:kern w:val="2"/>
                <w:lang w:eastAsia="zh-CN"/>
              </w:rPr>
              <w:t>表2-6 项目用、排水平衡表  单位：m</w:t>
            </w:r>
            <w:r>
              <w:rPr>
                <w:rFonts w:hint="eastAsia" w:ascii="宋体" w:hAnsi="宋体" w:eastAsia="宋体" w:cs="宋体"/>
                <w:b/>
                <w:bCs/>
                <w:color w:val="auto"/>
                <w:spacing w:val="-4"/>
                <w:kern w:val="2"/>
                <w:vertAlign w:val="superscript"/>
                <w:lang w:eastAsia="zh-CN"/>
              </w:rPr>
              <w:t>3</w:t>
            </w:r>
            <w:r>
              <w:rPr>
                <w:rFonts w:hint="eastAsia" w:ascii="宋体" w:hAnsi="宋体" w:eastAsia="宋体" w:cs="宋体"/>
                <w:b/>
                <w:bCs/>
                <w:color w:val="auto"/>
                <w:spacing w:val="-4"/>
                <w:kern w:val="2"/>
                <w:lang w:eastAsia="zh-CN"/>
              </w:rPr>
              <w:t>/d</w:t>
            </w:r>
          </w:p>
          <w:tbl>
            <w:tblPr>
              <w:tblStyle w:val="17"/>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079"/>
              <w:gridCol w:w="1064"/>
              <w:gridCol w:w="1104"/>
              <w:gridCol w:w="1077"/>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widowControl w:val="0"/>
                    <w:kinsoku/>
                    <w:jc w:val="center"/>
                    <w:rPr>
                      <w:color w:val="auto"/>
                      <w:lang w:eastAsia="zh-CN"/>
                    </w:rPr>
                  </w:pPr>
                  <w:r>
                    <w:rPr>
                      <w:rFonts w:hint="eastAsia"/>
                      <w:color w:val="auto"/>
                      <w:lang w:eastAsia="zh-CN"/>
                    </w:rPr>
                    <w:t>用水项目</w:t>
                  </w:r>
                </w:p>
              </w:tc>
              <w:tc>
                <w:tcPr>
                  <w:tcW w:w="2143" w:type="dxa"/>
                  <w:gridSpan w:val="2"/>
                  <w:vAlign w:val="center"/>
                </w:tcPr>
                <w:p>
                  <w:pPr>
                    <w:widowControl w:val="0"/>
                    <w:kinsoku/>
                    <w:jc w:val="center"/>
                    <w:rPr>
                      <w:color w:val="auto"/>
                      <w:lang w:eastAsia="zh-CN"/>
                    </w:rPr>
                  </w:pPr>
                  <w:r>
                    <w:rPr>
                      <w:rFonts w:hint="eastAsia"/>
                      <w:color w:val="auto"/>
                      <w:lang w:eastAsia="zh-CN"/>
                    </w:rPr>
                    <w:t>日用水量</w:t>
                  </w:r>
                </w:p>
              </w:tc>
              <w:tc>
                <w:tcPr>
                  <w:tcW w:w="2181" w:type="dxa"/>
                  <w:gridSpan w:val="2"/>
                  <w:vAlign w:val="center"/>
                </w:tcPr>
                <w:p>
                  <w:pPr>
                    <w:widowControl w:val="0"/>
                    <w:kinsoku/>
                    <w:jc w:val="center"/>
                    <w:rPr>
                      <w:color w:val="auto"/>
                      <w:lang w:eastAsia="zh-CN"/>
                    </w:rPr>
                  </w:pPr>
                  <w:r>
                    <w:rPr>
                      <w:rFonts w:hint="eastAsia"/>
                      <w:color w:val="auto"/>
                      <w:lang w:eastAsia="zh-CN"/>
                    </w:rPr>
                    <w:t>废水产生量</w:t>
                  </w:r>
                </w:p>
              </w:tc>
              <w:tc>
                <w:tcPr>
                  <w:tcW w:w="3220" w:type="dxa"/>
                  <w:vMerge w:val="restart"/>
                  <w:vAlign w:val="center"/>
                </w:tcPr>
                <w:p>
                  <w:pPr>
                    <w:widowControl w:val="0"/>
                    <w:kinsoku/>
                    <w:jc w:val="center"/>
                    <w:rPr>
                      <w:color w:val="auto"/>
                      <w:lang w:eastAsia="zh-CN"/>
                    </w:rPr>
                  </w:pPr>
                  <w:r>
                    <w:rPr>
                      <w:rFonts w:hint="eastAsia"/>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widowControl w:val="0"/>
                    <w:kinsoku/>
                    <w:jc w:val="center"/>
                    <w:rPr>
                      <w:color w:val="auto"/>
                      <w:lang w:eastAsia="zh-CN"/>
                    </w:rPr>
                  </w:pPr>
                </w:p>
              </w:tc>
              <w:tc>
                <w:tcPr>
                  <w:tcW w:w="1079" w:type="dxa"/>
                  <w:vAlign w:val="center"/>
                </w:tcPr>
                <w:p>
                  <w:pPr>
                    <w:widowControl w:val="0"/>
                    <w:kinsoku/>
                    <w:jc w:val="center"/>
                    <w:rPr>
                      <w:color w:val="auto"/>
                      <w:lang w:eastAsia="zh-CN"/>
                    </w:rPr>
                  </w:pPr>
                  <w:r>
                    <w:rPr>
                      <w:rFonts w:hint="eastAsia"/>
                      <w:color w:val="auto"/>
                      <w:lang w:eastAsia="zh-CN"/>
                    </w:rPr>
                    <w:t>来源</w:t>
                  </w:r>
                </w:p>
              </w:tc>
              <w:tc>
                <w:tcPr>
                  <w:tcW w:w="1064" w:type="dxa"/>
                  <w:vAlign w:val="center"/>
                </w:tcPr>
                <w:p>
                  <w:pPr>
                    <w:widowControl w:val="0"/>
                    <w:kinsoku/>
                    <w:jc w:val="center"/>
                    <w:rPr>
                      <w:color w:val="auto"/>
                      <w:lang w:eastAsia="zh-CN"/>
                    </w:rPr>
                  </w:pPr>
                  <w:r>
                    <w:rPr>
                      <w:rFonts w:hint="eastAsia"/>
                      <w:color w:val="auto"/>
                      <w:lang w:eastAsia="zh-CN"/>
                    </w:rPr>
                    <w:t>用水量</w:t>
                  </w:r>
                </w:p>
              </w:tc>
              <w:tc>
                <w:tcPr>
                  <w:tcW w:w="1104" w:type="dxa"/>
                  <w:vAlign w:val="center"/>
                </w:tcPr>
                <w:p>
                  <w:pPr>
                    <w:widowControl w:val="0"/>
                    <w:kinsoku/>
                    <w:jc w:val="center"/>
                    <w:rPr>
                      <w:color w:val="auto"/>
                      <w:lang w:eastAsia="zh-CN"/>
                    </w:rPr>
                  </w:pPr>
                  <w:r>
                    <w:rPr>
                      <w:rFonts w:hint="eastAsia"/>
                      <w:color w:val="auto"/>
                      <w:lang w:eastAsia="zh-CN"/>
                    </w:rPr>
                    <w:t>去向</w:t>
                  </w:r>
                </w:p>
              </w:tc>
              <w:tc>
                <w:tcPr>
                  <w:tcW w:w="1077" w:type="dxa"/>
                  <w:vAlign w:val="center"/>
                </w:tcPr>
                <w:p>
                  <w:pPr>
                    <w:widowControl w:val="0"/>
                    <w:kinsoku/>
                    <w:jc w:val="center"/>
                    <w:rPr>
                      <w:color w:val="auto"/>
                      <w:lang w:eastAsia="zh-CN"/>
                    </w:rPr>
                  </w:pPr>
                  <w:r>
                    <w:rPr>
                      <w:rFonts w:hint="eastAsia"/>
                      <w:color w:val="auto"/>
                      <w:lang w:eastAsia="zh-CN"/>
                    </w:rPr>
                    <w:t>水量</w:t>
                  </w:r>
                </w:p>
              </w:tc>
              <w:tc>
                <w:tcPr>
                  <w:tcW w:w="3220" w:type="dxa"/>
                  <w:vMerge w:val="continue"/>
                  <w:vAlign w:val="center"/>
                </w:tcPr>
                <w:p>
                  <w:pPr>
                    <w:widowControl w:val="0"/>
                    <w:kinsoku/>
                    <w:jc w:val="center"/>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shd w:val="clear" w:color="auto" w:fill="auto"/>
                  <w:vAlign w:val="center"/>
                </w:tcPr>
                <w:p>
                  <w:pPr>
                    <w:widowControl w:val="0"/>
                    <w:kinsoku/>
                    <w:jc w:val="center"/>
                    <w:rPr>
                      <w:color w:val="auto"/>
                      <w:lang w:eastAsia="zh-CN"/>
                    </w:rPr>
                  </w:pPr>
                  <w:r>
                    <w:rPr>
                      <w:rFonts w:hint="eastAsia"/>
                      <w:color w:val="auto"/>
                      <w:lang w:eastAsia="zh-CN"/>
                    </w:rPr>
                    <w:t>生活用水</w:t>
                  </w:r>
                </w:p>
              </w:tc>
              <w:tc>
                <w:tcPr>
                  <w:tcW w:w="1079" w:type="dxa"/>
                  <w:shd w:val="clear" w:color="auto" w:fill="auto"/>
                  <w:vAlign w:val="center"/>
                </w:tcPr>
                <w:p>
                  <w:pPr>
                    <w:widowControl w:val="0"/>
                    <w:kinsoku/>
                    <w:jc w:val="center"/>
                    <w:rPr>
                      <w:color w:val="auto"/>
                      <w:lang w:eastAsia="zh-CN"/>
                    </w:rPr>
                  </w:pPr>
                  <w:r>
                    <w:rPr>
                      <w:rFonts w:hint="eastAsia"/>
                      <w:color w:val="auto"/>
                      <w:lang w:eastAsia="zh-CN"/>
                    </w:rPr>
                    <w:t>新鲜水</w:t>
                  </w:r>
                </w:p>
              </w:tc>
              <w:tc>
                <w:tcPr>
                  <w:tcW w:w="1064" w:type="dxa"/>
                  <w:shd w:val="clear" w:color="auto" w:fill="auto"/>
                  <w:vAlign w:val="center"/>
                </w:tcPr>
                <w:p>
                  <w:pPr>
                    <w:widowControl w:val="0"/>
                    <w:kinsoku/>
                    <w:jc w:val="center"/>
                    <w:rPr>
                      <w:color w:val="auto"/>
                      <w:lang w:eastAsia="zh-CN"/>
                    </w:rPr>
                  </w:pPr>
                  <w:r>
                    <w:rPr>
                      <w:rFonts w:hint="eastAsia"/>
                      <w:color w:val="auto"/>
                      <w:lang w:eastAsia="zh-CN"/>
                    </w:rPr>
                    <w:t>2.24</w:t>
                  </w:r>
                </w:p>
              </w:tc>
              <w:tc>
                <w:tcPr>
                  <w:tcW w:w="1104" w:type="dxa"/>
                  <w:shd w:val="clear" w:color="auto" w:fill="auto"/>
                  <w:vAlign w:val="center"/>
                </w:tcPr>
                <w:p>
                  <w:pPr>
                    <w:widowControl w:val="0"/>
                    <w:kinsoku/>
                    <w:jc w:val="center"/>
                    <w:rPr>
                      <w:color w:val="auto"/>
                      <w:lang w:eastAsia="zh-CN"/>
                    </w:rPr>
                  </w:pPr>
                  <w:r>
                    <w:rPr>
                      <w:rFonts w:hint="eastAsia"/>
                      <w:color w:val="auto"/>
                      <w:lang w:eastAsia="zh-CN"/>
                    </w:rPr>
                    <w:t>污水管网</w:t>
                  </w:r>
                </w:p>
              </w:tc>
              <w:tc>
                <w:tcPr>
                  <w:tcW w:w="1077" w:type="dxa"/>
                  <w:shd w:val="clear" w:color="auto" w:fill="auto"/>
                  <w:vAlign w:val="center"/>
                </w:tcPr>
                <w:p>
                  <w:pPr>
                    <w:widowControl w:val="0"/>
                    <w:kinsoku/>
                    <w:jc w:val="center"/>
                    <w:rPr>
                      <w:color w:val="auto"/>
                      <w:lang w:eastAsia="zh-CN"/>
                    </w:rPr>
                  </w:pPr>
                  <w:r>
                    <w:rPr>
                      <w:rFonts w:hint="eastAsia"/>
                      <w:color w:val="auto"/>
                      <w:lang w:eastAsia="zh-CN"/>
                    </w:rPr>
                    <w:t>1.79</w:t>
                  </w:r>
                </w:p>
              </w:tc>
              <w:tc>
                <w:tcPr>
                  <w:tcW w:w="3220" w:type="dxa"/>
                  <w:vAlign w:val="center"/>
                </w:tcPr>
                <w:p>
                  <w:pPr>
                    <w:widowControl w:val="0"/>
                    <w:kinsoku/>
                    <w:jc w:val="center"/>
                    <w:rPr>
                      <w:color w:val="auto"/>
                      <w:lang w:eastAsia="zh-CN"/>
                    </w:rPr>
                  </w:pPr>
                  <w:r>
                    <w:rPr>
                      <w:rFonts w:hint="eastAsia"/>
                      <w:color w:val="auto"/>
                      <w:lang w:eastAsia="zh-CN"/>
                    </w:rPr>
                    <w:t>经杨林工业园区污水管网，最终进入嵩明县第二污水处理厂</w:t>
                  </w:r>
                </w:p>
              </w:tc>
            </w:tr>
          </w:tbl>
          <w:p>
            <w:pPr>
              <w:pStyle w:val="22"/>
              <w:kinsoku/>
              <w:spacing w:before="181" w:line="354" w:lineRule="auto"/>
              <w:ind w:left="104" w:right="102" w:firstLine="489"/>
              <w:rPr>
                <w:rFonts w:hint="eastAsia"/>
                <w:color w:val="auto"/>
                <w:spacing w:val="-2"/>
                <w:lang w:eastAsia="zh-CN"/>
              </w:rPr>
            </w:pPr>
            <w:r>
              <w:rPr>
                <w:color w:val="auto"/>
                <w:spacing w:val="-2"/>
                <w:lang w:eastAsia="zh-CN"/>
              </w:rPr>
              <w:t>项目水量平衡图见图</w:t>
            </w:r>
            <w:r>
              <w:rPr>
                <w:rFonts w:ascii="Times New Roman" w:hAnsi="Times New Roman" w:eastAsia="Times New Roman" w:cs="Times New Roman"/>
                <w:color w:val="auto"/>
                <w:spacing w:val="-2"/>
                <w:lang w:eastAsia="zh-CN"/>
              </w:rPr>
              <w:t>2-</w:t>
            </w:r>
            <w:r>
              <w:rPr>
                <w:rFonts w:hint="eastAsia" w:ascii="Times New Roman" w:hAnsi="Times New Roman" w:cs="Times New Roman"/>
                <w:color w:val="auto"/>
                <w:spacing w:val="-2"/>
                <w:lang w:eastAsia="zh-CN"/>
              </w:rPr>
              <w:t>1</w:t>
            </w:r>
            <w:r>
              <w:rPr>
                <w:color w:val="auto"/>
                <w:spacing w:val="-2"/>
                <w:lang w:eastAsia="zh-CN"/>
              </w:rPr>
              <w:t>。</w:t>
            </w:r>
          </w:p>
          <w:p>
            <w:pPr>
              <w:pStyle w:val="22"/>
              <w:kinsoku/>
              <w:spacing w:before="181" w:line="354" w:lineRule="auto"/>
              <w:ind w:left="104" w:right="102" w:firstLine="116"/>
              <w:rPr>
                <w:rFonts w:hint="eastAsia"/>
                <w:color w:val="auto"/>
                <w:spacing w:val="-2"/>
                <w:lang w:eastAsia="zh-CN"/>
              </w:rPr>
            </w:pPr>
            <w:r>
              <w:rPr>
                <w:rFonts w:hint="eastAsia"/>
                <w:color w:val="auto"/>
                <w:spacing w:val="-2"/>
                <w:lang w:eastAsia="zh-CN"/>
              </w:rPr>
              <w:drawing>
                <wp:inline distT="0" distB="0" distL="114300" distR="114300">
                  <wp:extent cx="4902835" cy="1059815"/>
                  <wp:effectExtent l="0" t="0" r="0" b="0"/>
                  <wp:docPr id="3" name="ECB019B1-382A-4266-B25C-5B523AA43C14-1" descr="C:/Users/asus/AppData/Local/Temp/wps.QalfC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sus/AppData/Local/Temp/wps.QalfCOwps"/>
                          <pic:cNvPicPr>
                            <a:picLocks noChangeAspect="1"/>
                          </pic:cNvPicPr>
                        </pic:nvPicPr>
                        <pic:blipFill>
                          <a:blip r:embed="rId20"/>
                          <a:stretch>
                            <a:fillRect/>
                          </a:stretch>
                        </pic:blipFill>
                        <pic:spPr>
                          <a:xfrm>
                            <a:off x="0" y="0"/>
                            <a:ext cx="4902835" cy="1059815"/>
                          </a:xfrm>
                          <a:prstGeom prst="rect">
                            <a:avLst/>
                          </a:prstGeom>
                        </pic:spPr>
                      </pic:pic>
                    </a:graphicData>
                  </a:graphic>
                </wp:inline>
              </w:drawing>
            </w:r>
          </w:p>
          <w:p>
            <w:pPr>
              <w:pStyle w:val="22"/>
              <w:kinsoku/>
              <w:spacing w:before="158" w:line="219" w:lineRule="auto"/>
              <w:ind w:left="220"/>
              <w:jc w:val="center"/>
              <w:rPr>
                <w:rFonts w:ascii="Times New Roman" w:hAnsi="Times New Roman" w:eastAsia="Times New Roman" w:cs="Times New Roman"/>
                <w:color w:val="auto"/>
                <w:sz w:val="21"/>
                <w:szCs w:val="21"/>
                <w:lang w:eastAsia="zh-CN"/>
              </w:rPr>
            </w:pPr>
            <w:r>
              <w:rPr>
                <w:b/>
                <w:bCs/>
                <w:color w:val="auto"/>
                <w:spacing w:val="-3"/>
                <w:sz w:val="21"/>
                <w:szCs w:val="21"/>
                <w:lang w:eastAsia="zh-CN"/>
              </w:rPr>
              <w:t>图</w:t>
            </w:r>
            <w:r>
              <w:rPr>
                <w:rFonts w:ascii="Times New Roman" w:hAnsi="Times New Roman" w:eastAsia="Times New Roman" w:cs="Times New Roman"/>
                <w:b/>
                <w:bCs/>
                <w:color w:val="auto"/>
                <w:spacing w:val="-3"/>
                <w:sz w:val="21"/>
                <w:szCs w:val="21"/>
                <w:lang w:eastAsia="zh-CN"/>
              </w:rPr>
              <w:t>2-</w:t>
            </w:r>
            <w:r>
              <w:rPr>
                <w:rFonts w:hint="eastAsia" w:ascii="Times New Roman" w:hAnsi="Times New Roman" w:eastAsia="Times New Roman" w:cs="Times New Roman"/>
                <w:b/>
                <w:bCs/>
                <w:color w:val="auto"/>
                <w:spacing w:val="-3"/>
                <w:sz w:val="21"/>
                <w:szCs w:val="21"/>
                <w:lang w:eastAsia="zh-CN"/>
              </w:rPr>
              <w:t>1</w:t>
            </w:r>
            <w:r>
              <w:rPr>
                <w:rFonts w:hint="eastAsia" w:ascii="Times New Roman" w:hAnsi="Times New Roman" w:cs="Times New Roman"/>
                <w:b/>
                <w:bCs/>
                <w:color w:val="auto"/>
                <w:spacing w:val="-3"/>
                <w:sz w:val="21"/>
                <w:szCs w:val="21"/>
                <w:lang w:eastAsia="zh-CN"/>
              </w:rPr>
              <w:t xml:space="preserve"> </w:t>
            </w:r>
            <w:r>
              <w:rPr>
                <w:b/>
                <w:bCs/>
                <w:color w:val="auto"/>
                <w:spacing w:val="-3"/>
                <w:sz w:val="21"/>
                <w:szCs w:val="21"/>
                <w:lang w:eastAsia="zh-CN"/>
              </w:rPr>
              <w:t>项目水量平衡图</w:t>
            </w:r>
            <w:r>
              <w:rPr>
                <w:rFonts w:hint="eastAsia"/>
                <w:b/>
                <w:bCs/>
                <w:color w:val="auto"/>
                <w:spacing w:val="-3"/>
                <w:sz w:val="21"/>
                <w:szCs w:val="21"/>
                <w:lang w:eastAsia="zh-CN"/>
              </w:rPr>
              <w:t xml:space="preserve"> </w:t>
            </w:r>
            <w:r>
              <w:rPr>
                <w:b/>
                <w:bCs/>
                <w:color w:val="auto"/>
                <w:spacing w:val="-3"/>
                <w:sz w:val="21"/>
                <w:szCs w:val="21"/>
                <w:lang w:eastAsia="zh-CN"/>
              </w:rPr>
              <w:t>单位：</w:t>
            </w:r>
            <w:r>
              <w:rPr>
                <w:rFonts w:ascii="Times New Roman" w:hAnsi="Times New Roman" w:eastAsia="Times New Roman" w:cs="Times New Roman"/>
                <w:b/>
                <w:bCs/>
                <w:color w:val="auto"/>
                <w:spacing w:val="-3"/>
                <w:sz w:val="21"/>
                <w:szCs w:val="21"/>
                <w:lang w:eastAsia="zh-CN"/>
              </w:rPr>
              <w:t>m</w:t>
            </w:r>
            <w:r>
              <w:rPr>
                <w:rFonts w:hint="eastAsia" w:ascii="Times New Roman" w:hAnsi="Times New Roman" w:eastAsia="Times New Roman" w:cs="Times New Roman"/>
                <w:b/>
                <w:bCs/>
                <w:color w:val="auto"/>
                <w:spacing w:val="-3"/>
                <w:sz w:val="21"/>
                <w:szCs w:val="21"/>
                <w:vertAlign w:val="superscript"/>
                <w:lang w:eastAsia="zh-CN"/>
              </w:rPr>
              <w:t>3</w:t>
            </w:r>
            <w:r>
              <w:rPr>
                <w:rFonts w:ascii="Times New Roman" w:hAnsi="Times New Roman" w:eastAsia="Times New Roman" w:cs="Times New Roman"/>
                <w:b/>
                <w:bCs/>
                <w:color w:val="auto"/>
                <w:spacing w:val="-3"/>
                <w:sz w:val="21"/>
                <w:szCs w:val="21"/>
                <w:lang w:eastAsia="zh-CN"/>
              </w:rPr>
              <w:t>/d</w:t>
            </w:r>
          </w:p>
          <w:p>
            <w:pPr>
              <w:pStyle w:val="22"/>
              <w:numPr>
                <w:ilvl w:val="0"/>
                <w:numId w:val="4"/>
              </w:numPr>
              <w:kinsoku/>
              <w:spacing w:before="180" w:line="360" w:lineRule="auto"/>
              <w:ind w:left="588"/>
              <w:rPr>
                <w:rFonts w:hint="eastAsia"/>
                <w:b/>
                <w:bCs/>
                <w:color w:val="auto"/>
                <w:spacing w:val="-4"/>
                <w:lang w:eastAsia="zh-CN"/>
              </w:rPr>
            </w:pPr>
            <w:r>
              <w:rPr>
                <w:rFonts w:hint="eastAsia"/>
                <w:b/>
                <w:bCs/>
                <w:color w:val="auto"/>
                <w:spacing w:val="-4"/>
                <w:lang w:eastAsia="zh-CN"/>
              </w:rPr>
              <w:t>物料平衡</w:t>
            </w:r>
          </w:p>
          <w:p>
            <w:pPr>
              <w:kinsoku/>
              <w:spacing w:line="360" w:lineRule="auto"/>
              <w:ind w:firstLine="480" w:firstLineChars="200"/>
              <w:rPr>
                <w:color w:val="auto"/>
                <w:lang w:eastAsia="zh-CN"/>
              </w:rPr>
            </w:pPr>
            <w:r>
              <w:rPr>
                <w:rFonts w:ascii="Times New Roman" w:hAnsi="Times New Roman" w:eastAsia="宋体" w:cs="Times New Roman"/>
                <w:color w:val="auto"/>
                <w:sz w:val="24"/>
                <w:szCs w:val="24"/>
                <w:lang w:eastAsia="zh-CN"/>
              </w:rPr>
              <w:t>本项目设计</w:t>
            </w:r>
            <w:r>
              <w:rPr>
                <w:rFonts w:hint="eastAsia" w:ascii="Times New Roman" w:hAnsi="Times New Roman" w:eastAsia="宋体" w:cs="Times New Roman"/>
                <w:color w:val="auto"/>
                <w:sz w:val="24"/>
                <w:szCs w:val="24"/>
                <w:lang w:eastAsia="zh-CN"/>
              </w:rPr>
              <w:t>年加工家具板8万平方，生产损耗约13%</w:t>
            </w:r>
            <w:r>
              <w:rPr>
                <w:rFonts w:ascii="Times New Roman" w:hAnsi="Times New Roman" w:eastAsia="宋体" w:cs="Times New Roman"/>
                <w:color w:val="auto"/>
                <w:sz w:val="24"/>
                <w:szCs w:val="24"/>
                <w:lang w:eastAsia="zh-CN"/>
              </w:rPr>
              <w:t>。本项目全厂生产线物料平衡见下表。</w:t>
            </w:r>
          </w:p>
          <w:p>
            <w:pPr>
              <w:pStyle w:val="22"/>
              <w:widowControl w:val="0"/>
              <w:kinsoku/>
              <w:spacing w:before="180" w:line="219" w:lineRule="auto"/>
              <w:jc w:val="center"/>
              <w:rPr>
                <w:rFonts w:hint="eastAsia"/>
                <w:b/>
                <w:bCs/>
                <w:color w:val="auto"/>
                <w:spacing w:val="-4"/>
                <w:lang w:eastAsia="zh-CN"/>
              </w:rPr>
            </w:pPr>
            <w:r>
              <w:rPr>
                <w:rFonts w:hint="eastAsia"/>
                <w:b/>
                <w:bCs/>
                <w:color w:val="auto"/>
                <w:spacing w:val="-4"/>
                <w:sz w:val="21"/>
                <w:szCs w:val="21"/>
                <w:lang w:eastAsia="zh-CN"/>
              </w:rPr>
              <w:t>表2-7 项目生产物料平衡表</w:t>
            </w:r>
          </w:p>
          <w:tbl>
            <w:tblPr>
              <w:tblStyle w:val="17"/>
              <w:tblW w:w="4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186"/>
              <w:gridCol w:w="1124"/>
              <w:gridCol w:w="1528"/>
              <w:gridCol w:w="1978"/>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9" w:type="pct"/>
                  <w:gridSpan w:val="3"/>
                  <w:vAlign w:val="center"/>
                </w:tcPr>
                <w:p>
                  <w:pPr>
                    <w:widowControl w:val="0"/>
                    <w:kinsoku/>
                    <w:jc w:val="center"/>
                    <w:rPr>
                      <w:rFonts w:ascii="Times New Roman" w:hAnsi="Times New Roman" w:cs="Times New Roman"/>
                      <w:color w:val="auto"/>
                      <w:lang w:eastAsia="zh-CN"/>
                    </w:rPr>
                  </w:pPr>
                  <w:r>
                    <w:rPr>
                      <w:rFonts w:ascii="Times New Roman" w:hAnsi="Times New Roman" w:cs="Times New Roman"/>
                      <w:color w:val="auto"/>
                      <w:lang w:eastAsia="zh-CN"/>
                    </w:rPr>
                    <w:t>投入</w:t>
                  </w:r>
                </w:p>
              </w:tc>
              <w:tc>
                <w:tcPr>
                  <w:tcW w:w="2820" w:type="pct"/>
                  <w:gridSpan w:val="3"/>
                  <w:vAlign w:val="center"/>
                </w:tcPr>
                <w:p>
                  <w:pPr>
                    <w:widowControl w:val="0"/>
                    <w:kinsoku/>
                    <w:jc w:val="center"/>
                    <w:rPr>
                      <w:rFonts w:ascii="Times New Roman" w:hAnsi="Times New Roman" w:cs="Times New Roman"/>
                      <w:color w:val="auto"/>
                      <w:lang w:eastAsia="zh-CN"/>
                    </w:rPr>
                  </w:pPr>
                  <w:r>
                    <w:rPr>
                      <w:rFonts w:ascii="Times New Roman" w:hAnsi="Times New Roman" w:cs="Times New Roman"/>
                      <w:color w:val="auto"/>
                      <w:lang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名称</w:t>
                  </w:r>
                </w:p>
              </w:tc>
              <w:tc>
                <w:tcPr>
                  <w:tcW w:w="722"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规格</w:t>
                  </w:r>
                </w:p>
              </w:tc>
              <w:tc>
                <w:tcPr>
                  <w:tcW w:w="684"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用量（</w:t>
                  </w:r>
                  <w:r>
                    <w:rPr>
                      <w:rFonts w:hint="eastAsia" w:ascii="Times New Roman" w:hAnsi="Times New Roman" w:eastAsia="宋体" w:cs="Times New Roman"/>
                      <w:color w:val="auto"/>
                      <w:lang w:eastAsia="zh-CN"/>
                    </w:rPr>
                    <w:t>t</w:t>
                  </w:r>
                  <w:r>
                    <w:rPr>
                      <w:rFonts w:hint="eastAsia" w:ascii="Times New Roman" w:hAnsi="Times New Roman" w:cs="Times New Roman"/>
                      <w:color w:val="auto"/>
                      <w:lang w:eastAsia="zh-CN"/>
                    </w:rPr>
                    <w:t>）</w:t>
                  </w:r>
                </w:p>
              </w:tc>
              <w:tc>
                <w:tcPr>
                  <w:tcW w:w="930"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名称</w:t>
                  </w:r>
                </w:p>
              </w:tc>
              <w:tc>
                <w:tcPr>
                  <w:tcW w:w="1204"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规格</w:t>
                  </w:r>
                </w:p>
              </w:tc>
              <w:tc>
                <w:tcPr>
                  <w:tcW w:w="684"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产量（</w:t>
                  </w:r>
                  <w:r>
                    <w:rPr>
                      <w:rFonts w:hint="eastAsia" w:ascii="Times New Roman" w:hAnsi="Times New Roman" w:eastAsia="宋体" w:cs="Times New Roman"/>
                      <w:color w:val="auto"/>
                      <w:lang w:eastAsia="zh-CN"/>
                    </w:rPr>
                    <w:t>t</w:t>
                  </w:r>
                  <w:r>
                    <w:rPr>
                      <w:rFonts w:hint="eastAsia"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欧松板</w:t>
                  </w: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1220*2740*18mm</w:t>
                  </w:r>
                </w:p>
              </w:tc>
              <w:tc>
                <w:tcPr>
                  <w:tcW w:w="684" w:type="pct"/>
                  <w:shd w:val="clear" w:color="auto" w:fill="auto"/>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42.3</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组合家具</w:t>
                  </w:r>
                </w:p>
              </w:tc>
              <w:tc>
                <w:tcPr>
                  <w:tcW w:w="120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根据市场需求定制</w:t>
                  </w:r>
                </w:p>
              </w:tc>
              <w:tc>
                <w:tcPr>
                  <w:tcW w:w="684" w:type="pct"/>
                  <w:shd w:val="clear" w:color="auto" w:fill="auto"/>
                  <w:vAlign w:val="center"/>
                </w:tcPr>
                <w:p>
                  <w:pPr>
                    <w:widowControl w:val="0"/>
                    <w:kinsoku/>
                    <w:jc w:val="center"/>
                    <w:textAlignment w:val="auto"/>
                    <w:rPr>
                      <w:rFonts w:ascii="Times New Roman" w:hAnsi="Times New Roman" w:cs="Times New Roman"/>
                      <w:color w:val="auto"/>
                      <w:lang w:eastAsia="zh-CN"/>
                    </w:rPr>
                  </w:pPr>
                  <w:r>
                    <w:rPr>
                      <w:rFonts w:hint="eastAsia" w:ascii="Times New Roman" w:hAnsi="Times New Roman" w:cs="Times New Roman"/>
                      <w:color w:val="auto"/>
                      <w:lang w:eastAsia="zh-CN" w:bidi="ar"/>
                    </w:rPr>
                    <w:t>742.54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颗粒板</w:t>
                  </w: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1220*2440*18mm</w:t>
                  </w:r>
                </w:p>
              </w:tc>
              <w:tc>
                <w:tcPr>
                  <w:tcW w:w="684" w:type="pct"/>
                  <w:shd w:val="clear" w:color="auto" w:fill="auto"/>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582.3</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cs="Times New Roman"/>
                      <w:color w:val="auto"/>
                      <w:lang w:eastAsia="zh-CN"/>
                    </w:rPr>
                    <w:t>废边角料</w:t>
                  </w:r>
                </w:p>
              </w:tc>
              <w:tc>
                <w:tcPr>
                  <w:tcW w:w="1204"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准分子</w:t>
                  </w:r>
                  <w:r>
                    <w:rPr>
                      <w:rFonts w:hint="eastAsia" w:ascii="Times New Roman" w:hAnsi="Times New Roman" w:eastAsia="宋体" w:cs="Times New Roman"/>
                      <w:color w:val="auto"/>
                      <w:lang w:eastAsia="zh-CN"/>
                    </w:rPr>
                    <w:t>板</w:t>
                  </w: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1220*2740*22mm</w:t>
                  </w:r>
                </w:p>
              </w:tc>
              <w:tc>
                <w:tcPr>
                  <w:tcW w:w="684" w:type="pct"/>
                  <w:shd w:val="clear" w:color="auto" w:fill="auto"/>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13.2</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不合格产品</w:t>
                  </w:r>
                </w:p>
              </w:tc>
              <w:tc>
                <w:tcPr>
                  <w:tcW w:w="1204" w:type="pct"/>
                  <w:shd w:val="clear" w:color="auto" w:fill="auto"/>
                  <w:vAlign w:val="center"/>
                </w:tcPr>
                <w:p>
                  <w:pPr>
                    <w:widowControl w:val="0"/>
                    <w:kinsoku/>
                    <w:jc w:val="center"/>
                    <w:rPr>
                      <w:rFonts w:ascii="Times New Roman" w:hAnsi="Times New Roman"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93.423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多层板</w:t>
                  </w: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1220*2440*18mm</w:t>
                  </w:r>
                </w:p>
              </w:tc>
              <w:tc>
                <w:tcPr>
                  <w:tcW w:w="684" w:type="pct"/>
                  <w:shd w:val="clear" w:color="auto" w:fill="auto"/>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211.5</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中央除尘系统收尘</w:t>
                  </w:r>
                </w:p>
              </w:tc>
              <w:tc>
                <w:tcPr>
                  <w:tcW w:w="1204" w:type="pct"/>
                  <w:shd w:val="clear" w:color="auto" w:fill="auto"/>
                  <w:vAlign w:val="center"/>
                </w:tcPr>
                <w:p>
                  <w:pPr>
                    <w:widowControl w:val="0"/>
                    <w:kinsoku/>
                    <w:jc w:val="center"/>
                    <w:rPr>
                      <w:rFonts w:ascii="Times New Roman" w:hAnsi="Times New Roman"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cs="Times New Roman"/>
                      <w:color w:val="auto"/>
                      <w:lang w:eastAsia="zh-CN"/>
                    </w:rPr>
                    <w:t>0.2061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封边胶</w:t>
                  </w: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排放的废气</w:t>
                  </w:r>
                </w:p>
              </w:tc>
              <w:tc>
                <w:tcPr>
                  <w:tcW w:w="1204"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722"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废胶</w:t>
                  </w:r>
                </w:p>
              </w:tc>
              <w:tc>
                <w:tcPr>
                  <w:tcW w:w="1204"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pPr>
                    <w:widowControl w:val="0"/>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合计</w:t>
                  </w:r>
                </w:p>
              </w:tc>
              <w:tc>
                <w:tcPr>
                  <w:tcW w:w="722" w:type="pct"/>
                  <w:vAlign w:val="center"/>
                </w:tcPr>
                <w:p>
                  <w:pPr>
                    <w:widowControl w:val="0"/>
                    <w:kinsoku/>
                    <w:jc w:val="center"/>
                    <w:rPr>
                      <w:rFonts w:ascii="Times New Roman" w:hAnsi="Times New Roman" w:cs="Times New Roman"/>
                      <w:color w:val="auto"/>
                      <w:lang w:eastAsia="zh-CN"/>
                    </w:rPr>
                  </w:pPr>
                </w:p>
              </w:tc>
              <w:tc>
                <w:tcPr>
                  <w:tcW w:w="684" w:type="pct"/>
                  <w:shd w:val="clear" w:color="auto" w:fill="auto"/>
                  <w:vAlign w:val="center"/>
                </w:tcPr>
                <w:p>
                  <w:pPr>
                    <w:widowControl/>
                    <w:kinsoku/>
                    <w:jc w:val="center"/>
                    <w:textAlignment w:val="center"/>
                    <w:rPr>
                      <w:rFonts w:ascii="Times New Roman" w:hAnsi="Times New Roman" w:eastAsia="宋体" w:cs="Times New Roman"/>
                      <w:color w:val="auto"/>
                      <w:sz w:val="22"/>
                      <w:szCs w:val="22"/>
                      <w:lang w:eastAsia="zh-CN"/>
                    </w:rPr>
                  </w:pPr>
                  <w:r>
                    <w:rPr>
                      <w:rFonts w:ascii="Times New Roman" w:hAnsi="Times New Roman" w:eastAsia="宋体" w:cs="Times New Roman"/>
                      <w:color w:val="auto"/>
                      <w:sz w:val="22"/>
                      <w:szCs w:val="22"/>
                      <w:lang w:eastAsia="zh-CN" w:bidi="ar"/>
                    </w:rPr>
                    <w:t>8</w:t>
                  </w:r>
                  <w:r>
                    <w:rPr>
                      <w:rFonts w:hint="eastAsia" w:ascii="Times New Roman" w:hAnsi="Times New Roman" w:eastAsia="宋体" w:cs="Times New Roman"/>
                      <w:color w:val="auto"/>
                      <w:sz w:val="22"/>
                      <w:szCs w:val="22"/>
                      <w:lang w:eastAsia="zh-CN" w:bidi="ar"/>
                    </w:rPr>
                    <w:t>53</w:t>
                  </w:r>
                  <w:r>
                    <w:rPr>
                      <w:rFonts w:ascii="Times New Roman" w:hAnsi="Times New Roman" w:eastAsia="宋体" w:cs="Times New Roman"/>
                      <w:color w:val="auto"/>
                      <w:sz w:val="22"/>
                      <w:szCs w:val="22"/>
                      <w:lang w:eastAsia="zh-CN" w:bidi="ar"/>
                    </w:rPr>
                    <w:t>.3</w:t>
                  </w:r>
                </w:p>
              </w:tc>
              <w:tc>
                <w:tcPr>
                  <w:tcW w:w="930"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1204"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684"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widowControl w:val="0"/>
                    <w:kinsoku/>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注：板材密度以500kg/m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计算，封边条</w:t>
                  </w:r>
                  <w:r>
                    <w:rPr>
                      <w:rFonts w:hint="eastAsia" w:ascii="Times New Roman" w:hAnsi="Times New Roman" w:eastAsia="宋体" w:cs="Times New Roman"/>
                      <w:color w:val="auto"/>
                      <w:lang w:eastAsia="zh-CN"/>
                    </w:rPr>
                    <w:t>用量较少且质量较轻，故</w:t>
                  </w:r>
                  <w:r>
                    <w:rPr>
                      <w:rFonts w:ascii="Times New Roman" w:hAnsi="Times New Roman" w:eastAsia="宋体" w:cs="Times New Roman"/>
                      <w:color w:val="auto"/>
                      <w:lang w:eastAsia="zh-CN"/>
                    </w:rPr>
                    <w:t>不参与物料平衡计算。</w:t>
                  </w:r>
                </w:p>
              </w:tc>
            </w:tr>
          </w:tbl>
          <w:p>
            <w:pPr>
              <w:pStyle w:val="22"/>
              <w:kinsoku/>
              <w:spacing w:before="180" w:line="219" w:lineRule="auto"/>
              <w:ind w:firstLine="465" w:firstLineChars="200"/>
              <w:rPr>
                <w:rFonts w:hint="eastAsia"/>
                <w:color w:val="auto"/>
                <w:lang w:eastAsia="zh-CN"/>
              </w:rPr>
            </w:pPr>
            <w:r>
              <w:rPr>
                <w:rFonts w:hint="eastAsia"/>
                <w:b/>
                <w:bCs/>
                <w:color w:val="auto"/>
                <w:spacing w:val="-4"/>
                <w:lang w:eastAsia="zh-CN"/>
              </w:rPr>
              <w:t>九</w:t>
            </w:r>
            <w:r>
              <w:rPr>
                <w:b/>
                <w:bCs/>
                <w:color w:val="auto"/>
                <w:spacing w:val="-4"/>
                <w:lang w:eastAsia="zh-CN"/>
              </w:rPr>
              <w:t>、总平面布置</w:t>
            </w:r>
          </w:p>
          <w:p>
            <w:pPr>
              <w:pStyle w:val="22"/>
              <w:kinsoku/>
              <w:spacing w:before="182" w:line="360" w:lineRule="auto"/>
              <w:ind w:left="109" w:right="104" w:firstLine="480"/>
              <w:rPr>
                <w:rFonts w:hint="eastAsia"/>
                <w:color w:val="auto"/>
                <w:lang w:eastAsia="zh-CN"/>
              </w:rPr>
            </w:pPr>
            <w:r>
              <w:rPr>
                <w:rFonts w:hint="eastAsia"/>
                <w:color w:val="auto"/>
                <w:spacing w:val="1"/>
                <w:lang w:eastAsia="zh-CN"/>
              </w:rPr>
              <w:t>项目租用昆明名健工贸有限公司已建钢结构厂房作为生产车间，厂房</w:t>
            </w:r>
            <w:r>
              <w:rPr>
                <w:color w:val="auto"/>
                <w:spacing w:val="1"/>
                <w:lang w:eastAsia="zh-CN"/>
              </w:rPr>
              <w:t>占地面积</w:t>
            </w:r>
            <w:r>
              <w:rPr>
                <w:rFonts w:hint="eastAsia" w:ascii="Times New Roman" w:hAnsi="Times New Roman" w:cs="Times New Roman"/>
                <w:color w:val="auto"/>
                <w:spacing w:val="1"/>
                <w:lang w:eastAsia="zh-CN"/>
              </w:rPr>
              <w:t>3400</w:t>
            </w:r>
            <w:r>
              <w:rPr>
                <w:rFonts w:ascii="Times New Roman" w:hAnsi="Times New Roman" w:eastAsia="Times New Roman" w:cs="Times New Roman"/>
                <w:color w:val="auto"/>
                <w:spacing w:val="1"/>
                <w:lang w:eastAsia="zh-CN"/>
              </w:rPr>
              <w:t>m</w:t>
            </w:r>
            <w:r>
              <w:rPr>
                <w:rFonts w:ascii="Times New Roman" w:hAnsi="Times New Roman" w:eastAsia="Times New Roman" w:cs="Times New Roman"/>
                <w:color w:val="auto"/>
                <w:spacing w:val="1"/>
                <w:position w:val="7"/>
                <w:sz w:val="15"/>
                <w:szCs w:val="15"/>
                <w:lang w:eastAsia="zh-CN"/>
              </w:rPr>
              <w:t>2</w:t>
            </w:r>
            <w:r>
              <w:rPr>
                <w:color w:val="auto"/>
                <w:spacing w:val="1"/>
                <w:lang w:eastAsia="zh-CN"/>
              </w:rPr>
              <w:t>，根据总平面布置原则，结合项目实际情况和场</w:t>
            </w:r>
            <w:r>
              <w:rPr>
                <w:color w:val="auto"/>
                <w:lang w:eastAsia="zh-CN"/>
              </w:rPr>
              <w:t>地自然状况，项目建设地的气候条件、主导风向等</w:t>
            </w:r>
            <w:r>
              <w:rPr>
                <w:color w:val="auto"/>
                <w:spacing w:val="-1"/>
                <w:lang w:eastAsia="zh-CN"/>
              </w:rPr>
              <w:t>因素，总平面布置如下：</w:t>
            </w:r>
          </w:p>
          <w:p>
            <w:pPr>
              <w:kinsoku/>
              <w:spacing w:line="360" w:lineRule="auto"/>
              <w:ind w:firstLine="638" w:firstLineChars="266"/>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产区：原料仓库位于整个钢结构厂房的西面，原料仓库西北侧依次是下料区、封边区，其他生产工序设置分东西两侧，东侧生产工序自北向南依次为开孔区、质检区、打包区和成品区；西侧生产工序自北向南依次为分拣区和成品区</w:t>
            </w:r>
            <w:r>
              <w:rPr>
                <w:rFonts w:ascii="Times New Roman" w:hAnsi="Times New Roman" w:eastAsia="宋体" w:cs="Times New Roman"/>
                <w:color w:val="auto"/>
                <w:sz w:val="24"/>
                <w:szCs w:val="24"/>
                <w:lang w:eastAsia="zh-CN"/>
              </w:rPr>
              <w:t>。</w:t>
            </w:r>
          </w:p>
          <w:p>
            <w:pPr>
              <w:kinsoku/>
              <w:spacing w:line="360" w:lineRule="auto"/>
              <w:ind w:firstLine="638" w:firstLineChars="266"/>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环保措施：项目通过集气罩及收尘管道对全厂生产工序中产生的粉尘进行收集，通过位于项目区北面的中央收尘系统进行除尘，经处理后的含尘废气通过15m排气筒DA001排放。项目挥发性有机废气通过位于项目区东北侧的活性炭处理系统处理后通过15m排气筒DA002排放。</w:t>
            </w:r>
          </w:p>
          <w:p>
            <w:pPr>
              <w:pStyle w:val="22"/>
              <w:kinsoku/>
              <w:spacing w:before="39" w:line="360" w:lineRule="auto"/>
              <w:ind w:left="108" w:right="102" w:firstLine="530" w:firstLineChars="221"/>
              <w:rPr>
                <w:rFonts w:ascii="Times New Roman" w:hAnsi="Times New Roman" w:cs="Times New Roman"/>
                <w:color w:val="auto"/>
                <w:lang w:eastAsia="zh-CN"/>
              </w:rPr>
            </w:pPr>
            <w:r>
              <w:rPr>
                <w:rFonts w:hint="eastAsia" w:ascii="Times New Roman" w:hAnsi="Times New Roman" w:cs="Times New Roman"/>
                <w:color w:val="auto"/>
                <w:lang w:eastAsia="zh-CN"/>
              </w:rPr>
              <w:t>生活办公区：位于生产区南侧独立办公楼。</w:t>
            </w:r>
          </w:p>
          <w:p>
            <w:pPr>
              <w:pStyle w:val="22"/>
              <w:kinsoku/>
              <w:spacing w:before="39" w:line="360" w:lineRule="auto"/>
              <w:ind w:left="108" w:right="102" w:firstLine="530" w:firstLineChars="221"/>
              <w:rPr>
                <w:rFonts w:ascii="Times New Roman" w:hAnsi="Times New Roman" w:cs="Times New Roman"/>
                <w:color w:val="auto"/>
                <w:lang w:eastAsia="zh-CN"/>
              </w:rPr>
            </w:pPr>
            <w:r>
              <w:rPr>
                <w:rFonts w:ascii="Times New Roman" w:hAnsi="Times New Roman" w:cs="Times New Roman"/>
                <w:color w:val="auto"/>
                <w:lang w:eastAsia="zh-CN"/>
              </w:rPr>
              <w:t>本项目生产工艺流程布置合理、流畅、物料运输短捷，节省能源，节约用地。</w:t>
            </w:r>
            <w:r>
              <w:rPr>
                <w:rFonts w:hint="eastAsia" w:ascii="Times New Roman" w:hAnsi="Times New Roman" w:cs="Times New Roman"/>
                <w:color w:val="auto"/>
                <w:lang w:eastAsia="zh-CN"/>
              </w:rPr>
              <w:t>项目生产车间与办公室有一定距离，且办公区位于项目区常年风向的上风向，对办公区生活影响不大。</w:t>
            </w:r>
            <w:r>
              <w:rPr>
                <w:rFonts w:ascii="Times New Roman" w:hAnsi="Times New Roman" w:cs="Times New Roman"/>
                <w:color w:val="auto"/>
                <w:lang w:eastAsia="zh-CN"/>
              </w:rPr>
              <w:t>总体来看，项目布局合理。</w:t>
            </w:r>
          </w:p>
          <w:p>
            <w:pPr>
              <w:pStyle w:val="22"/>
              <w:kinsoku/>
              <w:spacing w:before="38" w:line="219" w:lineRule="auto"/>
              <w:ind w:left="601"/>
              <w:rPr>
                <w:rFonts w:hint="eastAsia"/>
                <w:color w:val="auto"/>
                <w:lang w:eastAsia="zh-CN"/>
              </w:rPr>
            </w:pPr>
            <w:r>
              <w:rPr>
                <w:rFonts w:hint="eastAsia"/>
                <w:b/>
                <w:bCs/>
                <w:color w:val="auto"/>
                <w:spacing w:val="-3"/>
                <w:lang w:eastAsia="zh-CN"/>
              </w:rPr>
              <w:t>十</w:t>
            </w:r>
            <w:r>
              <w:rPr>
                <w:b/>
                <w:bCs/>
                <w:color w:val="auto"/>
                <w:spacing w:val="-3"/>
                <w:lang w:eastAsia="zh-CN"/>
              </w:rPr>
              <w:t>、工作时间、劳动定员</w:t>
            </w:r>
          </w:p>
          <w:p>
            <w:pPr>
              <w:pStyle w:val="22"/>
              <w:kinsoku/>
              <w:spacing w:before="180" w:line="220" w:lineRule="auto"/>
              <w:ind w:left="616"/>
              <w:rPr>
                <w:rFonts w:hint="eastAsia"/>
                <w:color w:val="auto"/>
                <w:lang w:eastAsia="zh-CN"/>
              </w:rPr>
            </w:pPr>
            <w:r>
              <w:rPr>
                <w:rFonts w:ascii="Times New Roman" w:hAnsi="Times New Roman" w:eastAsia="Times New Roman" w:cs="Times New Roman"/>
                <w:color w:val="auto"/>
                <w:spacing w:val="-10"/>
                <w:lang w:eastAsia="zh-CN"/>
              </w:rPr>
              <w:t>1</w:t>
            </w:r>
            <w:r>
              <w:rPr>
                <w:color w:val="auto"/>
                <w:spacing w:val="-10"/>
                <w:lang w:eastAsia="zh-CN"/>
              </w:rPr>
              <w:t>、工作时间</w:t>
            </w:r>
          </w:p>
          <w:p>
            <w:pPr>
              <w:pStyle w:val="22"/>
              <w:kinsoku/>
              <w:spacing w:before="182" w:line="219" w:lineRule="auto"/>
              <w:ind w:left="598"/>
              <w:rPr>
                <w:rFonts w:hint="eastAsia"/>
                <w:color w:val="auto"/>
                <w:lang w:eastAsia="zh-CN"/>
              </w:rPr>
            </w:pPr>
            <w:r>
              <w:rPr>
                <w:color w:val="auto"/>
                <w:lang w:eastAsia="zh-CN"/>
              </w:rPr>
              <w:t>本项目每天工作</w:t>
            </w:r>
            <w:r>
              <w:rPr>
                <w:rFonts w:ascii="Times New Roman" w:hAnsi="Times New Roman" w:eastAsia="Times New Roman" w:cs="Times New Roman"/>
                <w:color w:val="auto"/>
                <w:lang w:eastAsia="zh-CN"/>
              </w:rPr>
              <w:t>8</w:t>
            </w:r>
            <w:r>
              <w:rPr>
                <w:color w:val="auto"/>
                <w:lang w:eastAsia="zh-CN"/>
              </w:rPr>
              <w:t>小时，年工作</w:t>
            </w:r>
            <w:r>
              <w:rPr>
                <w:rFonts w:ascii="Times New Roman" w:hAnsi="Times New Roman" w:eastAsia="Times New Roman" w:cs="Times New Roman"/>
                <w:color w:val="auto"/>
                <w:lang w:eastAsia="zh-CN"/>
              </w:rPr>
              <w:t>3</w:t>
            </w:r>
            <w:r>
              <w:rPr>
                <w:rFonts w:hint="eastAsia" w:ascii="Times New Roman" w:hAnsi="Times New Roman" w:eastAsia="Times New Roman" w:cs="Times New Roman"/>
                <w:color w:val="auto"/>
                <w:lang w:eastAsia="zh-CN"/>
              </w:rPr>
              <w:t>3</w:t>
            </w:r>
            <w:r>
              <w:rPr>
                <w:rFonts w:ascii="Times New Roman" w:hAnsi="Times New Roman" w:eastAsia="Times New Roman" w:cs="Times New Roman"/>
                <w:color w:val="auto"/>
                <w:lang w:eastAsia="zh-CN"/>
              </w:rPr>
              <w:t>0</w:t>
            </w:r>
            <w:r>
              <w:rPr>
                <w:color w:val="auto"/>
                <w:lang w:eastAsia="zh-CN"/>
              </w:rPr>
              <w:t>天。</w:t>
            </w:r>
          </w:p>
          <w:p>
            <w:pPr>
              <w:pStyle w:val="22"/>
              <w:kinsoku/>
              <w:spacing w:before="181" w:line="219" w:lineRule="auto"/>
              <w:ind w:left="593"/>
              <w:rPr>
                <w:rFonts w:hint="eastAsia"/>
                <w:color w:val="auto"/>
                <w:lang w:eastAsia="zh-CN"/>
              </w:rPr>
            </w:pPr>
            <w:r>
              <w:rPr>
                <w:rFonts w:ascii="Times New Roman" w:hAnsi="Times New Roman" w:eastAsia="Times New Roman" w:cs="Times New Roman"/>
                <w:color w:val="auto"/>
                <w:spacing w:val="-6"/>
                <w:lang w:eastAsia="zh-CN"/>
              </w:rPr>
              <w:t>2</w:t>
            </w:r>
            <w:r>
              <w:rPr>
                <w:color w:val="auto"/>
                <w:spacing w:val="-6"/>
                <w:lang w:eastAsia="zh-CN"/>
              </w:rPr>
              <w:t>、劳动定员</w:t>
            </w:r>
          </w:p>
          <w:p>
            <w:pPr>
              <w:pStyle w:val="22"/>
              <w:tabs>
                <w:tab w:val="left" w:pos="420"/>
              </w:tabs>
              <w:kinsoku/>
              <w:spacing w:before="183" w:line="360" w:lineRule="auto"/>
              <w:ind w:left="0" w:leftChars="0" w:firstLine="600" w:firstLineChars="250"/>
              <w:rPr>
                <w:rFonts w:hint="default"/>
                <w:color w:val="auto"/>
                <w:lang w:val="en-US" w:eastAsia="zh-CN"/>
              </w:rPr>
            </w:pPr>
            <w:r>
              <w:rPr>
                <w:color w:val="auto"/>
                <w:lang w:eastAsia="zh-CN"/>
              </w:rPr>
              <w:t>项目共有员工</w:t>
            </w:r>
            <w:r>
              <w:rPr>
                <w:rFonts w:hint="eastAsia"/>
                <w:color w:val="auto"/>
                <w:lang w:eastAsia="zh-CN"/>
              </w:rPr>
              <w:t>28</w:t>
            </w:r>
            <w:r>
              <w:rPr>
                <w:color w:val="auto"/>
                <w:lang w:eastAsia="zh-CN"/>
              </w:rPr>
              <w:t>人，均在厂内</w:t>
            </w:r>
            <w:r>
              <w:rPr>
                <w:rFonts w:hint="eastAsia"/>
                <w:color w:val="auto"/>
                <w:lang w:eastAsia="zh-CN"/>
              </w:rPr>
              <w:t>住宿，不在项目区内就餐</w:t>
            </w:r>
            <w:r>
              <w:rPr>
                <w:color w:val="auto"/>
                <w:lang w:eastAsia="zh-CN"/>
              </w:rPr>
              <w:t>。</w:t>
            </w:r>
            <w:r>
              <w:rPr>
                <w:rFonts w:hint="eastAsia"/>
                <w:color w:val="auto"/>
                <w:lang w:val="en-US" w:eastAsia="zh-CN"/>
              </w:rPr>
              <w:t>项目拟开工日期为2025年8月，竣工日期为2025年9月。</w:t>
            </w:r>
          </w:p>
          <w:p>
            <w:pPr>
              <w:pStyle w:val="22"/>
              <w:kinsoku/>
              <w:spacing w:before="181" w:line="220" w:lineRule="auto"/>
              <w:ind w:left="603"/>
              <w:rPr>
                <w:rFonts w:hint="eastAsia"/>
                <w:color w:val="auto"/>
                <w:lang w:eastAsia="zh-CN"/>
              </w:rPr>
            </w:pPr>
            <w:r>
              <w:rPr>
                <w:rFonts w:hint="eastAsia"/>
                <w:b/>
                <w:bCs/>
                <w:color w:val="auto"/>
                <w:spacing w:val="-5"/>
                <w:lang w:eastAsia="zh-CN"/>
              </w:rPr>
              <w:t>十一</w:t>
            </w:r>
            <w:r>
              <w:rPr>
                <w:b/>
                <w:bCs/>
                <w:color w:val="auto"/>
                <w:spacing w:val="-5"/>
                <w:lang w:eastAsia="zh-CN"/>
              </w:rPr>
              <w:t>、环保投资</w:t>
            </w:r>
          </w:p>
          <w:p>
            <w:pPr>
              <w:pStyle w:val="22"/>
              <w:kinsoku/>
              <w:spacing w:before="181" w:line="345" w:lineRule="auto"/>
              <w:ind w:left="112" w:firstLine="489"/>
              <w:rPr>
                <w:rFonts w:hint="eastAsia"/>
                <w:color w:val="auto"/>
                <w:spacing w:val="-2"/>
                <w:lang w:eastAsia="zh-CN"/>
              </w:rPr>
            </w:pPr>
            <w:r>
              <w:rPr>
                <w:color w:val="auto"/>
                <w:spacing w:val="8"/>
                <w:lang w:eastAsia="zh-CN"/>
              </w:rPr>
              <w:t>项目总投资</w:t>
            </w:r>
            <w:r>
              <w:rPr>
                <w:rFonts w:hint="eastAsia" w:ascii="Times New Roman" w:hAnsi="Times New Roman" w:cs="Times New Roman"/>
                <w:color w:val="auto"/>
                <w:spacing w:val="8"/>
                <w:lang w:eastAsia="zh-CN"/>
              </w:rPr>
              <w:t>210万元</w:t>
            </w:r>
            <w:r>
              <w:rPr>
                <w:color w:val="auto"/>
                <w:spacing w:val="8"/>
                <w:lang w:eastAsia="zh-CN"/>
              </w:rPr>
              <w:t>，其中环保投资</w:t>
            </w:r>
            <w:r>
              <w:rPr>
                <w:rFonts w:hint="eastAsia" w:ascii="Times New Roman" w:hAnsi="Times New Roman" w:cs="Times New Roman"/>
                <w:color w:val="auto"/>
                <w:spacing w:val="8"/>
                <w:lang w:eastAsia="zh-CN"/>
              </w:rPr>
              <w:t>41万元</w:t>
            </w:r>
            <w:r>
              <w:rPr>
                <w:color w:val="auto"/>
                <w:spacing w:val="8"/>
                <w:lang w:eastAsia="zh-CN"/>
              </w:rPr>
              <w:t>，环保投资占总投资的</w:t>
            </w:r>
            <w:r>
              <w:rPr>
                <w:rFonts w:hint="eastAsia" w:ascii="Times New Roman" w:hAnsi="Times New Roman" w:eastAsia="Times New Roman" w:cs="Times New Roman"/>
                <w:color w:val="auto"/>
                <w:spacing w:val="-2"/>
                <w:lang w:eastAsia="zh-CN"/>
              </w:rPr>
              <w:t>19.5%</w:t>
            </w:r>
            <w:r>
              <w:rPr>
                <w:color w:val="auto"/>
                <w:spacing w:val="-2"/>
                <w:lang w:eastAsia="zh-CN"/>
              </w:rPr>
              <w:t>，具体环保措施及其投资见表</w:t>
            </w:r>
            <w:r>
              <w:rPr>
                <w:rFonts w:ascii="Times New Roman" w:hAnsi="Times New Roman" w:eastAsia="Times New Roman" w:cs="Times New Roman"/>
                <w:color w:val="auto"/>
                <w:spacing w:val="-2"/>
                <w:lang w:eastAsia="zh-CN"/>
              </w:rPr>
              <w:t>2</w:t>
            </w:r>
            <w:r>
              <w:rPr>
                <w:rFonts w:hint="eastAsia" w:ascii="Times New Roman" w:hAnsi="Times New Roman" w:eastAsia="Times New Roman" w:cs="Times New Roman"/>
                <w:color w:val="auto"/>
                <w:spacing w:val="-2"/>
                <w:lang w:eastAsia="zh-CN"/>
              </w:rPr>
              <w:t>-8</w:t>
            </w:r>
            <w:r>
              <w:rPr>
                <w:color w:val="auto"/>
                <w:spacing w:val="-2"/>
                <w:lang w:eastAsia="zh-CN"/>
              </w:rPr>
              <w:t>。</w:t>
            </w:r>
          </w:p>
          <w:p>
            <w:pPr>
              <w:pStyle w:val="22"/>
              <w:kinsoku/>
              <w:spacing w:before="32" w:line="228" w:lineRule="auto"/>
              <w:ind w:left="3197"/>
              <w:rPr>
                <w:rFonts w:hint="eastAsia"/>
                <w:b/>
                <w:bCs/>
                <w:color w:val="auto"/>
                <w:spacing w:val="5"/>
                <w:sz w:val="20"/>
                <w:szCs w:val="20"/>
                <w:lang w:eastAsia="zh-CN"/>
              </w:rPr>
            </w:pPr>
            <w:r>
              <w:rPr>
                <w:b/>
                <w:bCs/>
                <w:color w:val="auto"/>
                <w:spacing w:val="5"/>
                <w:sz w:val="20"/>
                <w:szCs w:val="20"/>
                <w:lang w:eastAsia="zh-CN"/>
              </w:rPr>
              <w:t>表</w:t>
            </w:r>
            <w:r>
              <w:rPr>
                <w:rFonts w:ascii="Times New Roman" w:hAnsi="Times New Roman" w:eastAsia="Times New Roman" w:cs="Times New Roman"/>
                <w:b/>
                <w:bCs/>
                <w:color w:val="auto"/>
                <w:spacing w:val="5"/>
                <w:sz w:val="20"/>
                <w:szCs w:val="20"/>
                <w:lang w:eastAsia="zh-CN"/>
              </w:rPr>
              <w:t>2-</w:t>
            </w:r>
            <w:r>
              <w:rPr>
                <w:rFonts w:hint="eastAsia" w:ascii="Times New Roman" w:hAnsi="Times New Roman" w:cs="Times New Roman"/>
                <w:b/>
                <w:bCs/>
                <w:color w:val="auto"/>
                <w:spacing w:val="5"/>
                <w:sz w:val="20"/>
                <w:szCs w:val="20"/>
                <w:lang w:eastAsia="zh-CN"/>
              </w:rPr>
              <w:t>8</w:t>
            </w:r>
            <w:r>
              <w:rPr>
                <w:b/>
                <w:bCs/>
                <w:color w:val="auto"/>
                <w:spacing w:val="5"/>
                <w:sz w:val="20"/>
                <w:szCs w:val="20"/>
                <w:lang w:eastAsia="zh-CN"/>
              </w:rPr>
              <w:t>环保设施投资一览表</w:t>
            </w:r>
          </w:p>
          <w:tbl>
            <w:tblPr>
              <w:tblStyle w:val="16"/>
              <w:tblW w:w="8741" w:type="dxa"/>
              <w:jc w:val="center"/>
              <w:tblLayout w:type="fixed"/>
              <w:tblCellMar>
                <w:top w:w="0" w:type="dxa"/>
                <w:left w:w="108" w:type="dxa"/>
                <w:bottom w:w="0" w:type="dxa"/>
                <w:right w:w="108" w:type="dxa"/>
              </w:tblCellMar>
            </w:tblPr>
            <w:tblGrid>
              <w:gridCol w:w="425"/>
              <w:gridCol w:w="744"/>
              <w:gridCol w:w="972"/>
              <w:gridCol w:w="3432"/>
              <w:gridCol w:w="1536"/>
              <w:gridCol w:w="1632"/>
            </w:tblGrid>
            <w:tr>
              <w:tblPrEx>
                <w:tblCellMar>
                  <w:top w:w="0" w:type="dxa"/>
                  <w:left w:w="108" w:type="dxa"/>
                  <w:bottom w:w="0" w:type="dxa"/>
                  <w:right w:w="108" w:type="dxa"/>
                </w:tblCellMar>
              </w:tblPrEx>
              <w:trPr>
                <w:trHeight w:val="255" w:hRule="atLeast"/>
                <w:jc w:val="center"/>
              </w:trPr>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项目</w:t>
                  </w:r>
                </w:p>
              </w:tc>
              <w:tc>
                <w:tcPr>
                  <w:tcW w:w="972" w:type="dxa"/>
                  <w:tcBorders>
                    <w:top w:val="single" w:color="000000"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污染物</w:t>
                  </w:r>
                </w:p>
              </w:tc>
              <w:tc>
                <w:tcPr>
                  <w:tcW w:w="3432" w:type="dxa"/>
                  <w:tcBorders>
                    <w:top w:val="single" w:color="000000"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治理措施</w:t>
                  </w:r>
                </w:p>
              </w:tc>
              <w:tc>
                <w:tcPr>
                  <w:tcW w:w="1536" w:type="dxa"/>
                  <w:tcBorders>
                    <w:top w:val="single" w:color="000000"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投资（万元）</w:t>
                  </w:r>
                </w:p>
              </w:tc>
              <w:tc>
                <w:tcPr>
                  <w:tcW w:w="1632" w:type="dxa"/>
                  <w:tcBorders>
                    <w:top w:val="single" w:color="000000"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备注</w:t>
                  </w:r>
                </w:p>
              </w:tc>
            </w:tr>
            <w:tr>
              <w:tblPrEx>
                <w:tblCellMar>
                  <w:top w:w="0" w:type="dxa"/>
                  <w:left w:w="108" w:type="dxa"/>
                  <w:bottom w:w="0" w:type="dxa"/>
                  <w:right w:w="108" w:type="dxa"/>
                </w:tblCellMar>
              </w:tblPrEx>
              <w:trPr>
                <w:trHeight w:val="420" w:hRule="atLeast"/>
                <w:jc w:val="center"/>
              </w:trPr>
              <w:tc>
                <w:tcPr>
                  <w:tcW w:w="425" w:type="dxa"/>
                  <w:vMerge w:val="restart"/>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施工期</w:t>
                  </w:r>
                </w:p>
              </w:tc>
              <w:tc>
                <w:tcPr>
                  <w:tcW w:w="744" w:type="dxa"/>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废气治理</w:t>
                  </w: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粉尘</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施工材料运输及装卸采用遮盖篷布、</w:t>
                  </w:r>
                  <w:r>
                    <w:rPr>
                      <w:rFonts w:hint="default" w:ascii="Times New Roman" w:hAnsi="Times New Roman" w:eastAsia="宋体" w:cs="Times New Roman"/>
                      <w:color w:val="auto"/>
                      <w:highlight w:val="none"/>
                      <w:lang w:val="en-US" w:eastAsia="zh-CN"/>
                    </w:rPr>
                    <w:t>施工场地定期清扫减少扬尘</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主体工程投资</w:t>
                  </w: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废水治理</w:t>
                  </w: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生活污水</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lang w:eastAsia="zh-CN"/>
                    </w:rPr>
                    <w:t>化粪池一座(10m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依托园区已建化粪池，杨林工业园区污水管网，最终进入嵩明县第二污水处理厂处理。</w:t>
                  </w: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噪声治理</w:t>
                  </w: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施工噪声</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厂房隔声、合理安排施工时间等</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vMerge w:val="restart"/>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固废治理</w:t>
                  </w: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废弃包装材料</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分类收集，可回收利用的外售，不能回收利用的委托环卫部门清运</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0.05</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建筑垃圾</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分类收集，可回收利用的外售，不能回收利用的运至政府部门指定的建筑垃圾堆放场处置</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0.05</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bottom w:val="single" w:color="auto"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vMerge w:val="continue"/>
                  <w:tcBorders>
                    <w:left w:val="single" w:color="000000" w:sz="4" w:space="0"/>
                    <w:bottom w:val="single" w:color="auto"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生活垃圾</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生活垃圾分类收集后委托当地环卫部门定期清运处理</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val="en-US" w:eastAsia="zh-CN"/>
                    </w:rPr>
                    <w:t>0.1</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p>
              </w:tc>
            </w:tr>
            <w:tr>
              <w:tblPrEx>
                <w:tblCellMar>
                  <w:top w:w="0" w:type="dxa"/>
                  <w:left w:w="108" w:type="dxa"/>
                  <w:bottom w:w="0" w:type="dxa"/>
                  <w:right w:w="108" w:type="dxa"/>
                </w:tblCellMar>
              </w:tblPrEx>
              <w:trPr>
                <w:trHeight w:val="420" w:hRule="atLeast"/>
                <w:jc w:val="center"/>
              </w:trPr>
              <w:tc>
                <w:tcPr>
                  <w:tcW w:w="425" w:type="dxa"/>
                  <w:vMerge w:val="restart"/>
                  <w:tcBorders>
                    <w:top w:val="single" w:color="auto" w:sz="4" w:space="0"/>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w:t>
                  </w:r>
                </w:p>
              </w:tc>
              <w:tc>
                <w:tcPr>
                  <w:tcW w:w="74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废气治理</w:t>
                  </w:r>
                </w:p>
              </w:tc>
              <w:tc>
                <w:tcPr>
                  <w:tcW w:w="972"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雕刻</w:t>
                  </w:r>
                  <w:r>
                    <w:rPr>
                      <w:rFonts w:hint="default" w:ascii="Times New Roman" w:hAnsi="Times New Roman" w:cs="Times New Roman"/>
                      <w:color w:val="auto"/>
                      <w:lang w:eastAsia="zh-CN"/>
                    </w:rPr>
                    <w:t>、打孔粉尘</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经设备自带吸尘管及设备上方集气罩收集后通过废气收集管至中央除尘系统处理后通过1根15m高排气筒（DA001）外排。</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19</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218"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封边废气</w:t>
                  </w:r>
                </w:p>
              </w:tc>
              <w:tc>
                <w:tcPr>
                  <w:tcW w:w="3432" w:type="dxa"/>
                  <w:tcBorders>
                    <w:top w:val="single" w:color="auto"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eastAsia"/>
                      <w:lang w:val="en-US" w:eastAsia="zh-CN"/>
                    </w:rPr>
                    <w:t>在封边工段采用盖板式封边机，关闭盖板时密闭封边机相当于小型集气罩，集气管道与封边设备紧密相连，在设备工作的情况下，风机持续运转，可保证操作空间持续处于微负压状态，封胶结束后开启盖板取出成品。生产全过程与设备紧密相连的集气管道对挥发性有机物进行收集，车间上方不额外设置集气罩，有机废气收集后接入一套二级活性炭吸附设备处理，最终由一根15m高排气筒DA002排放</w:t>
                  </w:r>
                  <w:r>
                    <w:rPr>
                      <w:rFonts w:hint="default" w:ascii="Times New Roman" w:hAnsi="Times New Roman" w:cs="Times New Roman"/>
                      <w:color w:val="auto"/>
                      <w:lang w:eastAsia="zh-CN"/>
                    </w:rPr>
                    <w:t>。</w:t>
                  </w:r>
                </w:p>
              </w:tc>
              <w:tc>
                <w:tcPr>
                  <w:tcW w:w="1536" w:type="dxa"/>
                  <w:tcBorders>
                    <w:top w:val="single" w:color="auto"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13</w:t>
                  </w:r>
                </w:p>
              </w:tc>
              <w:tc>
                <w:tcPr>
                  <w:tcW w:w="1632" w:type="dxa"/>
                  <w:tcBorders>
                    <w:top w:val="single" w:color="auto" w:sz="4" w:space="0"/>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val="en-US" w:eastAsia="zh-CN"/>
                    </w:rPr>
                  </w:pPr>
                </w:p>
              </w:tc>
              <w:tc>
                <w:tcPr>
                  <w:tcW w:w="744" w:type="dxa"/>
                  <w:tcBorders>
                    <w:top w:val="single" w:color="auto" w:sz="4" w:space="0"/>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废水</w:t>
                  </w:r>
                </w:p>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治理</w:t>
                  </w: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生活污水</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化粪池一座(10m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p>
              </w:tc>
              <w:tc>
                <w:tcPr>
                  <w:tcW w:w="1536"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w:t>
                  </w:r>
                </w:p>
              </w:tc>
              <w:tc>
                <w:tcPr>
                  <w:tcW w:w="16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依托园区已建化粪池，杨林工业园区污水管网，最终进入嵩明县第二污水处理厂处理。</w:t>
                  </w:r>
                </w:p>
              </w:tc>
            </w:tr>
            <w:tr>
              <w:tblPrEx>
                <w:tblCellMar>
                  <w:top w:w="0" w:type="dxa"/>
                  <w:left w:w="108" w:type="dxa"/>
                  <w:bottom w:w="0" w:type="dxa"/>
                  <w:right w:w="108" w:type="dxa"/>
                </w:tblCellMar>
              </w:tblPrEx>
              <w:trPr>
                <w:trHeight w:val="42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tcBorders>
                    <w:top w:val="nil"/>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噪声</w:t>
                  </w:r>
                </w:p>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治理</w:t>
                  </w: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设备噪声</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生产设备选用低噪声设备，合理布局，置于封闭车间内，加装基础减震垫</w:t>
                  </w:r>
                </w:p>
              </w:tc>
              <w:tc>
                <w:tcPr>
                  <w:tcW w:w="1536"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w:t>
                  </w:r>
                </w:p>
              </w:tc>
              <w:tc>
                <w:tcPr>
                  <w:tcW w:w="16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229"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744" w:type="dxa"/>
                  <w:vMerge w:val="restart"/>
                  <w:tcBorders>
                    <w:top w:val="nil"/>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固体</w:t>
                  </w:r>
                </w:p>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废物</w:t>
                  </w:r>
                </w:p>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处置</w:t>
                  </w: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生活垃圾</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生活垃圾统一收集后由环卫部门定期清运</w:t>
                  </w:r>
                </w:p>
              </w:tc>
              <w:tc>
                <w:tcPr>
                  <w:tcW w:w="1536"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1</w:t>
                  </w:r>
                </w:p>
              </w:tc>
              <w:tc>
                <w:tcPr>
                  <w:tcW w:w="1632" w:type="dxa"/>
                  <w:tcBorders>
                    <w:top w:val="nil"/>
                    <w:left w:val="nil"/>
                    <w:bottom w:val="single" w:color="auto"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105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一般固废</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废包装材料堆放区位于厂房1层东</w:t>
                  </w:r>
                  <w:r>
                    <w:rPr>
                      <w:rFonts w:hint="default" w:ascii="Times New Roman" w:hAnsi="Times New Roman" w:eastAsia="宋体" w:cs="Times New Roman"/>
                      <w:color w:val="auto"/>
                      <w:lang w:eastAsia="zh-CN"/>
                    </w:rPr>
                    <w:t>南</w:t>
                  </w:r>
                  <w:r>
                    <w:rPr>
                      <w:rFonts w:hint="default" w:ascii="Times New Roman" w:hAnsi="Times New Roman" w:cs="Times New Roman"/>
                      <w:color w:val="auto"/>
                      <w:lang w:eastAsia="zh-CN"/>
                    </w:rPr>
                    <w:t>侧，占地面积为10m</w:t>
                  </w:r>
                  <w:r>
                    <w:rPr>
                      <w:rFonts w:hint="default" w:ascii="Times New Roman" w:hAnsi="Times New Roman" w:cs="Times New Roman"/>
                      <w:color w:val="auto"/>
                      <w:vertAlign w:val="superscript"/>
                      <w:lang w:eastAsia="zh-CN"/>
                    </w:rPr>
                    <w:t>2</w:t>
                  </w:r>
                  <w:r>
                    <w:rPr>
                      <w:rFonts w:hint="default" w:ascii="Times New Roman" w:hAnsi="Times New Roman" w:eastAsia="宋体" w:cs="Times New Roman"/>
                      <w:color w:val="auto"/>
                      <w:lang w:eastAsia="zh-CN"/>
                    </w:rPr>
                    <w:t>，</w:t>
                  </w:r>
                  <w:r>
                    <w:rPr>
                      <w:rFonts w:hint="default" w:ascii="Times New Roman" w:hAnsi="Times New Roman" w:cs="Times New Roman"/>
                      <w:color w:val="auto"/>
                      <w:lang w:eastAsia="zh-CN"/>
                    </w:rPr>
                    <w:t>主要堆放原材料废包装袋、废边角木料、中央除尘系统收集木屑粉尘</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废胶、废胶桶</w:t>
                  </w:r>
                  <w:r>
                    <w:rPr>
                      <w:rFonts w:hint="default" w:ascii="Times New Roman" w:hAnsi="Times New Roman" w:cs="Times New Roman"/>
                      <w:color w:val="auto"/>
                      <w:lang w:eastAsia="zh-CN"/>
                    </w:rPr>
                    <w:t>，定期外售。</w:t>
                  </w:r>
                </w:p>
              </w:tc>
              <w:tc>
                <w:tcPr>
                  <w:tcW w:w="1536"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2</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63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危险废物</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危废暂存间位于厂房东南侧，建筑面积10m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，用于暂存项目区产生的</w:t>
                  </w:r>
                  <w:bookmarkStart w:id="13" w:name="OLE_LINK5"/>
                  <w:r>
                    <w:rPr>
                      <w:rFonts w:hint="default" w:ascii="Times New Roman" w:hAnsi="Times New Roman" w:cs="Times New Roman"/>
                      <w:color w:val="auto"/>
                      <w:lang w:eastAsia="zh-CN"/>
                    </w:rPr>
                    <w:t>废润滑油。</w:t>
                  </w:r>
                  <w:bookmarkEnd w:id="13"/>
                  <w:r>
                    <w:rPr>
                      <w:rFonts w:hint="default" w:ascii="Times New Roman" w:hAnsi="Times New Roman" w:cs="Times New Roman"/>
                      <w:color w:val="auto"/>
                      <w:lang w:eastAsia="zh-CN"/>
                    </w:rPr>
                    <w:t>地面防渗(危险废物暂存间地面采用2mm厚的高密度聚乙烯或其他人工材料进行防渗处理，防透系数≤10</w:t>
                  </w:r>
                  <w:r>
                    <w:rPr>
                      <w:rFonts w:hint="default" w:ascii="Times New Roman" w:hAnsi="Times New Roman" w:cs="Times New Roman"/>
                      <w:color w:val="auto"/>
                      <w:vertAlign w:val="superscript"/>
                      <w:lang w:eastAsia="zh-CN"/>
                    </w:rPr>
                    <w:t>-10</w:t>
                  </w:r>
                  <w:r>
                    <w:rPr>
                      <w:rFonts w:hint="default" w:ascii="Times New Roman" w:hAnsi="Times New Roman" w:cs="Times New Roman"/>
                      <w:color w:val="auto"/>
                      <w:lang w:eastAsia="zh-CN"/>
                    </w:rPr>
                    <w:t>cm/s)。按《危险废物贮存污染控制标准》(GB18597-2023)进行建设。经收集后危险废物委托有资质的单位进行处置。</w:t>
                  </w:r>
                </w:p>
              </w:tc>
              <w:tc>
                <w:tcPr>
                  <w:tcW w:w="1536"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2</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63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restart"/>
                  <w:tcBorders>
                    <w:top w:val="nil"/>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eastAsia="宋体" w:cs="Times New Roman"/>
                      <w:color w:val="auto"/>
                      <w:highlight w:val="none"/>
                      <w:lang w:eastAsia="zh-CN"/>
                    </w:rPr>
                    <w:t>环境风险</w:t>
                  </w:r>
                </w:p>
              </w:tc>
              <w:tc>
                <w:tcPr>
                  <w:tcW w:w="972" w:type="dxa"/>
                  <w:vMerge w:val="restart"/>
                  <w:tcBorders>
                    <w:top w:val="nil"/>
                    <w:left w:val="nil"/>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环境风险防治</w:t>
                  </w: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危险废物分类独立贮存，地面进行防腐、防渗。</w:t>
                  </w:r>
                </w:p>
              </w:tc>
              <w:tc>
                <w:tcPr>
                  <w:tcW w:w="1536" w:type="dxa"/>
                  <w:tcBorders>
                    <w:top w:val="nil"/>
                    <w:left w:val="nil"/>
                    <w:bottom w:val="single" w:color="000000" w:sz="4" w:space="0"/>
                    <w:right w:val="single" w:color="auto" w:sz="4" w:space="0"/>
                  </w:tcBorders>
                  <w:shd w:val="clear" w:color="auto" w:fill="auto"/>
                  <w:vAlign w:val="center"/>
                </w:tcPr>
                <w:p>
                  <w:pPr>
                    <w:kinsoku/>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已计入固废处置</w:t>
                  </w:r>
                </w:p>
              </w:tc>
            </w:tr>
            <w:tr>
              <w:tblPrEx>
                <w:tblCellMar>
                  <w:top w:w="0" w:type="dxa"/>
                  <w:left w:w="108" w:type="dxa"/>
                  <w:bottom w:w="0" w:type="dxa"/>
                  <w:right w:w="108" w:type="dxa"/>
                </w:tblCellMar>
              </w:tblPrEx>
              <w:trPr>
                <w:trHeight w:val="63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vMerge w:val="continue"/>
                  <w:tcBorders>
                    <w:left w:val="nil"/>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落实各项消防措施：设置相应的灭火器类型与数量，并在火灾危险场所设置报警装置：严禁区内有明火出现等。</w:t>
                  </w:r>
                </w:p>
              </w:tc>
              <w:tc>
                <w:tcPr>
                  <w:tcW w:w="1536"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2" w:type="dxa"/>
                  <w:vMerge w:val="restart"/>
                  <w:tcBorders>
                    <w:top w:val="single" w:color="auto" w:sz="4" w:space="0"/>
                    <w:left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依托园区已建设</w:t>
                  </w:r>
                </w:p>
              </w:tc>
            </w:tr>
            <w:tr>
              <w:tblPrEx>
                <w:tblCellMar>
                  <w:top w:w="0" w:type="dxa"/>
                  <w:left w:w="108" w:type="dxa"/>
                  <w:bottom w:w="0" w:type="dxa"/>
                  <w:right w:w="108" w:type="dxa"/>
                </w:tblCellMar>
              </w:tblPrEx>
              <w:trPr>
                <w:trHeight w:val="630" w:hRule="atLeast"/>
                <w:jc w:val="center"/>
              </w:trPr>
              <w:tc>
                <w:tcPr>
                  <w:tcW w:w="425"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continue"/>
                  <w:tcBorders>
                    <w:left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vMerge w:val="continue"/>
                  <w:tcBorders>
                    <w:left w:val="nil"/>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根据各建筑物的功能、所处位置确定相应的耐火等级，并按国家标准设置安全出口和疏散距离</w:t>
                  </w:r>
                </w:p>
              </w:tc>
              <w:tc>
                <w:tcPr>
                  <w:tcW w:w="1536"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2" w:type="dxa"/>
                  <w:vMerge w:val="continue"/>
                  <w:tcBorders>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630" w:hRule="atLeast"/>
                <w:jc w:val="center"/>
              </w:trPr>
              <w:tc>
                <w:tcPr>
                  <w:tcW w:w="425" w:type="dxa"/>
                  <w:vMerge w:val="continue"/>
                  <w:tcBorders>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744" w:type="dxa"/>
                  <w:vMerge w:val="continue"/>
                  <w:tcBorders>
                    <w:left w:val="single" w:color="000000" w:sz="4" w:space="0"/>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rPr>
                  </w:pPr>
                </w:p>
              </w:tc>
              <w:tc>
                <w:tcPr>
                  <w:tcW w:w="972" w:type="dxa"/>
                  <w:vMerge w:val="continue"/>
                  <w:tcBorders>
                    <w:left w:val="nil"/>
                    <w:bottom w:val="single" w:color="000000" w:sz="4" w:space="0"/>
                    <w:right w:val="single" w:color="000000" w:sz="4" w:space="0"/>
                  </w:tcBorders>
                  <w:shd w:val="clear" w:color="auto" w:fill="auto"/>
                  <w:vAlign w:val="center"/>
                </w:tcPr>
                <w:p>
                  <w:pPr>
                    <w:kinsoku/>
                    <w:jc w:val="center"/>
                    <w:rPr>
                      <w:rFonts w:hint="default" w:ascii="Times New Roman" w:hAnsi="Times New Roman" w:cs="Times New Roman"/>
                      <w:color w:val="auto"/>
                      <w:lang w:eastAsia="zh-CN"/>
                    </w:rPr>
                  </w:pPr>
                </w:p>
              </w:tc>
              <w:tc>
                <w:tcPr>
                  <w:tcW w:w="3432" w:type="dxa"/>
                  <w:tcBorders>
                    <w:top w:val="nil"/>
                    <w:left w:val="nil"/>
                    <w:bottom w:val="single" w:color="000000" w:sz="4" w:space="0"/>
                    <w:right w:val="single" w:color="000000" w:sz="4" w:space="0"/>
                  </w:tcBorders>
                  <w:shd w:val="clear" w:color="auto" w:fill="auto"/>
                  <w:vAlign w:val="center"/>
                </w:tcPr>
                <w:p>
                  <w:pPr>
                    <w:kinsoku/>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员工环境风险安全培训、应急预案及演练、加强风险管理、应急器材及安全评价。</w:t>
                  </w:r>
                </w:p>
              </w:tc>
              <w:tc>
                <w:tcPr>
                  <w:tcW w:w="1536" w:type="dxa"/>
                  <w:tcBorders>
                    <w:top w:val="nil"/>
                    <w:left w:val="nil"/>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已计入</w:t>
                  </w:r>
                  <w:r>
                    <w:rPr>
                      <w:rFonts w:hint="default" w:ascii="Times New Roman" w:hAnsi="Times New Roman" w:cs="Times New Roman"/>
                      <w:color w:val="auto"/>
                      <w:lang w:eastAsia="zh-CN"/>
                    </w:rPr>
                    <w:t>环境监测及管理</w:t>
                  </w:r>
                </w:p>
              </w:tc>
            </w:tr>
            <w:tr>
              <w:tblPrEx>
                <w:tblCellMar>
                  <w:top w:w="0" w:type="dxa"/>
                  <w:left w:w="108" w:type="dxa"/>
                  <w:bottom w:w="0" w:type="dxa"/>
                  <w:right w:w="108" w:type="dxa"/>
                </w:tblCellMar>
              </w:tblPrEx>
              <w:trPr>
                <w:trHeight w:val="345" w:hRule="atLeast"/>
                <w:jc w:val="center"/>
              </w:trPr>
              <w:tc>
                <w:tcPr>
                  <w:tcW w:w="2141"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rPr>
                  </w:pPr>
                  <w:r>
                    <w:rPr>
                      <w:rFonts w:hint="default" w:ascii="Times New Roman" w:hAnsi="Times New Roman" w:cs="Times New Roman"/>
                      <w:color w:val="auto"/>
                      <w:lang w:eastAsia="zh-CN"/>
                    </w:rPr>
                    <w:t>环境监测及管理</w:t>
                  </w:r>
                </w:p>
              </w:tc>
              <w:tc>
                <w:tcPr>
                  <w:tcW w:w="34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建立环境管理和监测体系</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r>
              <w:tblPrEx>
                <w:tblCellMar>
                  <w:top w:w="0" w:type="dxa"/>
                  <w:left w:w="108" w:type="dxa"/>
                  <w:bottom w:w="0" w:type="dxa"/>
                  <w:right w:w="108" w:type="dxa"/>
                </w:tblCellMar>
              </w:tblPrEx>
              <w:trPr>
                <w:trHeight w:val="244" w:hRule="atLeast"/>
                <w:jc w:val="center"/>
              </w:trPr>
              <w:tc>
                <w:tcPr>
                  <w:tcW w:w="5573" w:type="dxa"/>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合计</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41</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hint="default" w:ascii="Times New Roman" w:hAnsi="Times New Roman" w:cs="Times New Roman"/>
                      <w:color w:val="auto"/>
                      <w:lang w:eastAsia="zh-CN"/>
                    </w:rPr>
                  </w:pPr>
                </w:p>
              </w:tc>
            </w:tr>
          </w:tbl>
          <w:p>
            <w:pPr>
              <w:pStyle w:val="22"/>
              <w:kinsoku/>
              <w:spacing w:before="39" w:line="360" w:lineRule="auto"/>
              <w:ind w:left="108" w:right="102" w:firstLine="127" w:firstLineChars="53"/>
              <w:rPr>
                <w:rFonts w:ascii="Times New Roman" w:hAnsi="Times New Roman" w:cs="Times New Roman"/>
                <w:color w:val="auto"/>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trPr>
        <w:tc>
          <w:tcPr>
            <w:tcW w:w="364" w:type="dxa"/>
            <w:tcBorders>
              <w:right w:val="single" w:color="000000" w:sz="2" w:space="0"/>
            </w:tcBorders>
            <w:textDirection w:val="tbRlV"/>
          </w:tcPr>
          <w:p>
            <w:pPr>
              <w:pStyle w:val="22"/>
              <w:kinsoku/>
              <w:spacing w:before="111" w:line="199" w:lineRule="auto"/>
              <w:ind w:left="6086"/>
              <w:rPr>
                <w:rFonts w:hint="eastAsia"/>
                <w:color w:val="auto"/>
                <w:spacing w:val="-1"/>
                <w:lang w:eastAsia="zh-CN"/>
              </w:rPr>
            </w:pPr>
            <w:r>
              <w:rPr>
                <w:color w:val="auto"/>
                <w:lang w:eastAsia="zh-CN"/>
              </w:rPr>
              <w:t>工艺流程和产排污环节</w:t>
            </w:r>
          </w:p>
        </w:tc>
        <w:tc>
          <w:tcPr>
            <w:tcW w:w="8926" w:type="dxa"/>
            <w:tcBorders>
              <w:left w:val="single" w:color="000000" w:sz="2" w:space="0"/>
            </w:tcBorders>
          </w:tcPr>
          <w:p>
            <w:pPr>
              <w:pStyle w:val="22"/>
              <w:kinsoku/>
              <w:spacing w:before="59" w:line="360" w:lineRule="auto"/>
              <w:ind w:firstLine="440" w:firstLineChars="200"/>
              <w:rPr>
                <w:rFonts w:hint="eastAsia"/>
                <w:color w:val="auto"/>
                <w:lang w:eastAsia="zh-CN"/>
              </w:rPr>
            </w:pPr>
            <w:r>
              <w:rPr>
                <w:rFonts w:hint="eastAsia" w:ascii="Times New Roman" w:hAnsi="Times New Roman" w:eastAsia="Times New Roman" w:cs="Times New Roman"/>
                <w:b/>
                <w:bCs/>
                <w:color w:val="auto"/>
                <w:spacing w:val="-10"/>
                <w:lang w:eastAsia="zh-CN"/>
              </w:rPr>
              <w:t>一、</w:t>
            </w:r>
            <w:r>
              <w:rPr>
                <w:b/>
                <w:bCs/>
                <w:color w:val="auto"/>
                <w:spacing w:val="-10"/>
                <w:lang w:eastAsia="zh-CN"/>
              </w:rPr>
              <w:t>施工期</w:t>
            </w:r>
          </w:p>
          <w:p>
            <w:pPr>
              <w:pStyle w:val="22"/>
              <w:kinsoku/>
              <w:spacing w:before="32" w:line="360" w:lineRule="auto"/>
              <w:ind w:firstLine="508" w:firstLineChars="200"/>
              <w:rPr>
                <w:rFonts w:hint="eastAsia"/>
                <w:color w:val="auto"/>
                <w:spacing w:val="-2"/>
                <w:lang w:eastAsia="zh-CN"/>
              </w:rPr>
            </w:pPr>
            <w:r>
              <w:rPr>
                <w:color w:val="auto"/>
                <w:spacing w:val="7"/>
                <w:lang w:eastAsia="zh-CN"/>
              </w:rPr>
              <w:t>项目厂房已建设完成，不需要进行土建施工，施工内容仅为</w:t>
            </w:r>
            <w:r>
              <w:rPr>
                <w:rFonts w:hint="eastAsia"/>
                <w:color w:val="auto"/>
                <w:spacing w:val="7"/>
                <w:lang w:eastAsia="zh-CN"/>
              </w:rPr>
              <w:t>地坪涂刷和</w:t>
            </w:r>
            <w:r>
              <w:rPr>
                <w:color w:val="auto"/>
                <w:spacing w:val="7"/>
                <w:lang w:eastAsia="zh-CN"/>
              </w:rPr>
              <w:t>设备安</w:t>
            </w:r>
            <w:r>
              <w:rPr>
                <w:color w:val="auto"/>
                <w:spacing w:val="6"/>
                <w:lang w:eastAsia="zh-CN"/>
              </w:rPr>
              <w:t>装。施</w:t>
            </w:r>
            <w:r>
              <w:rPr>
                <w:color w:val="auto"/>
                <w:spacing w:val="7"/>
                <w:lang w:eastAsia="zh-CN"/>
              </w:rPr>
              <w:t>工工程量小，施工周期短，施工期的环境影响</w:t>
            </w:r>
            <w:r>
              <w:rPr>
                <w:color w:val="auto"/>
                <w:spacing w:val="6"/>
                <w:lang w:eastAsia="zh-CN"/>
              </w:rPr>
              <w:t>相对较小。工艺流程及主要产污</w:t>
            </w:r>
            <w:r>
              <w:rPr>
                <w:color w:val="auto"/>
                <w:spacing w:val="-2"/>
                <w:lang w:eastAsia="zh-CN"/>
              </w:rPr>
              <w:t>环节如下：</w:t>
            </w:r>
          </w:p>
          <w:p>
            <w:pPr>
              <w:pStyle w:val="22"/>
              <w:kinsoku/>
              <w:spacing w:before="32" w:line="360" w:lineRule="auto"/>
              <w:jc w:val="center"/>
              <w:rPr>
                <w:rFonts w:hint="eastAsia"/>
                <w:color w:val="auto"/>
                <w:spacing w:val="-2"/>
                <w:lang w:eastAsia="zh-CN"/>
              </w:rPr>
            </w:pPr>
            <w:r>
              <w:rPr>
                <w:rFonts w:ascii="Times New Roman" w:hAnsi="Times New Roman" w:cs="Times New Roman"/>
                <w:b/>
                <w:bCs/>
                <w:color w:val="auto"/>
                <w:spacing w:val="-3"/>
                <w:sz w:val="21"/>
                <w:szCs w:val="21"/>
                <w:lang w:eastAsia="zh-CN"/>
              </w:rPr>
              <w:drawing>
                <wp:inline distT="0" distB="0" distL="114300" distR="114300">
                  <wp:extent cx="5649595" cy="1791970"/>
                  <wp:effectExtent l="0" t="0" r="0" b="0"/>
                  <wp:docPr id="3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2" descr="wps"/>
                          <pic:cNvPicPr>
                            <a:picLocks noChangeAspect="1"/>
                          </pic:cNvPicPr>
                        </pic:nvPicPr>
                        <pic:blipFill>
                          <a:blip r:embed="rId21"/>
                          <a:stretch>
                            <a:fillRect/>
                          </a:stretch>
                        </pic:blipFill>
                        <pic:spPr>
                          <a:xfrm>
                            <a:off x="0" y="0"/>
                            <a:ext cx="5649595" cy="1791970"/>
                          </a:xfrm>
                          <a:prstGeom prst="rect">
                            <a:avLst/>
                          </a:prstGeom>
                        </pic:spPr>
                      </pic:pic>
                    </a:graphicData>
                  </a:graphic>
                </wp:inline>
              </w:drawing>
            </w:r>
          </w:p>
          <w:p>
            <w:pPr>
              <w:pStyle w:val="22"/>
              <w:kinsoku/>
              <w:spacing w:before="32" w:line="360" w:lineRule="auto"/>
              <w:jc w:val="center"/>
              <w:rPr>
                <w:rFonts w:hint="eastAsia"/>
                <w:b/>
                <w:bCs/>
                <w:color w:val="auto"/>
                <w:spacing w:val="-3"/>
                <w:sz w:val="21"/>
                <w:szCs w:val="21"/>
                <w:lang w:eastAsia="zh-CN"/>
              </w:rPr>
            </w:pPr>
            <w:r>
              <w:rPr>
                <w:b/>
                <w:bCs/>
                <w:color w:val="auto"/>
                <w:spacing w:val="-3"/>
                <w:sz w:val="21"/>
                <w:szCs w:val="21"/>
                <w:lang w:eastAsia="zh-CN"/>
              </w:rPr>
              <w:t>图</w:t>
            </w:r>
            <w:r>
              <w:rPr>
                <w:rFonts w:ascii="Times New Roman" w:hAnsi="Times New Roman" w:eastAsia="Times New Roman" w:cs="Times New Roman"/>
                <w:b/>
                <w:bCs/>
                <w:color w:val="auto"/>
                <w:spacing w:val="-3"/>
                <w:sz w:val="21"/>
                <w:szCs w:val="21"/>
                <w:lang w:eastAsia="zh-CN"/>
              </w:rPr>
              <w:t>2-</w:t>
            </w:r>
            <w:r>
              <w:rPr>
                <w:rFonts w:hint="eastAsia" w:ascii="Times New Roman" w:hAnsi="Times New Roman" w:eastAsia="Times New Roman" w:cs="Times New Roman"/>
                <w:b/>
                <w:bCs/>
                <w:color w:val="auto"/>
                <w:spacing w:val="-3"/>
                <w:sz w:val="21"/>
                <w:szCs w:val="21"/>
                <w:lang w:eastAsia="zh-CN"/>
              </w:rPr>
              <w:t>2</w:t>
            </w:r>
            <w:r>
              <w:rPr>
                <w:b/>
                <w:bCs/>
                <w:color w:val="auto"/>
                <w:spacing w:val="-3"/>
                <w:sz w:val="21"/>
                <w:szCs w:val="21"/>
                <w:lang w:eastAsia="zh-CN"/>
              </w:rPr>
              <w:t>施工期工艺流程及产污节点示意图</w:t>
            </w:r>
          </w:p>
          <w:p>
            <w:pPr>
              <w:pStyle w:val="22"/>
              <w:kinsoku/>
              <w:spacing w:before="29" w:line="360" w:lineRule="auto"/>
              <w:ind w:left="586"/>
              <w:rPr>
                <w:rFonts w:hint="eastAsia"/>
                <w:color w:val="auto"/>
                <w:lang w:eastAsia="zh-CN"/>
              </w:rPr>
            </w:pPr>
            <w:r>
              <w:rPr>
                <w:rFonts w:hint="eastAsia" w:ascii="Times New Roman" w:hAnsi="Times New Roman" w:eastAsia="Times New Roman" w:cs="Times New Roman"/>
                <w:b/>
                <w:bCs/>
                <w:color w:val="auto"/>
                <w:spacing w:val="-8"/>
                <w:lang w:eastAsia="zh-CN"/>
              </w:rPr>
              <w:t>二、</w:t>
            </w:r>
            <w:r>
              <w:rPr>
                <w:b/>
                <w:bCs/>
                <w:color w:val="auto"/>
                <w:spacing w:val="-8"/>
                <w:lang w:eastAsia="zh-CN"/>
              </w:rPr>
              <w:t>运行期</w:t>
            </w:r>
          </w:p>
          <w:p>
            <w:pPr>
              <w:pStyle w:val="22"/>
              <w:kinsoku/>
              <w:spacing w:before="32" w:line="360" w:lineRule="auto"/>
              <w:ind w:firstLine="638" w:firstLineChars="273"/>
              <w:rPr>
                <w:rFonts w:ascii="Times New Roman" w:hAnsi="Times New Roman" w:cs="Times New Roman"/>
                <w:b/>
                <w:bCs/>
                <w:color w:val="auto"/>
                <w:spacing w:val="-3"/>
                <w:lang w:eastAsia="zh-CN"/>
              </w:rPr>
            </w:pPr>
            <w:r>
              <w:rPr>
                <w:color w:val="auto"/>
                <w:spacing w:val="-3"/>
                <w:lang w:eastAsia="zh-CN"/>
              </w:rPr>
              <w:t>项目生产工艺流程及产污节点图见图</w:t>
            </w:r>
            <w:r>
              <w:rPr>
                <w:rFonts w:ascii="Times New Roman" w:hAnsi="Times New Roman" w:eastAsia="Times New Roman" w:cs="Times New Roman"/>
                <w:color w:val="auto"/>
                <w:spacing w:val="-3"/>
                <w:lang w:eastAsia="zh-CN"/>
              </w:rPr>
              <w:t>2-</w:t>
            </w:r>
            <w:r>
              <w:rPr>
                <w:rFonts w:hint="eastAsia" w:ascii="Times New Roman" w:hAnsi="Times New Roman" w:cs="Times New Roman"/>
                <w:color w:val="auto"/>
                <w:spacing w:val="-3"/>
                <w:lang w:eastAsia="zh-CN"/>
              </w:rPr>
              <w:t>3。</w:t>
            </w:r>
          </w:p>
          <w:p>
            <w:pPr>
              <w:pStyle w:val="22"/>
              <w:kinsoku/>
              <w:spacing w:before="32" w:line="360" w:lineRule="auto"/>
              <w:jc w:val="center"/>
              <w:rPr>
                <w:rFonts w:hint="eastAsia"/>
                <w:b/>
                <w:bCs/>
                <w:color w:val="auto"/>
                <w:spacing w:val="-3"/>
                <w:lang w:eastAsia="zh-CN"/>
              </w:rPr>
            </w:pPr>
            <w:r>
              <w:rPr>
                <w:rFonts w:hint="eastAsia" w:ascii="Times New Roman" w:hAnsi="Times New Roman" w:cs="Times New Roman"/>
                <w:b/>
                <w:bCs/>
                <w:color w:val="auto"/>
                <w:spacing w:val="-3"/>
                <w:lang w:eastAsia="zh-CN"/>
              </w:rPr>
              <w:drawing>
                <wp:inline distT="0" distB="0" distL="114300" distR="114300">
                  <wp:extent cx="5026025" cy="4481830"/>
                  <wp:effectExtent l="0" t="0" r="0" b="0"/>
                  <wp:docPr id="5" name="ECB019B1-382A-4266-B25C-5B523AA43C14-3" descr="C:/Users/asus/AppData/Local/Temp/wps.lGxOE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C:/Users/asus/AppData/Local/Temp/wps.lGxOEuwps"/>
                          <pic:cNvPicPr>
                            <a:picLocks noChangeAspect="1"/>
                          </pic:cNvPicPr>
                        </pic:nvPicPr>
                        <pic:blipFill>
                          <a:blip r:embed="rId22"/>
                          <a:stretch>
                            <a:fillRect/>
                          </a:stretch>
                        </pic:blipFill>
                        <pic:spPr>
                          <a:xfrm>
                            <a:off x="0" y="0"/>
                            <a:ext cx="5047358" cy="4481830"/>
                          </a:xfrm>
                          <a:prstGeom prst="rect">
                            <a:avLst/>
                          </a:prstGeom>
                        </pic:spPr>
                      </pic:pic>
                    </a:graphicData>
                  </a:graphic>
                </wp:inline>
              </w:drawing>
            </w:r>
          </w:p>
          <w:p>
            <w:pPr>
              <w:pStyle w:val="22"/>
              <w:kinsoku/>
              <w:spacing w:before="32" w:line="360" w:lineRule="auto"/>
              <w:jc w:val="center"/>
              <w:rPr>
                <w:rFonts w:hint="eastAsia"/>
                <w:b/>
                <w:bCs/>
                <w:color w:val="auto"/>
                <w:spacing w:val="-3"/>
                <w:lang w:eastAsia="zh-CN"/>
              </w:rPr>
            </w:pPr>
            <w:r>
              <w:rPr>
                <w:b/>
                <w:bCs/>
                <w:color w:val="auto"/>
                <w:spacing w:val="-3"/>
                <w:sz w:val="21"/>
                <w:szCs w:val="21"/>
                <w:lang w:eastAsia="zh-CN"/>
              </w:rPr>
              <w:t>图</w:t>
            </w:r>
            <w:r>
              <w:rPr>
                <w:rFonts w:ascii="Times New Roman" w:hAnsi="Times New Roman" w:eastAsia="Times New Roman" w:cs="Times New Roman"/>
                <w:b/>
                <w:bCs/>
                <w:color w:val="auto"/>
                <w:spacing w:val="-3"/>
                <w:sz w:val="21"/>
                <w:szCs w:val="21"/>
                <w:lang w:eastAsia="zh-CN"/>
              </w:rPr>
              <w:t>2-</w:t>
            </w:r>
            <w:r>
              <w:rPr>
                <w:rFonts w:hint="eastAsia" w:ascii="Times New Roman" w:hAnsi="Times New Roman" w:cs="Times New Roman"/>
                <w:b/>
                <w:bCs/>
                <w:color w:val="auto"/>
                <w:spacing w:val="-3"/>
                <w:sz w:val="21"/>
                <w:szCs w:val="21"/>
                <w:lang w:eastAsia="zh-CN"/>
              </w:rPr>
              <w:t>3</w:t>
            </w:r>
            <w:r>
              <w:rPr>
                <w:b/>
                <w:bCs/>
                <w:color w:val="auto"/>
                <w:spacing w:val="-3"/>
                <w:sz w:val="21"/>
                <w:szCs w:val="21"/>
                <w:lang w:eastAsia="zh-CN"/>
              </w:rPr>
              <w:t>项目生产工艺流程及产污节点图</w:t>
            </w:r>
          </w:p>
          <w:p>
            <w:pPr>
              <w:pStyle w:val="22"/>
              <w:kinsoku/>
              <w:spacing w:before="39" w:line="360" w:lineRule="auto"/>
              <w:ind w:left="108" w:right="102" w:firstLine="602" w:firstLineChars="251"/>
              <w:rPr>
                <w:rFonts w:ascii="Times New Roman" w:hAnsi="Times New Roman" w:cs="Times New Roman"/>
                <w:color w:val="auto"/>
                <w:lang w:eastAsia="zh-CN"/>
              </w:rPr>
            </w:pPr>
            <w:r>
              <w:rPr>
                <w:rFonts w:hint="eastAsia" w:ascii="Times New Roman" w:hAnsi="Times New Roman" w:cs="Times New Roman"/>
                <w:color w:val="auto"/>
                <w:lang w:eastAsia="zh-CN"/>
              </w:rPr>
              <w:t>工艺流程及产污环节如下：</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1、排版：按照订单要求，将切割形状进行编辑。此工序不产生污染物。</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2、雕刻：将外购的板材利用全自动下料机等设备按照预设好的切割形状进行切割，切成不同规格的板材。此工序产生的主要污染物为切割过程产生的粉尘、噪声及废边角料。边角废料收集后外售至废品回收站；木屑粉尘</w:t>
            </w:r>
            <w:r>
              <w:rPr>
                <w:rFonts w:hint="eastAsia" w:ascii="Times New Roman" w:hAnsi="Times New Roman" w:cs="Times New Roman"/>
                <w:color w:val="auto"/>
                <w:lang w:eastAsia="zh-CN"/>
              </w:rPr>
              <w:t>经设备自带吸尘管及设备上方集气罩收集后通过废气收集管至中央除尘系统处理后通过1根15m高排气筒（DA001）排放</w:t>
            </w:r>
            <w:r>
              <w:rPr>
                <w:rFonts w:ascii="Times New Roman" w:hAnsi="Times New Roman" w:cs="Times New Roman"/>
                <w:color w:val="auto"/>
                <w:lang w:eastAsia="zh-CN"/>
              </w:rPr>
              <w:t>。</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中央除尘系统主要由吸尘主机、</w:t>
            </w:r>
            <w:r>
              <w:rPr>
                <w:rFonts w:hint="eastAsia" w:ascii="Times New Roman" w:hAnsi="Times New Roman" w:cs="Times New Roman"/>
                <w:color w:val="auto"/>
                <w:lang w:eastAsia="zh-CN"/>
              </w:rPr>
              <w:t>集尘袋、</w:t>
            </w:r>
            <w:r>
              <w:rPr>
                <w:rFonts w:ascii="Times New Roman" w:hAnsi="Times New Roman" w:cs="Times New Roman"/>
                <w:color w:val="auto"/>
                <w:lang w:eastAsia="zh-CN"/>
              </w:rPr>
              <w:t>集尘管道、吸尘插座、吸尘软管和吸尘手柄组成。吸尘主机安装在</w:t>
            </w:r>
            <w:r>
              <w:rPr>
                <w:rFonts w:hint="eastAsia" w:ascii="Times New Roman" w:hAnsi="Times New Roman" w:cs="Times New Roman"/>
                <w:color w:val="auto"/>
                <w:lang w:eastAsia="zh-CN"/>
              </w:rPr>
              <w:t>项目厂房外部西侧</w:t>
            </w:r>
            <w:r>
              <w:rPr>
                <w:rFonts w:ascii="Times New Roman" w:hAnsi="Times New Roman" w:cs="Times New Roman"/>
                <w:color w:val="auto"/>
                <w:lang w:eastAsia="zh-CN"/>
              </w:rPr>
              <w:t>。通过吸尘管道与每个</w:t>
            </w:r>
            <w:r>
              <w:rPr>
                <w:rFonts w:hint="eastAsia" w:ascii="Times New Roman" w:hAnsi="Times New Roman" w:cs="Times New Roman"/>
                <w:color w:val="auto"/>
                <w:lang w:eastAsia="zh-CN"/>
              </w:rPr>
              <w:t>产尘设备集气罩</w:t>
            </w:r>
            <w:r>
              <w:rPr>
                <w:rFonts w:ascii="Times New Roman" w:hAnsi="Times New Roman" w:cs="Times New Roman"/>
                <w:color w:val="auto"/>
                <w:lang w:eastAsia="zh-CN"/>
              </w:rPr>
              <w:t>吸尘插口相连接，通过吸尘主机将灰尘和杂物吸入集尘袋</w:t>
            </w:r>
            <w:r>
              <w:rPr>
                <w:rFonts w:hint="eastAsia" w:ascii="Times New Roman" w:hAnsi="Times New Roman" w:cs="Times New Roman"/>
                <w:color w:val="auto"/>
                <w:lang w:eastAsia="zh-CN"/>
              </w:rPr>
              <w:t>，达到除尘目的</w:t>
            </w:r>
            <w:r>
              <w:rPr>
                <w:rFonts w:ascii="Times New Roman" w:hAnsi="Times New Roman" w:cs="Times New Roman"/>
                <w:color w:val="auto"/>
                <w:lang w:eastAsia="zh-CN"/>
              </w:rPr>
              <w:t>。</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3、封边：全自动封边机为一体化机器。对切割好的板材四边使用封边胶和封边条进行贴合封边处理。该过程将产生少量挥发性有机物。</w:t>
            </w:r>
            <w:r>
              <w:rPr>
                <w:rFonts w:hint="eastAsia"/>
                <w:lang w:val="en-US" w:eastAsia="zh-CN"/>
              </w:rPr>
              <w:t>在封边工段采用盖板式封边机，关闭盖板时密闭封边机相当于小型集气罩，集气管道与封边设备紧密相连，在设备工作的情况下，风机持续运转，可保证操作空间持续处于微负压状态，封胶结束后开启盖板取出成品。生产全过程与设备紧密相连的集气管道对挥发性有机物进行收集，车间上方不额外设置集气罩，有机废气收集后接入一套二级活性炭吸附设备处理，最终由一根15m高排气筒DA002排放</w:t>
            </w:r>
            <w:r>
              <w:rPr>
                <w:rFonts w:ascii="Times New Roman" w:hAnsi="Times New Roman" w:cs="Times New Roman"/>
                <w:color w:val="auto"/>
                <w:lang w:eastAsia="zh-CN"/>
              </w:rPr>
              <w:t>。</w:t>
            </w:r>
          </w:p>
          <w:p>
            <w:pPr>
              <w:pStyle w:val="22"/>
              <w:kinsoku/>
              <w:spacing w:before="39" w:line="360" w:lineRule="auto"/>
              <w:ind w:right="102" w:firstLine="480" w:firstLineChars="200"/>
              <w:rPr>
                <w:rFonts w:ascii="Times New Roman" w:hAnsi="Times New Roman" w:cs="Times New Roman"/>
                <w:color w:val="auto"/>
                <w:lang w:eastAsia="zh-CN"/>
              </w:rPr>
            </w:pPr>
            <w:r>
              <w:rPr>
                <w:rFonts w:ascii="Times New Roman" w:hAnsi="Times New Roman" w:cs="Times New Roman"/>
                <w:color w:val="auto"/>
                <w:lang w:eastAsia="zh-CN"/>
              </w:rPr>
              <w:t>在封边胶桶开启及添加胶的过程中会产生少量</w:t>
            </w:r>
            <w:r>
              <w:rPr>
                <w:rFonts w:hint="eastAsia" w:ascii="Times New Roman" w:hAnsi="Times New Roman" w:cs="Times New Roman"/>
                <w:color w:val="auto"/>
                <w:lang w:eastAsia="zh-CN"/>
              </w:rPr>
              <w:t>异味</w:t>
            </w:r>
            <w:r>
              <w:rPr>
                <w:rFonts w:ascii="Times New Roman" w:hAnsi="Times New Roman" w:cs="Times New Roman"/>
                <w:color w:val="auto"/>
                <w:lang w:eastAsia="zh-CN"/>
              </w:rPr>
              <w:t>，通过空气自由扩散的方式进入外环境，以无组织形式排放。</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4、打孔：使用全自动打孔机等在板材上钻孔，用于安装螺丝或者开出隼眼。该过程主要产生设备噪声、粉尘。木屑粉尘</w:t>
            </w:r>
            <w:r>
              <w:rPr>
                <w:rFonts w:hint="eastAsia" w:ascii="Times New Roman" w:hAnsi="Times New Roman" w:cs="Times New Roman"/>
                <w:color w:val="auto"/>
                <w:lang w:eastAsia="zh-CN"/>
              </w:rPr>
              <w:t>经设备自带吸尘管及设备上方集气罩收集后通过废气收集管至中央除尘系统处理后通过1根15m高排气筒（DA001）排放</w:t>
            </w:r>
            <w:r>
              <w:rPr>
                <w:rFonts w:ascii="Times New Roman" w:hAnsi="Times New Roman" w:cs="Times New Roman"/>
                <w:color w:val="auto"/>
                <w:lang w:eastAsia="zh-CN"/>
              </w:rPr>
              <w:t>。</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5、清理：主要为清理板材表面杂质。该过程主要产生设备噪声、木屑粉尘、边角废料。边角废料收集后暂存于一般固废间，木屑粉尘</w:t>
            </w:r>
            <w:r>
              <w:rPr>
                <w:rFonts w:hint="eastAsia" w:ascii="Times New Roman" w:hAnsi="Times New Roman" w:cs="Times New Roman"/>
                <w:color w:val="auto"/>
                <w:lang w:eastAsia="zh-CN"/>
              </w:rPr>
              <w:t>经设备自带吸尘管及设备上方集气罩收集后通过废气收集管至中央除尘系统处理后通过1根15m高排气筒（DA001）排放</w:t>
            </w:r>
            <w:r>
              <w:rPr>
                <w:rFonts w:ascii="Times New Roman" w:hAnsi="Times New Roman" w:cs="Times New Roman"/>
                <w:color w:val="auto"/>
                <w:lang w:eastAsia="zh-CN"/>
              </w:rPr>
              <w:t>。</w:t>
            </w:r>
          </w:p>
          <w:p>
            <w:pPr>
              <w:pStyle w:val="22"/>
              <w:kinsoku/>
              <w:spacing w:before="39" w:line="360" w:lineRule="auto"/>
              <w:ind w:left="108" w:right="102" w:firstLine="602" w:firstLineChars="251"/>
              <w:rPr>
                <w:rFonts w:ascii="Times New Roman" w:hAnsi="Times New Roman" w:cs="Times New Roman"/>
                <w:color w:val="auto"/>
                <w:lang w:eastAsia="zh-CN"/>
              </w:rPr>
            </w:pPr>
            <w:r>
              <w:rPr>
                <w:rFonts w:ascii="Times New Roman" w:hAnsi="Times New Roman" w:cs="Times New Roman"/>
                <w:color w:val="auto"/>
                <w:lang w:eastAsia="zh-CN"/>
              </w:rPr>
              <w:t>6、质检、打包：对产品进行分拣，</w:t>
            </w:r>
            <w:r>
              <w:rPr>
                <w:rFonts w:hint="eastAsia" w:ascii="Times New Roman" w:hAnsi="Times New Roman" w:cs="Times New Roman"/>
                <w:color w:val="auto"/>
                <w:lang w:eastAsia="zh-CN"/>
              </w:rPr>
              <w:t>通过质检核实产品与订单内容的符合性，符合订单的</w:t>
            </w:r>
            <w:r>
              <w:rPr>
                <w:rFonts w:ascii="Times New Roman" w:hAnsi="Times New Roman" w:cs="Times New Roman"/>
                <w:color w:val="auto"/>
                <w:lang w:eastAsia="zh-CN"/>
              </w:rPr>
              <w:t>合格产品和五金配件等进行打包，根据客户指定时间段上门组装。不合格产品可回收利用的返回生产线，不可回收利用的与边角料一起收集后外售。</w:t>
            </w:r>
          </w:p>
          <w:p>
            <w:pPr>
              <w:pStyle w:val="22"/>
              <w:kinsoku/>
              <w:spacing w:before="39" w:line="360" w:lineRule="auto"/>
              <w:ind w:left="108" w:right="102" w:firstLine="602" w:firstLineChars="251"/>
              <w:rPr>
                <w:rFonts w:ascii="Times New Roman" w:hAnsi="Times New Roman" w:cs="Times New Roman"/>
                <w:color w:val="auto"/>
                <w:lang w:eastAsia="zh-CN"/>
              </w:rPr>
            </w:pPr>
            <w:r>
              <w:rPr>
                <w:rFonts w:hint="eastAsia" w:ascii="Times New Roman" w:hAnsi="Times New Roman" w:eastAsia="宋体" w:cs="Times New Roman"/>
                <w:color w:val="auto"/>
                <w:sz w:val="24"/>
                <w:szCs w:val="24"/>
                <w:lang w:val="en-US" w:eastAsia="zh-CN"/>
              </w:rPr>
              <w:t>本项目无抛光、砂光等工序</w:t>
            </w:r>
            <w:r>
              <w:rPr>
                <w:rFonts w:hint="eastAsia" w:ascii="Times New Roman" w:hAnsi="Times New Roman" w:cs="Times New Roman"/>
                <w:color w:val="auto"/>
                <w:sz w:val="24"/>
                <w:szCs w:val="24"/>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3" w:hRule="atLeast"/>
        </w:trPr>
        <w:tc>
          <w:tcPr>
            <w:tcW w:w="364" w:type="dxa"/>
            <w:tcBorders>
              <w:right w:val="single" w:color="000000" w:sz="2" w:space="0"/>
            </w:tcBorders>
          </w:tcPr>
          <w:p>
            <w:pPr>
              <w:kinsoku/>
              <w:jc w:val="center"/>
              <w:rPr>
                <w:color w:val="auto"/>
                <w:sz w:val="22"/>
                <w:szCs w:val="22"/>
                <w:lang w:eastAsia="zh-CN"/>
              </w:rPr>
            </w:pPr>
            <w:r>
              <w:rPr>
                <w:color w:val="auto"/>
                <w:spacing w:val="-1"/>
                <w:sz w:val="22"/>
                <w:szCs w:val="22"/>
                <w:lang w:eastAsia="zh-CN"/>
              </w:rPr>
              <w:t>与项</w:t>
            </w:r>
            <w:r>
              <w:rPr>
                <w:color w:val="auto"/>
                <w:spacing w:val="-1"/>
                <w:position w:val="1"/>
                <w:sz w:val="22"/>
                <w:szCs w:val="22"/>
                <w:lang w:eastAsia="zh-CN"/>
              </w:rPr>
              <w:t>目</w:t>
            </w:r>
            <w:r>
              <w:rPr>
                <w:color w:val="auto"/>
                <w:spacing w:val="-1"/>
                <w:sz w:val="22"/>
                <w:szCs w:val="22"/>
                <w:lang w:eastAsia="zh-CN"/>
              </w:rPr>
              <w:t>有关的原有环境污染问题</w:t>
            </w:r>
          </w:p>
          <w:p>
            <w:pPr>
              <w:pStyle w:val="22"/>
              <w:kinsoku/>
              <w:spacing w:before="111" w:line="199" w:lineRule="auto"/>
              <w:ind w:left="6086"/>
              <w:rPr>
                <w:rFonts w:hint="eastAsia"/>
                <w:color w:val="auto"/>
                <w:spacing w:val="-1"/>
                <w:lang w:eastAsia="zh-CN"/>
              </w:rPr>
            </w:pPr>
          </w:p>
        </w:tc>
        <w:tc>
          <w:tcPr>
            <w:tcW w:w="8926" w:type="dxa"/>
            <w:tcBorders>
              <w:left w:val="single" w:color="000000" w:sz="2" w:space="0"/>
            </w:tcBorders>
          </w:tcPr>
          <w:p>
            <w:pPr>
              <w:pStyle w:val="22"/>
              <w:kinsoku/>
              <w:spacing w:before="39" w:line="360" w:lineRule="auto"/>
              <w:ind w:left="108" w:right="102" w:firstLine="637" w:firstLineChars="251"/>
              <w:rPr>
                <w:rFonts w:ascii="Times New Roman" w:hAnsi="Times New Roman" w:cs="Times New Roman"/>
                <w:color w:val="auto"/>
                <w:lang w:eastAsia="zh-CN"/>
              </w:rPr>
            </w:pPr>
            <w:r>
              <w:rPr>
                <w:rFonts w:hint="eastAsia"/>
                <w:color w:val="auto"/>
                <w:spacing w:val="7"/>
                <w:lang w:eastAsia="zh-CN"/>
              </w:rPr>
              <w:t>本项目为新建项目，项目位于云南嵩明杨林工业园区东环路68号附3号，项目租用昆明明健工贸有限公司已建成厂房及办公楼，选址原计划建设“昆明明健工贸有限公司年产40万台动感单车、14万台椭圆机及10万台划船机建设项目”，因市场原因在取得环评批复（嵩生环复〔2022〕81号）后只进行了厂房及办公楼建设，并未对项目生产相关内容进行建设，故未进行环境保护竣工验收。</w:t>
            </w:r>
            <w:r>
              <w:rPr>
                <w:color w:val="auto"/>
                <w:spacing w:val="7"/>
                <w:lang w:eastAsia="zh-CN"/>
              </w:rPr>
              <w:t>根据现场</w:t>
            </w:r>
            <w:r>
              <w:rPr>
                <w:rFonts w:hint="eastAsia"/>
                <w:color w:val="auto"/>
                <w:spacing w:val="7"/>
                <w:lang w:eastAsia="zh-CN"/>
              </w:rPr>
              <w:t>勘查</w:t>
            </w:r>
            <w:r>
              <w:rPr>
                <w:color w:val="auto"/>
                <w:spacing w:val="7"/>
                <w:lang w:eastAsia="zh-CN"/>
              </w:rPr>
              <w:t>，</w:t>
            </w:r>
            <w:r>
              <w:rPr>
                <w:rFonts w:hint="eastAsia"/>
                <w:color w:val="auto"/>
                <w:spacing w:val="7"/>
                <w:lang w:eastAsia="zh-CN"/>
              </w:rPr>
              <w:t>项目拟租用厂房为新建成空置厂房，无原有污染物</w:t>
            </w:r>
            <w:r>
              <w:rPr>
                <w:color w:val="auto"/>
                <w:spacing w:val="7"/>
                <w:lang w:eastAsia="zh-CN"/>
              </w:rPr>
              <w:t>。因此不存在与本项目有</w:t>
            </w:r>
            <w:r>
              <w:rPr>
                <w:color w:val="auto"/>
                <w:spacing w:val="6"/>
                <w:lang w:eastAsia="zh-CN"/>
              </w:rPr>
              <w:t>关的原有污染情况及主要环境问</w:t>
            </w:r>
            <w:r>
              <w:rPr>
                <w:color w:val="auto"/>
                <w:spacing w:val="-5"/>
                <w:lang w:eastAsia="zh-CN"/>
              </w:rPr>
              <w:t>题。</w:t>
            </w:r>
          </w:p>
        </w:tc>
      </w:tr>
    </w:tbl>
    <w:p>
      <w:pPr>
        <w:kinsoku/>
        <w:rPr>
          <w:color w:val="auto"/>
          <w:lang w:eastAsia="zh-CN"/>
        </w:rPr>
        <w:sectPr>
          <w:footerReference r:id="rId4" w:type="default"/>
          <w:pgSz w:w="11906" w:h="16839"/>
          <w:pgMar w:top="1418" w:right="1300" w:bottom="1014" w:left="1300" w:header="0" w:footer="852" w:gutter="0"/>
          <w:cols w:space="720" w:num="1"/>
        </w:sectPr>
      </w:pPr>
    </w:p>
    <w:p>
      <w:pPr>
        <w:kinsoku/>
        <w:spacing w:before="59" w:line="218" w:lineRule="auto"/>
        <w:ind w:left="1351"/>
        <w:outlineLvl w:val="0"/>
        <w:rPr>
          <w:rFonts w:hint="eastAsia" w:ascii="宋体" w:hAnsi="宋体" w:eastAsia="宋体" w:cs="宋体"/>
          <w:color w:val="auto"/>
          <w:sz w:val="30"/>
          <w:szCs w:val="30"/>
          <w:lang w:eastAsia="zh-CN"/>
        </w:rPr>
      </w:pPr>
      <w:bookmarkStart w:id="14" w:name="bookmark5"/>
      <w:bookmarkEnd w:id="14"/>
      <w:bookmarkStart w:id="15" w:name="_Toc8994"/>
      <w:r>
        <w:rPr>
          <w:rFonts w:ascii="宋体" w:hAnsi="宋体" w:eastAsia="宋体" w:cs="宋体"/>
          <w:b/>
          <w:bCs/>
          <w:color w:val="auto"/>
          <w:spacing w:val="-3"/>
          <w:sz w:val="30"/>
          <w:szCs w:val="30"/>
          <w:lang w:eastAsia="zh-CN"/>
        </w:rPr>
        <w:t>三、区域环境质量现状、环境保护目标及评价标准</w:t>
      </w:r>
      <w:bookmarkEnd w:id="15"/>
    </w:p>
    <w:p>
      <w:pPr>
        <w:kinsoku/>
        <w:spacing w:line="183" w:lineRule="exact"/>
        <w:rPr>
          <w:color w:val="auto"/>
          <w:lang w:eastAsia="zh-CN"/>
        </w:rPr>
      </w:pPr>
    </w:p>
    <w:tbl>
      <w:tblPr>
        <w:tblStyle w:val="21"/>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9"/>
        <w:gridCol w:w="89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7" w:hRule="atLeast"/>
        </w:trPr>
        <w:tc>
          <w:tcPr>
            <w:tcW w:w="379" w:type="dxa"/>
            <w:tcBorders>
              <w:right w:val="single" w:color="000000" w:sz="2" w:space="0"/>
            </w:tcBorders>
            <w:vAlign w:val="center"/>
          </w:tcPr>
          <w:p>
            <w:pPr>
              <w:kinsoku/>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区域环境质量现状</w:t>
            </w:r>
          </w:p>
        </w:tc>
        <w:tc>
          <w:tcPr>
            <w:tcW w:w="8912" w:type="dxa"/>
            <w:tcBorders>
              <w:left w:val="single" w:color="000000" w:sz="2" w:space="0"/>
            </w:tcBorders>
          </w:tcPr>
          <w:p>
            <w:pPr>
              <w:pStyle w:val="22"/>
              <w:kinsoku/>
              <w:spacing w:before="180" w:line="219" w:lineRule="auto"/>
              <w:ind w:left="599"/>
              <w:rPr>
                <w:rFonts w:hint="eastAsia"/>
                <w:color w:val="auto"/>
                <w:lang w:eastAsia="zh-CN"/>
              </w:rPr>
            </w:pPr>
            <w:r>
              <w:rPr>
                <w:rFonts w:hint="eastAsia" w:ascii="Times New Roman" w:hAnsi="Times New Roman" w:cs="Times New Roman"/>
                <w:b/>
                <w:bCs/>
                <w:color w:val="auto"/>
                <w:spacing w:val="-7"/>
                <w:lang w:eastAsia="zh-CN"/>
              </w:rPr>
              <w:t>一</w:t>
            </w:r>
            <w:r>
              <w:rPr>
                <w:b/>
                <w:bCs/>
                <w:color w:val="auto"/>
                <w:spacing w:val="-7"/>
                <w:lang w:eastAsia="zh-CN"/>
              </w:rPr>
              <w:t>、</w:t>
            </w:r>
            <w:r>
              <w:rPr>
                <w:b/>
                <w:bCs/>
                <w:color w:val="auto"/>
                <w:spacing w:val="-4"/>
                <w:lang w:eastAsia="zh-CN"/>
              </w:rPr>
              <w:t>环境空气质量现状</w:t>
            </w:r>
          </w:p>
          <w:p>
            <w:pPr>
              <w:pStyle w:val="22"/>
              <w:kinsoku/>
              <w:spacing w:before="181" w:line="354" w:lineRule="auto"/>
              <w:ind w:left="220" w:right="103" w:firstLine="496" w:firstLineChars="200"/>
              <w:rPr>
                <w:rFonts w:ascii="Times New Roman" w:hAnsi="Times New Roman" w:cs="Times New Roman"/>
                <w:color w:val="auto"/>
                <w:spacing w:val="-1"/>
                <w:lang w:eastAsia="zh-CN"/>
              </w:rPr>
            </w:pPr>
            <w:r>
              <w:rPr>
                <w:color w:val="auto"/>
                <w:spacing w:val="4"/>
                <w:lang w:eastAsia="zh-CN"/>
              </w:rPr>
              <w:t>项目位于</w:t>
            </w:r>
            <w:r>
              <w:rPr>
                <w:rFonts w:hint="eastAsia"/>
                <w:color w:val="auto"/>
                <w:spacing w:val="4"/>
                <w:lang w:eastAsia="zh-CN"/>
              </w:rPr>
              <w:t>云南嵩明杨林工业园区东环路68号附3号</w:t>
            </w:r>
            <w:r>
              <w:rPr>
                <w:color w:val="auto"/>
                <w:spacing w:val="10"/>
                <w:lang w:eastAsia="zh-CN"/>
              </w:rPr>
              <w:t>，</w:t>
            </w:r>
            <w:r>
              <w:rPr>
                <w:color w:val="auto"/>
                <w:spacing w:val="4"/>
                <w:lang w:eastAsia="zh-CN"/>
              </w:rPr>
              <w:t>根据《云南省环境空气功能区划分（复审）》，规</w:t>
            </w:r>
            <w:r>
              <w:rPr>
                <w:color w:val="auto"/>
                <w:spacing w:val="3"/>
                <w:lang w:eastAsia="zh-CN"/>
              </w:rPr>
              <w:t>划区为环</w:t>
            </w:r>
            <w:r>
              <w:rPr>
                <w:color w:val="auto"/>
                <w:spacing w:val="12"/>
                <w:lang w:eastAsia="zh-CN"/>
              </w:rPr>
              <w:t>境空气二类区，区域环境空气质量</w:t>
            </w:r>
            <w:r>
              <w:rPr>
                <w:rFonts w:hint="eastAsia"/>
                <w:color w:val="auto"/>
                <w:spacing w:val="12"/>
                <w:lang w:eastAsia="zh-CN"/>
              </w:rPr>
              <w:t>TSP</w:t>
            </w:r>
            <w:r>
              <w:rPr>
                <w:color w:val="auto"/>
                <w:spacing w:val="12"/>
                <w:lang w:eastAsia="zh-CN"/>
              </w:rPr>
              <w:t>评价采用</w:t>
            </w:r>
            <w:r>
              <w:rPr>
                <w:rFonts w:hint="eastAsia"/>
                <w:color w:val="auto"/>
                <w:spacing w:val="12"/>
                <w:lang w:eastAsia="zh-CN"/>
              </w:rPr>
              <w:t>《环境空气质量标准》（GB3095-2012）及2018年修改单</w:t>
            </w:r>
            <w:r>
              <w:rPr>
                <w:color w:val="auto"/>
                <w:spacing w:val="-1"/>
                <w:lang w:eastAsia="zh-CN"/>
              </w:rPr>
              <w:t>二级标准</w:t>
            </w:r>
            <w:r>
              <w:rPr>
                <w:rFonts w:hint="eastAsia"/>
                <w:color w:val="auto"/>
                <w:spacing w:val="-1"/>
                <w:lang w:eastAsia="zh-CN"/>
              </w:rPr>
              <w:t>；</w:t>
            </w:r>
            <w:r>
              <w:rPr>
                <w:rFonts w:ascii="Times New Roman" w:hAnsi="Times New Roman" w:cs="Times New Roman"/>
                <w:color w:val="auto"/>
                <w:lang w:eastAsia="zh-CN"/>
              </w:rPr>
              <w:t>非甲烷总烃</w:t>
            </w:r>
            <w:r>
              <w:rPr>
                <w:rFonts w:hint="eastAsia" w:ascii="Times New Roman" w:hAnsi="Times New Roman" w:cs="Times New Roman"/>
                <w:color w:val="auto"/>
                <w:lang w:eastAsia="zh-CN"/>
              </w:rPr>
              <w:t>执行</w:t>
            </w:r>
            <w:r>
              <w:rPr>
                <w:rFonts w:ascii="Times New Roman" w:hAnsi="Times New Roman" w:cs="Times New Roman"/>
                <w:color w:val="auto"/>
                <w:lang w:eastAsia="zh-CN"/>
              </w:rPr>
              <w:t>《大气污染物综合排放标准详解》中的</w:t>
            </w:r>
            <w:r>
              <w:rPr>
                <w:rFonts w:hint="eastAsia" w:ascii="Times New Roman" w:hAnsi="Times New Roman" w:cs="Times New Roman"/>
                <w:color w:val="auto"/>
                <w:lang w:eastAsia="zh-CN"/>
              </w:rPr>
              <w:t>推荐浓度</w:t>
            </w:r>
            <w:r>
              <w:rPr>
                <w:rFonts w:ascii="Times New Roman" w:hAnsi="Times New Roman" w:cs="Times New Roman"/>
                <w:color w:val="auto"/>
                <w:lang w:eastAsia="zh-CN"/>
              </w:rPr>
              <w:t>限值</w:t>
            </w:r>
            <w:r>
              <w:rPr>
                <w:color w:val="auto"/>
                <w:spacing w:val="-1"/>
                <w:lang w:eastAsia="zh-CN"/>
              </w:rPr>
              <w:t>。</w:t>
            </w:r>
            <w:r>
              <w:rPr>
                <w:rFonts w:ascii="Times New Roman" w:hAnsi="Times New Roman" w:cs="Times New Roman"/>
                <w:color w:val="auto"/>
                <w:spacing w:val="-1"/>
                <w:lang w:eastAsia="zh-CN"/>
              </w:rPr>
              <w:t>标准限值见表3-</w:t>
            </w:r>
            <w:r>
              <w:rPr>
                <w:rFonts w:hint="eastAsia" w:ascii="Times New Roman" w:hAnsi="Times New Roman" w:cs="Times New Roman"/>
                <w:color w:val="auto"/>
                <w:spacing w:val="-1"/>
                <w:lang w:eastAsia="zh-CN"/>
              </w:rPr>
              <w:t>1</w:t>
            </w:r>
            <w:r>
              <w:rPr>
                <w:rFonts w:ascii="Times New Roman" w:hAnsi="Times New Roman" w:cs="Times New Roman"/>
                <w:color w:val="auto"/>
                <w:spacing w:val="-1"/>
                <w:lang w:eastAsia="zh-CN"/>
              </w:rPr>
              <w:t>。</w:t>
            </w:r>
          </w:p>
          <w:p>
            <w:pPr>
              <w:pStyle w:val="22"/>
              <w:kinsoku/>
              <w:spacing w:before="31" w:line="228" w:lineRule="auto"/>
              <w:ind w:left="3110"/>
              <w:rPr>
                <w:rFonts w:ascii="Times New Roman" w:hAnsi="Times New Roman" w:cs="Times New Roman"/>
                <w:color w:val="auto"/>
                <w:sz w:val="20"/>
                <w:szCs w:val="20"/>
                <w:lang w:eastAsia="zh-CN"/>
              </w:rPr>
            </w:pPr>
            <w:r>
              <w:rPr>
                <w:rFonts w:ascii="Times New Roman" w:hAnsi="Times New Roman" w:cs="Times New Roman"/>
                <w:b/>
                <w:bCs/>
                <w:color w:val="auto"/>
                <w:spacing w:val="5"/>
                <w:sz w:val="20"/>
                <w:szCs w:val="20"/>
                <w:lang w:eastAsia="zh-CN"/>
              </w:rPr>
              <w:t>表3-</w:t>
            </w:r>
            <w:r>
              <w:rPr>
                <w:rFonts w:hint="eastAsia" w:ascii="Times New Roman" w:hAnsi="Times New Roman" w:cs="Times New Roman"/>
                <w:b/>
                <w:bCs/>
                <w:color w:val="auto"/>
                <w:spacing w:val="5"/>
                <w:sz w:val="20"/>
                <w:szCs w:val="20"/>
                <w:lang w:eastAsia="zh-CN"/>
              </w:rPr>
              <w:t>1</w:t>
            </w:r>
            <w:r>
              <w:rPr>
                <w:rFonts w:ascii="Times New Roman" w:hAnsi="Times New Roman" w:cs="Times New Roman"/>
                <w:b/>
                <w:bCs/>
                <w:color w:val="auto"/>
                <w:spacing w:val="5"/>
                <w:sz w:val="20"/>
                <w:szCs w:val="20"/>
                <w:lang w:eastAsia="zh-CN"/>
              </w:rPr>
              <w:t>环境空气质量标准</w:t>
            </w:r>
          </w:p>
          <w:p>
            <w:pPr>
              <w:kinsoku/>
              <w:spacing w:line="129" w:lineRule="exact"/>
              <w:rPr>
                <w:rFonts w:ascii="Times New Roman" w:hAnsi="Times New Roman" w:eastAsia="宋体" w:cs="Times New Roman"/>
                <w:color w:val="auto"/>
                <w:lang w:eastAsia="zh-CN"/>
              </w:rPr>
            </w:pPr>
          </w:p>
          <w:tbl>
            <w:tblPr>
              <w:tblStyle w:val="16"/>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337"/>
              <w:gridCol w:w="1254"/>
              <w:gridCol w:w="1088"/>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32" w:type="dxa"/>
                  <w:vAlign w:val="center"/>
                </w:tcPr>
                <w:p>
                  <w:pPr>
                    <w:pStyle w:val="30"/>
                    <w:kinsoku/>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污染物项目</w:t>
                  </w:r>
                </w:p>
              </w:tc>
              <w:tc>
                <w:tcPr>
                  <w:tcW w:w="2337" w:type="dxa"/>
                  <w:vAlign w:val="center"/>
                </w:tcPr>
                <w:p>
                  <w:pPr>
                    <w:pStyle w:val="30"/>
                    <w:kinsoku/>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取值时间</w:t>
                  </w:r>
                </w:p>
              </w:tc>
              <w:tc>
                <w:tcPr>
                  <w:tcW w:w="1254" w:type="dxa"/>
                  <w:vAlign w:val="center"/>
                </w:tcPr>
                <w:p>
                  <w:pPr>
                    <w:pStyle w:val="30"/>
                    <w:kinsoku/>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标准限值</w:t>
                  </w:r>
                </w:p>
              </w:tc>
              <w:tc>
                <w:tcPr>
                  <w:tcW w:w="1088" w:type="dxa"/>
                  <w:vAlign w:val="center"/>
                </w:tcPr>
                <w:p>
                  <w:pPr>
                    <w:pStyle w:val="30"/>
                    <w:kinsoku/>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单位</w:t>
                  </w:r>
                </w:p>
              </w:tc>
              <w:tc>
                <w:tcPr>
                  <w:tcW w:w="2638" w:type="dxa"/>
                  <w:vAlign w:val="center"/>
                </w:tcPr>
                <w:p>
                  <w:pPr>
                    <w:pStyle w:val="30"/>
                    <w:kinsoku/>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2" w:type="dxa"/>
                  <w:vMerge w:val="restart"/>
                  <w:vAlign w:val="center"/>
                </w:tcPr>
                <w:p>
                  <w:pPr>
                    <w:kinsoku/>
                    <w:topLinePunct/>
                    <w:jc w:val="center"/>
                    <w:rPr>
                      <w:rFonts w:ascii="Times New Roman" w:hAnsi="Times New Roman" w:cs="Times New Roman"/>
                      <w:color w:val="auto"/>
                    </w:rPr>
                  </w:pPr>
                  <w:r>
                    <w:rPr>
                      <w:rFonts w:hint="eastAsia" w:ascii="Times New Roman" w:hAnsi="Times New Roman" w:cs="Times New Roman"/>
                      <w:color w:val="auto"/>
                    </w:rPr>
                    <w:t>TSP</w:t>
                  </w:r>
                </w:p>
              </w:tc>
              <w:tc>
                <w:tcPr>
                  <w:tcW w:w="2337" w:type="dxa"/>
                  <w:vAlign w:val="center"/>
                </w:tcPr>
                <w:p>
                  <w:pPr>
                    <w:kinsoku/>
                    <w:topLinePunct/>
                    <w:jc w:val="center"/>
                    <w:rPr>
                      <w:rFonts w:ascii="Times New Roman" w:hAnsi="Times New Roman" w:cs="Times New Roman"/>
                      <w:color w:val="auto"/>
                    </w:rPr>
                  </w:pPr>
                  <w:r>
                    <w:rPr>
                      <w:rFonts w:ascii="Times New Roman" w:hAnsi="Times New Roman" w:cs="Times New Roman"/>
                      <w:color w:val="auto"/>
                    </w:rPr>
                    <w:t>年平均</w:t>
                  </w:r>
                </w:p>
              </w:tc>
              <w:tc>
                <w:tcPr>
                  <w:tcW w:w="1254" w:type="dxa"/>
                  <w:vAlign w:val="center"/>
                </w:tcPr>
                <w:p>
                  <w:pPr>
                    <w:kinsoku/>
                    <w:topLinePunct/>
                    <w:jc w:val="center"/>
                    <w:rPr>
                      <w:rFonts w:ascii="Times New Roman" w:hAnsi="Times New Roman" w:cs="Times New Roman"/>
                      <w:color w:val="auto"/>
                    </w:rPr>
                  </w:pPr>
                  <w:r>
                    <w:rPr>
                      <w:rFonts w:hint="eastAsia" w:ascii="Times New Roman" w:hAnsi="Times New Roman" w:cs="Times New Roman"/>
                      <w:color w:val="auto"/>
                    </w:rPr>
                    <w:t>200</w:t>
                  </w:r>
                </w:p>
              </w:tc>
              <w:tc>
                <w:tcPr>
                  <w:tcW w:w="1088" w:type="dxa"/>
                  <w:vMerge w:val="restart"/>
                  <w:vAlign w:val="center"/>
                </w:tcPr>
                <w:p>
                  <w:pPr>
                    <w:pStyle w:val="30"/>
                    <w:kinsoku/>
                    <w:rPr>
                      <w:rFonts w:ascii="Times New Roman" w:hAnsi="Times New Roman" w:cs="Times New Roman"/>
                      <w:color w:val="auto"/>
                      <w:sz w:val="21"/>
                      <w:szCs w:val="21"/>
                    </w:rPr>
                  </w:pPr>
                  <w:r>
                    <w:rPr>
                      <w:rFonts w:ascii="Times New Roman" w:hAnsi="Times New Roman" w:cs="Times New Roman"/>
                      <w:color w:val="auto"/>
                      <w:sz w:val="21"/>
                      <w:szCs w:val="21"/>
                    </w:rPr>
                    <w:t>µg/m</w:t>
                  </w:r>
                  <w:r>
                    <w:rPr>
                      <w:rFonts w:ascii="Times New Roman" w:hAnsi="Times New Roman" w:cs="Times New Roman"/>
                      <w:color w:val="auto"/>
                      <w:sz w:val="21"/>
                      <w:szCs w:val="21"/>
                      <w:vertAlign w:val="superscript"/>
                    </w:rPr>
                    <w:t>3</w:t>
                  </w:r>
                </w:p>
              </w:tc>
              <w:tc>
                <w:tcPr>
                  <w:tcW w:w="2638" w:type="dxa"/>
                  <w:vMerge w:val="restart"/>
                  <w:vAlign w:val="center"/>
                </w:tcPr>
                <w:p>
                  <w:pPr>
                    <w:pStyle w:val="30"/>
                    <w:kinsoku/>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《环境空气质量标准》（GB3095-2012）及2018年修改单中的二级标准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32" w:type="dxa"/>
                  <w:vMerge w:val="continue"/>
                  <w:vAlign w:val="center"/>
                </w:tcPr>
                <w:p>
                  <w:pPr>
                    <w:kinsoku/>
                    <w:topLinePunct/>
                    <w:jc w:val="center"/>
                    <w:rPr>
                      <w:rFonts w:ascii="Times New Roman" w:hAnsi="Times New Roman" w:cs="Times New Roman"/>
                      <w:color w:val="auto"/>
                      <w:lang w:eastAsia="zh-CN"/>
                    </w:rPr>
                  </w:pPr>
                </w:p>
              </w:tc>
              <w:tc>
                <w:tcPr>
                  <w:tcW w:w="2337" w:type="dxa"/>
                  <w:vAlign w:val="center"/>
                </w:tcPr>
                <w:p>
                  <w:pPr>
                    <w:kinsoku/>
                    <w:topLinePunct/>
                    <w:jc w:val="center"/>
                    <w:rPr>
                      <w:rFonts w:ascii="Times New Roman" w:hAnsi="Times New Roman" w:cs="Times New Roman"/>
                      <w:color w:val="auto"/>
                    </w:rPr>
                  </w:pPr>
                  <w:r>
                    <w:rPr>
                      <w:rFonts w:ascii="Times New Roman" w:hAnsi="Times New Roman" w:cs="Times New Roman"/>
                      <w:color w:val="auto"/>
                    </w:rPr>
                    <w:t>24小时平均</w:t>
                  </w:r>
                </w:p>
              </w:tc>
              <w:tc>
                <w:tcPr>
                  <w:tcW w:w="1254" w:type="dxa"/>
                  <w:vAlign w:val="center"/>
                </w:tcPr>
                <w:p>
                  <w:pPr>
                    <w:kinsoku/>
                    <w:topLinePunct/>
                    <w:jc w:val="center"/>
                    <w:rPr>
                      <w:rFonts w:ascii="Times New Roman" w:hAnsi="Times New Roman" w:cs="Times New Roman"/>
                      <w:color w:val="auto"/>
                    </w:rPr>
                  </w:pPr>
                  <w:r>
                    <w:rPr>
                      <w:rFonts w:hint="eastAsia" w:ascii="Times New Roman" w:hAnsi="Times New Roman" w:cs="Times New Roman"/>
                      <w:color w:val="auto"/>
                    </w:rPr>
                    <w:t>300</w:t>
                  </w:r>
                </w:p>
              </w:tc>
              <w:tc>
                <w:tcPr>
                  <w:tcW w:w="1088" w:type="dxa"/>
                  <w:vMerge w:val="continue"/>
                  <w:vAlign w:val="center"/>
                </w:tcPr>
                <w:p>
                  <w:pPr>
                    <w:pStyle w:val="30"/>
                    <w:kinsoku/>
                    <w:rPr>
                      <w:rFonts w:ascii="Times New Roman" w:hAnsi="Times New Roman" w:cs="Times New Roman"/>
                      <w:color w:val="auto"/>
                      <w:sz w:val="21"/>
                      <w:szCs w:val="21"/>
                    </w:rPr>
                  </w:pPr>
                </w:p>
              </w:tc>
              <w:tc>
                <w:tcPr>
                  <w:tcW w:w="2638" w:type="dxa"/>
                  <w:vMerge w:val="continue"/>
                  <w:vAlign w:val="center"/>
                </w:tcPr>
                <w:p>
                  <w:pPr>
                    <w:pStyle w:val="30"/>
                    <w:kinsoku/>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332"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非甲烷总烃</w:t>
                  </w:r>
                </w:p>
              </w:tc>
              <w:tc>
                <w:tcPr>
                  <w:tcW w:w="2337"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1小时平均</w:t>
                  </w:r>
                </w:p>
              </w:tc>
              <w:tc>
                <w:tcPr>
                  <w:tcW w:w="1254"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2000</w:t>
                  </w:r>
                </w:p>
              </w:tc>
              <w:tc>
                <w:tcPr>
                  <w:tcW w:w="1088"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cs="Times New Roman"/>
                      <w:color w:val="auto"/>
                    </w:rPr>
                    <w:t>µg/m</w:t>
                  </w:r>
                  <w:r>
                    <w:rPr>
                      <w:rFonts w:ascii="Times New Roman" w:hAnsi="Times New Roman" w:cs="Times New Roman"/>
                      <w:color w:val="auto"/>
                      <w:vertAlign w:val="superscript"/>
                    </w:rPr>
                    <w:t>3</w:t>
                  </w:r>
                </w:p>
              </w:tc>
              <w:tc>
                <w:tcPr>
                  <w:tcW w:w="2638" w:type="dxa"/>
                  <w:vAlign w:val="center"/>
                </w:tcPr>
                <w:p>
                  <w:pPr>
                    <w:pStyle w:val="30"/>
                    <w:kinsoku/>
                    <w:rPr>
                      <w:rFonts w:ascii="Times New Roman" w:hAnsi="Times New Roman" w:cs="Times New Roman"/>
                      <w:color w:val="auto"/>
                      <w:sz w:val="21"/>
                      <w:szCs w:val="21"/>
                      <w:lang w:eastAsia="zh-CN"/>
                    </w:rPr>
                  </w:pPr>
                  <w:r>
                    <w:rPr>
                      <w:rFonts w:ascii="Times New Roman" w:hAnsi="Times New Roman" w:eastAsia="宋体" w:cs="Times New Roman"/>
                      <w:color w:val="auto"/>
                      <w:spacing w:val="4"/>
                      <w:lang w:eastAsia="zh-CN"/>
                    </w:rPr>
                    <w:t>《大气污染物综合排放 标准详解》</w:t>
                  </w:r>
                </w:p>
              </w:tc>
            </w:tr>
          </w:tbl>
          <w:p>
            <w:pPr>
              <w:pStyle w:val="22"/>
              <w:kinsoku/>
              <w:spacing w:before="180" w:line="353" w:lineRule="auto"/>
              <w:ind w:left="103" w:right="103" w:firstLine="488"/>
              <w:jc w:val="both"/>
              <w:rPr>
                <w:rFonts w:hint="eastAsia"/>
                <w:color w:val="auto"/>
                <w:spacing w:val="-1"/>
                <w:lang w:eastAsia="zh-CN"/>
              </w:rPr>
            </w:pPr>
            <w:r>
              <w:rPr>
                <w:rFonts w:ascii="Times New Roman" w:hAnsi="Times New Roman" w:cs="Times New Roman"/>
                <w:color w:val="auto"/>
                <w:spacing w:val="4"/>
                <w:lang w:eastAsia="zh-CN"/>
              </w:rPr>
              <w:t>本项目常规污染物环境空气质量现状评价引用嵩明县人民政府环境监测信息公开文件《</w:t>
            </w:r>
            <w:r>
              <w:rPr>
                <w:rFonts w:hint="eastAsia"/>
                <w:lang w:val="en-US" w:eastAsia="zh-CN"/>
              </w:rPr>
              <w:t>嵩明县2024年环境质量状况公报</w:t>
            </w:r>
            <w:r>
              <w:rPr>
                <w:rFonts w:ascii="Times New Roman" w:hAnsi="Times New Roman" w:cs="Times New Roman"/>
                <w:color w:val="auto"/>
                <w:spacing w:val="4"/>
                <w:lang w:eastAsia="zh-CN"/>
              </w:rPr>
              <w:t>》</w:t>
            </w:r>
            <w:r>
              <w:rPr>
                <w:rFonts w:hint="eastAsia" w:ascii="Times New Roman" w:hAnsi="Times New Roman" w:cs="Times New Roman"/>
                <w:color w:val="auto"/>
                <w:spacing w:val="4"/>
                <w:lang w:eastAsia="zh-CN"/>
              </w:rPr>
              <w:t>，</w:t>
            </w:r>
            <w:r>
              <w:rPr>
                <w:rFonts w:ascii="Times New Roman" w:hAnsi="Times New Roman" w:cs="Times New Roman"/>
                <w:color w:val="auto"/>
                <w:spacing w:val="4"/>
                <w:lang w:eastAsia="zh-CN"/>
              </w:rPr>
              <w:t>202</w:t>
            </w:r>
            <w:r>
              <w:rPr>
                <w:rFonts w:hint="eastAsia" w:ascii="Times New Roman" w:hAnsi="Times New Roman" w:cs="Times New Roman"/>
                <w:color w:val="auto"/>
                <w:spacing w:val="4"/>
                <w:lang w:eastAsia="zh-CN"/>
              </w:rPr>
              <w:t>4</w:t>
            </w:r>
            <w:r>
              <w:rPr>
                <w:rFonts w:ascii="Times New Roman" w:hAnsi="Times New Roman" w:cs="Times New Roman"/>
                <w:color w:val="auto"/>
                <w:spacing w:val="4"/>
                <w:lang w:eastAsia="zh-CN"/>
              </w:rPr>
              <w:t>年，全年环境空气质量有效监测354天，其中优204天，良150天，优良率为100%，质量综合指数为2.58。嵩明县环境空气质量能够达到</w:t>
            </w:r>
            <w:r>
              <w:rPr>
                <w:rFonts w:hint="eastAsia" w:ascii="Times New Roman" w:hAnsi="Times New Roman" w:cs="Times New Roman"/>
                <w:color w:val="auto"/>
                <w:spacing w:val="4"/>
                <w:lang w:eastAsia="zh-CN"/>
              </w:rPr>
              <w:t>《环境空气质量标准》（GB3095-2012）及2018年修改单</w:t>
            </w:r>
            <w:r>
              <w:rPr>
                <w:rFonts w:ascii="Times New Roman" w:hAnsi="Times New Roman" w:cs="Times New Roman"/>
                <w:color w:val="auto"/>
                <w:spacing w:val="4"/>
                <w:lang w:eastAsia="zh-CN"/>
              </w:rPr>
              <w:t>二级标准浓度限值。</w:t>
            </w:r>
          </w:p>
          <w:p>
            <w:pPr>
              <w:pStyle w:val="22"/>
              <w:kinsoku/>
              <w:spacing w:before="181" w:line="354" w:lineRule="auto"/>
              <w:ind w:left="103" w:right="103" w:firstLine="485"/>
              <w:jc w:val="both"/>
              <w:rPr>
                <w:rFonts w:ascii="Times New Roman" w:hAnsi="Times New Roman" w:cs="Times New Roman"/>
                <w:color w:val="auto"/>
                <w:spacing w:val="4"/>
                <w:lang w:eastAsia="zh-CN"/>
              </w:rPr>
            </w:pPr>
            <w:r>
              <w:rPr>
                <w:rFonts w:hint="eastAsia" w:ascii="Times New Roman" w:hAnsi="Times New Roman" w:cs="Times New Roman"/>
                <w:color w:val="auto"/>
                <w:lang w:eastAsia="zh-CN"/>
              </w:rPr>
              <w:t>项目排放特征污染物为TSP和非甲烷总烃，执行《环境空气质量标准》（GB3095-2012）及2018年修改单二级标准，根据《建设项目环境影响报告表编制技术指南（污染影响类）（试行）》，</w:t>
            </w:r>
            <w:r>
              <w:rPr>
                <w:rFonts w:ascii="Times New Roman" w:hAnsi="Times New Roman" w:cs="Times New Roman"/>
                <w:color w:val="auto"/>
                <w:spacing w:val="4"/>
                <w:lang w:eastAsia="zh-CN"/>
              </w:rPr>
              <w:t>本项目</w:t>
            </w:r>
            <w:r>
              <w:rPr>
                <w:rFonts w:hint="eastAsia" w:ascii="Times New Roman" w:hAnsi="Times New Roman" w:cs="Times New Roman"/>
                <w:color w:val="auto"/>
                <w:lang w:eastAsia="zh-CN"/>
              </w:rPr>
              <w:t>特征污染物为TSP和非甲烷总烃</w:t>
            </w:r>
            <w:r>
              <w:rPr>
                <w:rFonts w:ascii="Times New Roman" w:hAnsi="Times New Roman" w:cs="Times New Roman"/>
                <w:color w:val="auto"/>
                <w:spacing w:val="4"/>
                <w:lang w:eastAsia="zh-CN"/>
              </w:rPr>
              <w:t>环境空气质量现状引用</w:t>
            </w:r>
            <w:bookmarkStart w:id="16" w:name="_Hlk175212440"/>
            <w:r>
              <w:rPr>
                <w:rFonts w:ascii="Times New Roman" w:hAnsi="Times New Roman" w:cs="Times New Roman"/>
                <w:color w:val="auto"/>
                <w:spacing w:val="4"/>
                <w:lang w:eastAsia="zh-CN"/>
              </w:rPr>
              <w:t>《云南万事达钢化玻璃有限公司迁建钢化玻璃加工建设项目环境影响评价报告表》</w:t>
            </w:r>
            <w:bookmarkEnd w:id="16"/>
            <w:r>
              <w:rPr>
                <w:rFonts w:ascii="Times New Roman" w:hAnsi="Times New Roman" w:cs="Times New Roman"/>
                <w:color w:val="auto"/>
                <w:spacing w:val="4"/>
                <w:lang w:eastAsia="zh-CN"/>
              </w:rPr>
              <w:t>环境质量现状监测报告数据，</w:t>
            </w:r>
            <w:r>
              <w:rPr>
                <w:rFonts w:hint="eastAsia"/>
                <w:lang w:val="en-US" w:eastAsia="zh-CN"/>
              </w:rPr>
              <w:t>检测单位为云南天籁环保科技有限公司，</w:t>
            </w:r>
            <w:r>
              <w:rPr>
                <w:rFonts w:ascii="Times New Roman" w:hAnsi="Times New Roman" w:cs="Times New Roman"/>
                <w:color w:val="auto"/>
                <w:spacing w:val="4"/>
                <w:lang w:eastAsia="zh-CN"/>
              </w:rPr>
              <w:t>检测报告编号：[TLHB-WT-2024]-032807号，云南万事达钢化玻璃有限公司迁建钢化玻璃加工建设项目位于</w:t>
            </w:r>
            <w:r>
              <w:rPr>
                <w:rFonts w:ascii="Times New Roman" w:hAnsi="Times New Roman" w:cs="Times New Roman"/>
                <w:color w:val="auto"/>
                <w:lang w:eastAsia="zh-CN"/>
              </w:rPr>
              <w:t>昆明市嵩明县</w:t>
            </w:r>
            <w:bookmarkStart w:id="17" w:name="_Hlk175212575"/>
            <w:r>
              <w:rPr>
                <w:rFonts w:ascii="Times New Roman" w:hAnsi="Times New Roman" w:cs="Times New Roman"/>
                <w:color w:val="auto"/>
                <w:lang w:eastAsia="zh-CN"/>
              </w:rPr>
              <w:t>杨林镇老城村委会长嵩</w:t>
            </w:r>
            <w:r>
              <w:rPr>
                <w:rFonts w:ascii="Times New Roman" w:hAnsi="Times New Roman" w:cs="Times New Roman"/>
                <w:color w:val="auto"/>
                <w:spacing w:val="4"/>
                <w:lang w:eastAsia="zh-CN"/>
              </w:rPr>
              <w:t>大道</w:t>
            </w:r>
            <w:bookmarkEnd w:id="17"/>
            <w:r>
              <w:rPr>
                <w:rFonts w:ascii="Times New Roman" w:hAnsi="Times New Roman" w:cs="Times New Roman"/>
                <w:color w:val="auto"/>
                <w:spacing w:val="4"/>
                <w:lang w:eastAsia="zh-CN"/>
              </w:rPr>
              <w:t>云南诺鼎农业科技有限公司原有厂房，</w:t>
            </w:r>
            <w:r>
              <w:rPr>
                <w:rFonts w:hint="eastAsia" w:ascii="Times New Roman" w:hAnsi="Times New Roman" w:cs="Times New Roman"/>
                <w:color w:val="auto"/>
                <w:spacing w:val="4"/>
                <w:lang w:eastAsia="zh-CN"/>
              </w:rPr>
              <w:t>监测点</w:t>
            </w:r>
            <w:r>
              <w:rPr>
                <w:rFonts w:ascii="Times New Roman" w:hAnsi="Times New Roman" w:cs="Times New Roman"/>
                <w:color w:val="auto"/>
                <w:spacing w:val="4"/>
                <w:lang w:eastAsia="zh-CN"/>
              </w:rPr>
              <w:t>位于本项目南侧</w:t>
            </w:r>
            <w:r>
              <w:rPr>
                <w:rFonts w:hint="eastAsia" w:ascii="Times New Roman" w:hAnsi="Times New Roman" w:cs="Times New Roman"/>
                <w:color w:val="auto"/>
                <w:spacing w:val="4"/>
                <w:lang w:eastAsia="zh-CN"/>
              </w:rPr>
              <w:t>4000</w:t>
            </w:r>
            <w:r>
              <w:rPr>
                <w:rFonts w:ascii="Times New Roman" w:hAnsi="Times New Roman" w:cs="Times New Roman"/>
                <w:color w:val="auto"/>
                <w:spacing w:val="4"/>
                <w:lang w:eastAsia="zh-CN"/>
              </w:rPr>
              <w:t>米处，能满足《建设项目环境影响报告表编制技术指南（污染影响类）（试行）》建设项目周边5千米范围内近3年的现有监测数据</w:t>
            </w:r>
            <w:r>
              <w:rPr>
                <w:rFonts w:hint="eastAsia" w:ascii="Times New Roman" w:hAnsi="Times New Roman" w:cs="Times New Roman"/>
                <w:color w:val="auto"/>
                <w:spacing w:val="4"/>
                <w:lang w:eastAsia="zh-CN"/>
              </w:rPr>
              <w:t>”</w:t>
            </w:r>
            <w:r>
              <w:rPr>
                <w:rFonts w:ascii="Times New Roman" w:hAnsi="Times New Roman" w:cs="Times New Roman"/>
                <w:color w:val="auto"/>
                <w:spacing w:val="4"/>
                <w:lang w:eastAsia="zh-CN"/>
              </w:rPr>
              <w:t>引用条件。环境空气质量现状引用结果见表3-</w:t>
            </w:r>
            <w:r>
              <w:rPr>
                <w:rFonts w:hint="eastAsia" w:ascii="Times New Roman" w:hAnsi="Times New Roman" w:cs="Times New Roman"/>
                <w:color w:val="auto"/>
                <w:spacing w:val="4"/>
                <w:lang w:eastAsia="zh-CN"/>
              </w:rPr>
              <w:t>2</w:t>
            </w:r>
            <w:r>
              <w:rPr>
                <w:rFonts w:ascii="Times New Roman" w:hAnsi="Times New Roman" w:cs="Times New Roman"/>
                <w:color w:val="auto"/>
                <w:spacing w:val="4"/>
                <w:lang w:eastAsia="zh-CN"/>
              </w:rPr>
              <w:t>。</w:t>
            </w:r>
          </w:p>
          <w:p>
            <w:pPr>
              <w:pStyle w:val="22"/>
              <w:kinsoku/>
              <w:spacing w:before="181" w:line="354" w:lineRule="auto"/>
              <w:ind w:left="103" w:right="103" w:firstLine="117"/>
              <w:jc w:val="center"/>
              <w:rPr>
                <w:rFonts w:ascii="Times New Roman" w:hAnsi="Times New Roman" w:cs="Times New Roman"/>
                <w:b/>
                <w:bCs/>
                <w:color w:val="auto"/>
                <w:spacing w:val="6"/>
                <w:sz w:val="20"/>
                <w:szCs w:val="20"/>
                <w:lang w:eastAsia="zh-CN"/>
              </w:rPr>
            </w:pPr>
            <w:r>
              <w:rPr>
                <w:rFonts w:ascii="Times New Roman" w:hAnsi="Times New Roman" w:cs="Times New Roman"/>
                <w:b/>
                <w:bCs/>
                <w:color w:val="auto"/>
                <w:spacing w:val="7"/>
                <w:sz w:val="20"/>
                <w:szCs w:val="20"/>
                <w:lang w:eastAsia="zh-CN"/>
              </w:rPr>
              <w:t>表3-</w:t>
            </w:r>
            <w:r>
              <w:rPr>
                <w:rFonts w:hint="eastAsia" w:ascii="Times New Roman" w:hAnsi="Times New Roman" w:cs="Times New Roman"/>
                <w:b/>
                <w:bCs/>
                <w:color w:val="auto"/>
                <w:spacing w:val="7"/>
                <w:sz w:val="20"/>
                <w:szCs w:val="20"/>
                <w:lang w:eastAsia="zh-CN"/>
              </w:rPr>
              <w:t>2</w:t>
            </w:r>
            <w:r>
              <w:rPr>
                <w:rFonts w:ascii="Times New Roman" w:hAnsi="Times New Roman" w:cs="Times New Roman"/>
                <w:b/>
                <w:bCs/>
                <w:color w:val="auto"/>
                <w:spacing w:val="7"/>
                <w:sz w:val="20"/>
                <w:szCs w:val="20"/>
                <w:lang w:eastAsia="zh-CN"/>
              </w:rPr>
              <w:t>环境空气质量现状监测结果（单</w:t>
            </w:r>
            <w:r>
              <w:rPr>
                <w:rFonts w:ascii="Times New Roman" w:hAnsi="Times New Roman" w:cs="Times New Roman"/>
                <w:b/>
                <w:bCs/>
                <w:color w:val="auto"/>
                <w:spacing w:val="6"/>
                <w:sz w:val="20"/>
                <w:szCs w:val="20"/>
                <w:lang w:eastAsia="zh-CN"/>
              </w:rPr>
              <w:t>位：</w:t>
            </w:r>
            <w:r>
              <w:rPr>
                <w:rFonts w:ascii="Times New Roman" w:hAnsi="Times New Roman" w:cs="Times New Roman"/>
                <w:color w:val="auto"/>
                <w:sz w:val="20"/>
                <w:szCs w:val="20"/>
                <w:lang w:eastAsia="zh-CN"/>
              </w:rPr>
              <w:t>mg</w:t>
            </w:r>
            <w:r>
              <w:rPr>
                <w:rFonts w:ascii="Times New Roman" w:hAnsi="Times New Roman" w:cs="Times New Roman"/>
                <w:color w:val="auto"/>
                <w:spacing w:val="6"/>
                <w:sz w:val="20"/>
                <w:szCs w:val="20"/>
                <w:lang w:eastAsia="zh-CN"/>
              </w:rPr>
              <w:t>/m</w:t>
            </w:r>
            <w:r>
              <w:rPr>
                <w:rFonts w:ascii="Times New Roman" w:hAnsi="Times New Roman" w:cs="Times New Roman"/>
                <w:color w:val="auto"/>
                <w:spacing w:val="6"/>
                <w:position w:val="6"/>
                <w:sz w:val="13"/>
                <w:szCs w:val="13"/>
                <w:lang w:eastAsia="zh-CN"/>
              </w:rPr>
              <w:t>3</w:t>
            </w:r>
            <w:r>
              <w:rPr>
                <w:rFonts w:ascii="Times New Roman" w:hAnsi="Times New Roman" w:cs="Times New Roman"/>
                <w:b/>
                <w:bCs/>
                <w:color w:val="auto"/>
                <w:spacing w:val="6"/>
                <w:sz w:val="20"/>
                <w:szCs w:val="20"/>
                <w:lang w:eastAsia="zh-CN"/>
              </w:rPr>
              <w:t>）</w:t>
            </w:r>
          </w:p>
          <w:tbl>
            <w:tblPr>
              <w:tblStyle w:val="16"/>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395"/>
              <w:gridCol w:w="2100"/>
              <w:gridCol w:w="1350"/>
              <w:gridCol w:w="945"/>
              <w:gridCol w:w="126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项目</w:t>
                  </w:r>
                </w:p>
              </w:tc>
              <w:tc>
                <w:tcPr>
                  <w:tcW w:w="139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监测点位</w:t>
                  </w:r>
                </w:p>
              </w:tc>
              <w:tc>
                <w:tcPr>
                  <w:tcW w:w="2100"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浓度范围</w:t>
                  </w:r>
                </w:p>
              </w:tc>
              <w:tc>
                <w:tcPr>
                  <w:tcW w:w="1350"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浓度值</w:t>
                  </w:r>
                </w:p>
              </w:tc>
              <w:tc>
                <w:tcPr>
                  <w:tcW w:w="94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标准值</w:t>
                  </w:r>
                </w:p>
              </w:tc>
              <w:tc>
                <w:tcPr>
                  <w:tcW w:w="1260"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最大占标率（%）</w:t>
                  </w:r>
                </w:p>
              </w:tc>
              <w:tc>
                <w:tcPr>
                  <w:tcW w:w="82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10"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颗粒物</w:t>
                  </w:r>
                </w:p>
              </w:tc>
              <w:tc>
                <w:tcPr>
                  <w:tcW w:w="139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日均值2024.03.28~2024.03.31</w:t>
                  </w:r>
                </w:p>
              </w:tc>
              <w:tc>
                <w:tcPr>
                  <w:tcW w:w="210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spacing w:val="4"/>
                      <w:lang w:eastAsia="zh-CN"/>
                    </w:rPr>
                    <w:t>云南万事达钢化玻璃有限公司迁建钢化玻璃加工建设项目主导风向下风向</w:t>
                  </w:r>
                </w:p>
              </w:tc>
              <w:tc>
                <w:tcPr>
                  <w:tcW w:w="1350"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0.150~0.161</w:t>
                  </w:r>
                </w:p>
              </w:tc>
              <w:tc>
                <w:tcPr>
                  <w:tcW w:w="94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0.3</w:t>
                  </w:r>
                </w:p>
              </w:tc>
              <w:tc>
                <w:tcPr>
                  <w:tcW w:w="1260"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53.67</w:t>
                  </w:r>
                </w:p>
              </w:tc>
              <w:tc>
                <w:tcPr>
                  <w:tcW w:w="82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10" w:type="dxa"/>
                  <w:vMerge w:val="restart"/>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非甲烷总烃</w:t>
                  </w:r>
                </w:p>
              </w:tc>
              <w:tc>
                <w:tcPr>
                  <w:tcW w:w="1395"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小时浓度2024.03.28</w:t>
                  </w:r>
                </w:p>
              </w:tc>
              <w:tc>
                <w:tcPr>
                  <w:tcW w:w="210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spacing w:val="4"/>
                      <w:lang w:eastAsia="zh-CN"/>
                    </w:rPr>
                    <w:t>云南万事达钢化玻璃有限公司迁建钢化玻璃加工建设项目主导风向下风向</w:t>
                  </w:r>
                </w:p>
              </w:tc>
              <w:tc>
                <w:tcPr>
                  <w:tcW w:w="135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0.91~1.18</w:t>
                  </w:r>
                </w:p>
              </w:tc>
              <w:tc>
                <w:tcPr>
                  <w:tcW w:w="94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1260"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59.0</w:t>
                  </w:r>
                </w:p>
              </w:tc>
              <w:tc>
                <w:tcPr>
                  <w:tcW w:w="825" w:type="dxa"/>
                  <w:shd w:val="clear" w:color="auto" w:fill="auto"/>
                  <w:vAlign w:val="center"/>
                </w:tcPr>
                <w:p>
                  <w:pPr>
                    <w:kinsoku/>
                    <w:jc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10" w:type="dxa"/>
                  <w:vMerge w:val="continue"/>
                  <w:shd w:val="clear" w:color="auto" w:fill="auto"/>
                  <w:vAlign w:val="center"/>
                </w:tcPr>
                <w:p>
                  <w:pPr>
                    <w:kinsoku/>
                    <w:jc w:val="center"/>
                    <w:rPr>
                      <w:rFonts w:ascii="Times New Roman" w:hAnsi="Times New Roman" w:eastAsia="宋体" w:cs="Times New Roman"/>
                      <w:color w:val="auto"/>
                      <w:lang w:eastAsia="zh-CN"/>
                    </w:rPr>
                  </w:pPr>
                </w:p>
              </w:tc>
              <w:tc>
                <w:tcPr>
                  <w:tcW w:w="139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小时浓度2024.03.29</w:t>
                  </w:r>
                </w:p>
              </w:tc>
              <w:tc>
                <w:tcPr>
                  <w:tcW w:w="210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spacing w:val="4"/>
                      <w:lang w:eastAsia="zh-CN"/>
                    </w:rPr>
                    <w:t>云南万事达钢化玻璃有限公司迁建钢化玻璃加工建设项目主导风向下风向</w:t>
                  </w:r>
                </w:p>
              </w:tc>
              <w:tc>
                <w:tcPr>
                  <w:tcW w:w="135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0.87~1.05</w:t>
                  </w:r>
                </w:p>
              </w:tc>
              <w:tc>
                <w:tcPr>
                  <w:tcW w:w="94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1260"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52.5</w:t>
                  </w:r>
                </w:p>
              </w:tc>
              <w:tc>
                <w:tcPr>
                  <w:tcW w:w="825"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10" w:type="dxa"/>
                  <w:vMerge w:val="continue"/>
                  <w:shd w:val="clear" w:color="auto" w:fill="auto"/>
                  <w:vAlign w:val="center"/>
                </w:tcPr>
                <w:p>
                  <w:pPr>
                    <w:kinsoku/>
                    <w:jc w:val="center"/>
                    <w:rPr>
                      <w:rFonts w:ascii="Times New Roman" w:hAnsi="Times New Roman" w:eastAsia="宋体" w:cs="Times New Roman"/>
                      <w:color w:val="auto"/>
                      <w:lang w:eastAsia="zh-CN"/>
                    </w:rPr>
                  </w:pPr>
                </w:p>
              </w:tc>
              <w:tc>
                <w:tcPr>
                  <w:tcW w:w="139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小时浓度2024.03.30</w:t>
                  </w:r>
                </w:p>
              </w:tc>
              <w:tc>
                <w:tcPr>
                  <w:tcW w:w="210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spacing w:val="4"/>
                      <w:lang w:eastAsia="zh-CN"/>
                    </w:rPr>
                    <w:t>云南万事达钢化玻璃有限公司迁建钢化玻璃加工建设项目主导风向下风向</w:t>
                  </w:r>
                </w:p>
              </w:tc>
              <w:tc>
                <w:tcPr>
                  <w:tcW w:w="135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1.06~1.13</w:t>
                  </w:r>
                </w:p>
              </w:tc>
              <w:tc>
                <w:tcPr>
                  <w:tcW w:w="945"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1260"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56.5</w:t>
                  </w:r>
                </w:p>
              </w:tc>
              <w:tc>
                <w:tcPr>
                  <w:tcW w:w="825" w:type="dxa"/>
                  <w:shd w:val="clear" w:color="auto" w:fill="auto"/>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w:t>
                  </w:r>
                </w:p>
              </w:tc>
            </w:tr>
          </w:tbl>
          <w:p>
            <w:pPr>
              <w:pStyle w:val="22"/>
              <w:kinsoku/>
              <w:spacing w:before="179" w:line="353" w:lineRule="auto"/>
              <w:ind w:left="108" w:right="103" w:firstLine="478"/>
              <w:jc w:val="both"/>
              <w:rPr>
                <w:rFonts w:ascii="Times New Roman" w:hAnsi="Times New Roman" w:cs="Times New Roman"/>
                <w:color w:val="auto"/>
                <w:spacing w:val="-3"/>
                <w:lang w:eastAsia="zh-CN"/>
              </w:rPr>
            </w:pPr>
            <w:r>
              <w:rPr>
                <w:rFonts w:ascii="Times New Roman" w:hAnsi="Times New Roman" w:cs="Times New Roman"/>
                <w:color w:val="auto"/>
                <w:spacing w:val="8"/>
                <w:lang w:eastAsia="zh-CN"/>
              </w:rPr>
              <w:t>由表3-</w:t>
            </w:r>
            <w:r>
              <w:rPr>
                <w:rFonts w:hint="eastAsia" w:ascii="Times New Roman" w:hAnsi="Times New Roman" w:cs="Times New Roman"/>
                <w:color w:val="auto"/>
                <w:spacing w:val="8"/>
                <w:lang w:val="en-US" w:eastAsia="zh-CN"/>
              </w:rPr>
              <w:t>2</w:t>
            </w:r>
            <w:r>
              <w:rPr>
                <w:rFonts w:ascii="Times New Roman" w:hAnsi="Times New Roman" w:cs="Times New Roman"/>
                <w:color w:val="auto"/>
                <w:spacing w:val="8"/>
                <w:lang w:eastAsia="zh-CN"/>
              </w:rPr>
              <w:t>可以看出，杨</w:t>
            </w:r>
            <w:r>
              <w:rPr>
                <w:rFonts w:ascii="Times New Roman" w:hAnsi="Times New Roman" w:cs="Times New Roman"/>
                <w:color w:val="auto"/>
                <w:lang w:eastAsia="zh-CN"/>
              </w:rPr>
              <w:t>林镇老城村委会长嵩大道</w:t>
            </w:r>
            <w:r>
              <w:rPr>
                <w:rFonts w:hint="eastAsia" w:ascii="Times New Roman" w:hAnsi="Times New Roman" w:cs="Times New Roman"/>
                <w:color w:val="auto"/>
                <w:lang w:eastAsia="zh-CN"/>
              </w:rPr>
              <w:t>《</w:t>
            </w:r>
            <w:r>
              <w:rPr>
                <w:rFonts w:ascii="Times New Roman" w:hAnsi="Times New Roman" w:cs="Times New Roman"/>
                <w:color w:val="auto"/>
                <w:spacing w:val="4"/>
                <w:lang w:eastAsia="zh-CN"/>
              </w:rPr>
              <w:t>云南万事达钢化玻璃有限公司迁建钢化玻璃加工建设项目</w:t>
            </w:r>
            <w:r>
              <w:rPr>
                <w:rFonts w:hint="eastAsia" w:ascii="Times New Roman" w:hAnsi="Times New Roman" w:cs="Times New Roman"/>
                <w:color w:val="auto"/>
                <w:lang w:eastAsia="zh-CN"/>
              </w:rPr>
              <w:t>》</w:t>
            </w:r>
            <w:r>
              <w:rPr>
                <w:rFonts w:ascii="Times New Roman" w:hAnsi="Times New Roman" w:cs="Times New Roman"/>
                <w:color w:val="auto"/>
                <w:spacing w:val="8"/>
                <w:lang w:eastAsia="zh-CN"/>
              </w:rPr>
              <w:t>监测点环境空气</w:t>
            </w:r>
            <w:r>
              <w:rPr>
                <w:rFonts w:ascii="Times New Roman" w:hAnsi="Times New Roman" w:cs="Times New Roman"/>
                <w:color w:val="auto"/>
                <w:lang w:eastAsia="zh-CN"/>
              </w:rPr>
              <w:t>颗粒物监测浓度均能够达到</w:t>
            </w:r>
            <w:r>
              <w:rPr>
                <w:rFonts w:hint="eastAsia" w:ascii="Times New Roman" w:hAnsi="Times New Roman" w:cs="Times New Roman"/>
                <w:color w:val="auto"/>
                <w:lang w:eastAsia="zh-CN"/>
              </w:rPr>
              <w:t>《环境空气质量标准》（GB3095-2012）及2018年修改单</w:t>
            </w:r>
            <w:r>
              <w:rPr>
                <w:rFonts w:ascii="Times New Roman" w:hAnsi="Times New Roman" w:cs="Times New Roman"/>
                <w:color w:val="auto"/>
                <w:spacing w:val="-1"/>
                <w:lang w:eastAsia="zh-CN"/>
              </w:rPr>
              <w:t>二级</w:t>
            </w:r>
            <w:r>
              <w:rPr>
                <w:rFonts w:ascii="Times New Roman" w:hAnsi="Times New Roman" w:cs="Times New Roman"/>
                <w:color w:val="auto"/>
                <w:spacing w:val="5"/>
                <w:lang w:eastAsia="zh-CN"/>
              </w:rPr>
              <w:t>标准浓度限值，</w:t>
            </w:r>
            <w:r>
              <w:rPr>
                <w:rFonts w:ascii="Times New Roman" w:hAnsi="Times New Roman" w:cs="Times New Roman"/>
                <w:color w:val="auto"/>
                <w:lang w:eastAsia="zh-CN"/>
              </w:rPr>
              <w:t>非甲烷总烃满足《大气污染物综合排放标准详解》中2mg/m</w:t>
            </w:r>
            <w:r>
              <w:rPr>
                <w:rFonts w:ascii="Times New Roman" w:hAnsi="Times New Roman" w:cs="Times New Roman"/>
                <w:color w:val="auto"/>
                <w:vertAlign w:val="superscript"/>
                <w:lang w:eastAsia="zh-CN"/>
              </w:rPr>
              <w:t>3</w:t>
            </w:r>
            <w:r>
              <w:rPr>
                <w:rFonts w:ascii="Times New Roman" w:hAnsi="Times New Roman" w:cs="Times New Roman"/>
                <w:color w:val="auto"/>
                <w:lang w:eastAsia="zh-CN"/>
              </w:rPr>
              <w:t>的</w:t>
            </w:r>
            <w:r>
              <w:rPr>
                <w:rFonts w:hint="eastAsia" w:ascii="Times New Roman" w:hAnsi="Times New Roman" w:cs="Times New Roman"/>
                <w:color w:val="auto"/>
                <w:lang w:eastAsia="zh-CN"/>
              </w:rPr>
              <w:t>推荐浓度</w:t>
            </w:r>
            <w:r>
              <w:rPr>
                <w:rFonts w:ascii="Times New Roman" w:hAnsi="Times New Roman" w:cs="Times New Roman"/>
                <w:color w:val="auto"/>
                <w:lang w:eastAsia="zh-CN"/>
              </w:rPr>
              <w:t>限值要求</w:t>
            </w:r>
            <w:r>
              <w:rPr>
                <w:rFonts w:ascii="Times New Roman" w:hAnsi="Times New Roman" w:cs="Times New Roman"/>
                <w:color w:val="auto"/>
                <w:spacing w:val="-1"/>
                <w:lang w:eastAsia="zh-CN"/>
              </w:rPr>
              <w:t>，说明项目区环境空气质量现</w:t>
            </w:r>
            <w:r>
              <w:rPr>
                <w:rFonts w:ascii="Times New Roman" w:hAnsi="Times New Roman" w:cs="Times New Roman"/>
                <w:color w:val="auto"/>
                <w:spacing w:val="-3"/>
                <w:lang w:eastAsia="zh-CN"/>
              </w:rPr>
              <w:t>状良好。</w:t>
            </w:r>
          </w:p>
          <w:p>
            <w:pPr>
              <w:pStyle w:val="22"/>
              <w:kinsoku/>
              <w:spacing w:before="183" w:line="360" w:lineRule="auto"/>
              <w:ind w:left="599"/>
              <w:rPr>
                <w:rFonts w:hint="eastAsia"/>
                <w:color w:val="auto"/>
                <w:lang w:eastAsia="zh-CN"/>
              </w:rPr>
            </w:pPr>
            <w:r>
              <w:rPr>
                <w:rFonts w:hint="eastAsia"/>
                <w:b/>
                <w:bCs/>
                <w:color w:val="auto"/>
                <w:spacing w:val="-4"/>
                <w:lang w:eastAsia="zh-CN"/>
              </w:rPr>
              <w:t>二、</w:t>
            </w:r>
            <w:r>
              <w:rPr>
                <w:b/>
                <w:bCs/>
                <w:color w:val="auto"/>
                <w:spacing w:val="-4"/>
                <w:lang w:eastAsia="zh-CN"/>
              </w:rPr>
              <w:t>地表水环境质量现状</w:t>
            </w:r>
          </w:p>
          <w:p>
            <w:pPr>
              <w:kinsoku/>
              <w:spacing w:line="360" w:lineRule="auto"/>
              <w:ind w:firstLine="496" w:firstLineChars="200"/>
              <w:rPr>
                <w:rFonts w:ascii="Times New Roman" w:hAnsi="Times New Roman" w:eastAsia="宋体" w:cs="Times New Roman"/>
                <w:color w:val="auto"/>
                <w:spacing w:val="4"/>
                <w:sz w:val="24"/>
                <w:szCs w:val="24"/>
                <w:lang w:eastAsia="zh-CN"/>
              </w:rPr>
            </w:pPr>
            <w:r>
              <w:rPr>
                <w:rFonts w:ascii="Times New Roman" w:hAnsi="Times New Roman" w:eastAsia="宋体" w:cs="Times New Roman"/>
                <w:color w:val="auto"/>
                <w:spacing w:val="4"/>
                <w:sz w:val="24"/>
                <w:szCs w:val="24"/>
                <w:lang w:eastAsia="zh-CN"/>
              </w:rPr>
              <w:t>项目所在区域最近的地表水体为</w:t>
            </w:r>
            <w:r>
              <w:rPr>
                <w:rFonts w:hint="eastAsia" w:ascii="Times New Roman" w:hAnsi="Times New Roman" w:eastAsia="宋体" w:cs="Times New Roman"/>
                <w:color w:val="auto"/>
                <w:spacing w:val="4"/>
                <w:sz w:val="24"/>
                <w:szCs w:val="24"/>
                <w:lang w:eastAsia="zh-CN"/>
              </w:rPr>
              <w:t>花庄河与对龙河交汇处至嘉丽泽区间</w:t>
            </w:r>
            <w:r>
              <w:rPr>
                <w:rFonts w:hint="eastAsia" w:ascii="Times New Roman" w:hAnsi="Times New Roman" w:eastAsia="宋体" w:cs="Times New Roman"/>
                <w:color w:val="auto"/>
                <w:spacing w:val="4"/>
                <w:sz w:val="24"/>
                <w:szCs w:val="24"/>
                <w:lang w:val="en-US" w:eastAsia="zh-CN"/>
              </w:rPr>
              <w:t>段，该段地表水为</w:t>
            </w:r>
            <w:r>
              <w:rPr>
                <w:rFonts w:hint="eastAsia" w:ascii="Times New Roman" w:hAnsi="Times New Roman" w:eastAsia="宋体" w:cs="Times New Roman"/>
                <w:color w:val="auto"/>
                <w:spacing w:val="4"/>
                <w:sz w:val="24"/>
                <w:szCs w:val="24"/>
                <w:lang w:eastAsia="zh-CN"/>
              </w:rPr>
              <w:t>花庄河（</w:t>
            </w:r>
            <w:r>
              <w:rPr>
                <w:rFonts w:hint="eastAsia" w:ascii="Times New Roman" w:hAnsi="Times New Roman" w:eastAsia="宋体" w:cs="Times New Roman"/>
                <w:color w:val="auto"/>
                <w:spacing w:val="4"/>
                <w:sz w:val="24"/>
                <w:szCs w:val="24"/>
                <w:lang w:val="en-US" w:eastAsia="zh-CN"/>
              </w:rPr>
              <w:t>对龙河</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4"/>
                <w:sz w:val="24"/>
                <w:szCs w:val="24"/>
                <w:lang w:eastAsia="zh-CN"/>
              </w:rPr>
              <w:t>，</w:t>
            </w:r>
            <w:r>
              <w:rPr>
                <w:color w:val="auto"/>
                <w:spacing w:val="3"/>
                <w:sz w:val="24"/>
                <w:szCs w:val="24"/>
                <w:lang w:eastAsia="zh-CN"/>
              </w:rPr>
              <w:t>位于项目</w:t>
            </w:r>
            <w:r>
              <w:rPr>
                <w:rFonts w:hint="eastAsia"/>
                <w:color w:val="auto"/>
                <w:spacing w:val="3"/>
                <w:sz w:val="24"/>
                <w:szCs w:val="24"/>
                <w:lang w:val="en-US" w:eastAsia="zh-CN"/>
              </w:rPr>
              <w:t>西</w:t>
            </w:r>
            <w:r>
              <w:rPr>
                <w:color w:val="auto"/>
                <w:spacing w:val="3"/>
                <w:sz w:val="24"/>
                <w:szCs w:val="24"/>
                <w:lang w:eastAsia="zh-CN"/>
              </w:rPr>
              <w:t>北面</w:t>
            </w:r>
            <w:r>
              <w:rPr>
                <w:rFonts w:hint="eastAsia" w:ascii="Times New Roman" w:hAnsi="Times New Roman" w:eastAsia="Times New Roman" w:cs="Times New Roman"/>
                <w:color w:val="auto"/>
                <w:spacing w:val="3"/>
                <w:sz w:val="24"/>
                <w:szCs w:val="24"/>
                <w:lang w:eastAsia="zh-CN"/>
              </w:rPr>
              <w:t>1247</w:t>
            </w:r>
            <w:r>
              <w:rPr>
                <w:rFonts w:ascii="Times New Roman" w:hAnsi="Times New Roman" w:eastAsia="Times New Roman" w:cs="Times New Roman"/>
                <w:color w:val="auto"/>
                <w:spacing w:val="3"/>
                <w:sz w:val="24"/>
                <w:szCs w:val="24"/>
                <w:lang w:eastAsia="zh-CN"/>
              </w:rPr>
              <w:t>m</w:t>
            </w:r>
            <w:r>
              <w:rPr>
                <w:color w:val="auto"/>
                <w:spacing w:val="3"/>
                <w:sz w:val="24"/>
                <w:szCs w:val="24"/>
                <w:lang w:eastAsia="zh-CN"/>
              </w:rPr>
              <w:t>。</w:t>
            </w:r>
            <w:r>
              <w:rPr>
                <w:rFonts w:hint="eastAsia" w:ascii="Times New Roman" w:hAnsi="Times New Roman" w:eastAsia="宋体" w:cs="Times New Roman"/>
                <w:color w:val="auto"/>
                <w:spacing w:val="4"/>
                <w:sz w:val="24"/>
                <w:szCs w:val="24"/>
                <w:lang w:eastAsia="zh-CN"/>
              </w:rPr>
              <w:t>花庄河（</w:t>
            </w:r>
            <w:r>
              <w:rPr>
                <w:rFonts w:hint="eastAsia" w:ascii="Times New Roman" w:hAnsi="Times New Roman" w:eastAsia="宋体" w:cs="Times New Roman"/>
                <w:color w:val="auto"/>
                <w:spacing w:val="4"/>
                <w:sz w:val="24"/>
                <w:szCs w:val="24"/>
                <w:lang w:val="en-US" w:eastAsia="zh-CN"/>
              </w:rPr>
              <w:t>对龙河</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4"/>
                <w:sz w:val="24"/>
                <w:szCs w:val="24"/>
                <w:lang w:eastAsia="zh-CN"/>
              </w:rPr>
              <w:t>汇入牛栏江。根据《昆明市和滇中产业新区水功能区划（2011-2030年）》，</w:t>
            </w:r>
            <w:r>
              <w:rPr>
                <w:rFonts w:hint="eastAsia" w:ascii="Times New Roman" w:hAnsi="Times New Roman" w:cs="宋体"/>
                <w:b/>
                <w:bCs/>
                <w:color w:val="auto"/>
                <w:sz w:val="24"/>
                <w:szCs w:val="24"/>
                <w:lang w:eastAsia="zh-CN"/>
              </w:rPr>
              <w:t>花庄河官渡</w:t>
            </w:r>
            <w:r>
              <w:rPr>
                <w:rFonts w:ascii="Times New Roman" w:hAnsi="Times New Roman" w:cs="Times New Roman"/>
                <w:b/>
                <w:bCs/>
                <w:color w:val="auto"/>
                <w:sz w:val="24"/>
                <w:szCs w:val="24"/>
                <w:lang w:eastAsia="zh-CN"/>
              </w:rPr>
              <w:t>-</w:t>
            </w:r>
            <w:r>
              <w:rPr>
                <w:rFonts w:hint="eastAsia" w:ascii="Times New Roman" w:hAnsi="Times New Roman" w:cs="宋体"/>
                <w:b/>
                <w:bCs/>
                <w:color w:val="auto"/>
                <w:sz w:val="24"/>
                <w:szCs w:val="24"/>
                <w:lang w:eastAsia="zh-CN"/>
              </w:rPr>
              <w:t>嵩明开发利用区：</w:t>
            </w:r>
            <w:r>
              <w:rPr>
                <w:rFonts w:hint="eastAsia" w:ascii="Times New Roman" w:hAnsi="Times New Roman" w:cs="宋体"/>
                <w:color w:val="auto"/>
                <w:sz w:val="24"/>
                <w:szCs w:val="24"/>
                <w:lang w:eastAsia="zh-CN"/>
              </w:rPr>
              <w:t>源头至入牛栏江汇口，河长</w:t>
            </w:r>
            <w:r>
              <w:rPr>
                <w:rFonts w:ascii="Times New Roman" w:hAnsi="Times New Roman" w:cs="Times New Roman"/>
                <w:color w:val="auto"/>
                <w:sz w:val="24"/>
                <w:szCs w:val="24"/>
                <w:lang w:eastAsia="zh-CN"/>
              </w:rPr>
              <w:t>37.9km</w:t>
            </w:r>
            <w:r>
              <w:rPr>
                <w:rFonts w:hint="eastAsia" w:ascii="Times New Roman" w:hAnsi="Times New Roman" w:cs="宋体"/>
                <w:color w:val="auto"/>
                <w:sz w:val="24"/>
                <w:szCs w:val="24"/>
                <w:lang w:eastAsia="zh-CN"/>
              </w:rPr>
              <w:t>。其中八家村中型水库为下游嵩明大型灌区和杨林工业园区主要供水水源之一</w:t>
            </w:r>
            <w:r>
              <w:rPr>
                <w:rFonts w:hint="eastAsia" w:ascii="Times New Roman" w:hAnsi="Times New Roman" w:eastAsia="宋体" w:cs="宋体"/>
                <w:color w:val="auto"/>
                <w:sz w:val="24"/>
                <w:szCs w:val="24"/>
                <w:lang w:eastAsia="zh-CN"/>
              </w:rPr>
              <w:t>，</w:t>
            </w:r>
            <w:r>
              <w:rPr>
                <w:rFonts w:hint="eastAsia" w:ascii="Times New Roman" w:hAnsi="Times New Roman" w:cs="宋体"/>
                <w:color w:val="auto"/>
                <w:sz w:val="24"/>
                <w:szCs w:val="24"/>
                <w:lang w:eastAsia="zh-CN"/>
              </w:rPr>
              <w:t>规划水平年水质保护目标按水功能二级区划执行。</w:t>
            </w:r>
            <w:r>
              <w:rPr>
                <w:rFonts w:ascii="Times New Roman" w:hAnsi="Times New Roman" w:eastAsia="宋体" w:cs="Times New Roman"/>
                <w:color w:val="auto"/>
                <w:spacing w:val="4"/>
                <w:sz w:val="24"/>
                <w:szCs w:val="24"/>
                <w:lang w:eastAsia="zh-CN"/>
              </w:rPr>
              <w:t>执行《地表水环境质量标准》（GB3838-2002）Ⅲ类水标准</w:t>
            </w:r>
            <w:r>
              <w:rPr>
                <w:rFonts w:hint="eastAsia" w:ascii="Times New Roman" w:hAnsi="Times New Roman" w:eastAsia="宋体" w:cs="Times New Roman"/>
                <w:color w:val="auto"/>
                <w:spacing w:val="4"/>
                <w:sz w:val="24"/>
                <w:szCs w:val="24"/>
                <w:lang w:eastAsia="zh-CN"/>
              </w:rPr>
              <w:t>。</w:t>
            </w:r>
          </w:p>
          <w:p>
            <w:pPr>
              <w:kinsoku/>
              <w:spacing w:line="360" w:lineRule="auto"/>
              <w:ind w:firstLine="496" w:firstLineChars="200"/>
              <w:rPr>
                <w:rFonts w:ascii="Times New Roman" w:hAnsi="Times New Roman" w:eastAsia="宋体" w:cs="Times New Roman"/>
                <w:color w:val="auto"/>
                <w:spacing w:val="4"/>
                <w:sz w:val="24"/>
                <w:szCs w:val="24"/>
                <w:lang w:eastAsia="zh-CN"/>
              </w:rPr>
            </w:pPr>
            <w:r>
              <w:rPr>
                <w:rFonts w:hint="eastAsia" w:ascii="Times New Roman" w:hAnsi="Times New Roman" w:eastAsia="宋体" w:cs="Times New Roman"/>
                <w:color w:val="auto"/>
                <w:spacing w:val="4"/>
                <w:sz w:val="24"/>
                <w:szCs w:val="24"/>
                <w:lang w:eastAsia="zh-CN"/>
              </w:rPr>
              <w:t>根据《云南嵩明杨林工业园区总体规划修改（</w:t>
            </w:r>
            <w:r>
              <w:rPr>
                <w:rFonts w:ascii="Times New Roman" w:hAnsi="Times New Roman" w:eastAsia="宋体" w:cs="Times New Roman"/>
                <w:color w:val="auto"/>
                <w:spacing w:val="4"/>
                <w:sz w:val="24"/>
                <w:szCs w:val="24"/>
                <w:lang w:eastAsia="zh-CN"/>
              </w:rPr>
              <w:t>2018-2035</w:t>
            </w:r>
            <w:r>
              <w:rPr>
                <w:rFonts w:hint="eastAsia" w:ascii="Times New Roman" w:hAnsi="Times New Roman" w:eastAsia="宋体" w:cs="Times New Roman"/>
                <w:color w:val="auto"/>
                <w:spacing w:val="4"/>
                <w:sz w:val="24"/>
                <w:szCs w:val="24"/>
                <w:lang w:eastAsia="zh-CN"/>
              </w:rPr>
              <w:t>）》花庄河与对龙河交汇处至嘉丽泽区间为对龙河，其监测断面名为“对龙河-官渡桥断面”；根据</w:t>
            </w:r>
            <w:r>
              <w:rPr>
                <w:rFonts w:ascii="Times New Roman" w:hAnsi="Times New Roman" w:eastAsia="宋体" w:cs="Times New Roman"/>
                <w:color w:val="auto"/>
                <w:spacing w:val="4"/>
                <w:sz w:val="24"/>
                <w:szCs w:val="24"/>
                <w:lang w:eastAsia="zh-CN"/>
              </w:rPr>
              <w:t>《昆明市和滇中产业新区水功能区划（2011-2030年）》</w:t>
            </w:r>
            <w:r>
              <w:rPr>
                <w:rFonts w:hint="eastAsia" w:ascii="Times New Roman" w:hAnsi="Times New Roman" w:eastAsia="宋体" w:cs="Times New Roman"/>
                <w:color w:val="auto"/>
                <w:spacing w:val="4"/>
                <w:sz w:val="24"/>
                <w:szCs w:val="24"/>
                <w:lang w:eastAsia="zh-CN"/>
              </w:rPr>
              <w:t>及现行昆明市地图，花庄河与对龙河交汇处至嘉丽泽区间名为花庄河；同时，嵩明县水环境质量监测断面保留了监测断面名称“对龙河-官渡桥断面”的命名方式；本次环评</w:t>
            </w:r>
            <w:r>
              <w:rPr>
                <w:rFonts w:hint="eastAsia" w:ascii="Times New Roman" w:hAnsi="Times New Roman" w:eastAsia="宋体" w:cs="Times New Roman"/>
                <w:color w:val="auto"/>
                <w:spacing w:val="4"/>
                <w:sz w:val="24"/>
                <w:szCs w:val="24"/>
                <w:lang w:val="en-US" w:eastAsia="zh-CN"/>
              </w:rPr>
              <w:t>参照</w:t>
            </w:r>
            <w:r>
              <w:rPr>
                <w:rFonts w:ascii="Times New Roman" w:hAnsi="Times New Roman" w:eastAsia="宋体" w:cs="Times New Roman"/>
                <w:color w:val="auto"/>
                <w:spacing w:val="4"/>
                <w:sz w:val="24"/>
                <w:szCs w:val="24"/>
                <w:lang w:eastAsia="zh-CN"/>
              </w:rPr>
              <w:t>《昆明市和滇中产业新区水功能区划（2011-2030年）》</w:t>
            </w:r>
            <w:r>
              <w:rPr>
                <w:rFonts w:hint="eastAsia" w:ascii="Times New Roman" w:hAnsi="Times New Roman" w:eastAsia="宋体" w:cs="Times New Roman"/>
                <w:color w:val="auto"/>
                <w:spacing w:val="4"/>
                <w:sz w:val="24"/>
                <w:szCs w:val="24"/>
                <w:lang w:eastAsia="zh-CN"/>
              </w:rPr>
              <w:t>及现行昆明市地图，</w:t>
            </w:r>
            <w:r>
              <w:rPr>
                <w:rFonts w:hint="eastAsia" w:ascii="Times New Roman" w:hAnsi="Times New Roman" w:eastAsia="宋体" w:cs="Times New Roman"/>
                <w:color w:val="auto"/>
                <w:spacing w:val="4"/>
                <w:sz w:val="24"/>
                <w:szCs w:val="24"/>
                <w:lang w:val="en-US" w:eastAsia="zh-CN"/>
              </w:rPr>
              <w:t>表述为</w:t>
            </w:r>
            <w:r>
              <w:rPr>
                <w:rFonts w:hint="eastAsia" w:ascii="Times New Roman" w:hAnsi="Times New Roman" w:eastAsia="宋体" w:cs="Times New Roman"/>
                <w:color w:val="auto"/>
                <w:spacing w:val="4"/>
                <w:sz w:val="24"/>
                <w:szCs w:val="24"/>
                <w:lang w:eastAsia="zh-CN"/>
              </w:rPr>
              <w:t>“花庄河（</w:t>
            </w:r>
            <w:r>
              <w:rPr>
                <w:rFonts w:hint="eastAsia" w:ascii="Times New Roman" w:hAnsi="Times New Roman" w:eastAsia="宋体" w:cs="Times New Roman"/>
                <w:color w:val="auto"/>
                <w:spacing w:val="4"/>
                <w:sz w:val="24"/>
                <w:szCs w:val="24"/>
                <w:lang w:val="en-US" w:eastAsia="zh-CN"/>
              </w:rPr>
              <w:t>对龙河</w:t>
            </w:r>
            <w:r>
              <w:rPr>
                <w:rFonts w:hint="eastAsia" w:ascii="Times New Roman" w:hAnsi="Times New Roman" w:eastAsia="宋体" w:cs="Times New Roman"/>
                <w:color w:val="auto"/>
                <w:spacing w:val="4"/>
                <w:sz w:val="24"/>
                <w:szCs w:val="24"/>
                <w:lang w:eastAsia="zh-CN"/>
              </w:rPr>
              <w:t>）”，监测断面“对龙河-官渡桥断面”</w:t>
            </w:r>
            <w:r>
              <w:rPr>
                <w:rFonts w:hint="eastAsia" w:ascii="Times New Roman" w:hAnsi="Times New Roman" w:eastAsia="宋体" w:cs="Times New Roman"/>
                <w:color w:val="auto"/>
                <w:spacing w:val="4"/>
                <w:sz w:val="24"/>
                <w:szCs w:val="24"/>
                <w:lang w:val="en-US" w:eastAsia="zh-CN"/>
              </w:rPr>
              <w:t>位于花庄河（对龙河）上</w:t>
            </w:r>
            <w:r>
              <w:rPr>
                <w:rFonts w:hint="eastAsia" w:ascii="Times New Roman" w:hAnsi="Times New Roman" w:eastAsia="宋体" w:cs="Times New Roman"/>
                <w:color w:val="auto"/>
                <w:spacing w:val="4"/>
                <w:sz w:val="24"/>
                <w:szCs w:val="24"/>
                <w:lang w:eastAsia="zh-CN"/>
              </w:rPr>
              <w:t>。</w:t>
            </w:r>
          </w:p>
          <w:p>
            <w:pPr>
              <w:pStyle w:val="22"/>
              <w:kinsoku/>
              <w:spacing w:before="179" w:line="353" w:lineRule="auto"/>
              <w:ind w:left="108" w:right="103" w:firstLine="478"/>
              <w:jc w:val="both"/>
              <w:rPr>
                <w:rFonts w:ascii="Times New Roman" w:hAnsi="Times New Roman"/>
                <w:color w:val="auto"/>
                <w:lang w:eastAsia="zh-CN"/>
              </w:rPr>
            </w:pPr>
            <w:r>
              <w:rPr>
                <w:rFonts w:ascii="Times New Roman" w:hAnsi="Times New Roman" w:cs="Times New Roman"/>
                <w:color w:val="auto"/>
                <w:spacing w:val="4"/>
                <w:lang w:eastAsia="zh-CN"/>
              </w:rPr>
              <w:t>根据</w:t>
            </w:r>
            <w:bookmarkStart w:id="18" w:name="OLE_LINK43"/>
            <w:r>
              <w:rPr>
                <w:rFonts w:ascii="Times New Roman" w:hAnsi="Times New Roman" w:cs="Times New Roman"/>
                <w:color w:val="auto"/>
                <w:spacing w:val="4"/>
                <w:lang w:eastAsia="zh-CN"/>
              </w:rPr>
              <w:t>嵩明县人民政府</w:t>
            </w:r>
            <w:bookmarkEnd w:id="18"/>
            <w:r>
              <w:rPr>
                <w:rFonts w:ascii="Times New Roman" w:hAnsi="Times New Roman" w:cs="Times New Roman"/>
                <w:color w:val="auto"/>
                <w:spacing w:val="4"/>
                <w:lang w:eastAsia="zh-CN"/>
              </w:rPr>
              <w:t>环境监测信息公开《</w:t>
            </w:r>
            <w:r>
              <w:rPr>
                <w:rFonts w:hint="eastAsia" w:ascii="Times New Roman" w:hAnsi="Times New Roman" w:cs="Times New Roman"/>
                <w:color w:val="auto"/>
                <w:spacing w:val="4"/>
                <w:lang w:eastAsia="zh-CN"/>
              </w:rPr>
              <w:t>嵩明县2024年环境质量状况公报</w:t>
            </w:r>
            <w:r>
              <w:rPr>
                <w:rFonts w:ascii="Times New Roman" w:hAnsi="Times New Roman" w:cs="Times New Roman"/>
                <w:color w:val="auto"/>
                <w:spacing w:val="4"/>
                <w:lang w:eastAsia="zh-CN"/>
              </w:rPr>
              <w:t>》显示，涉及河道监测断面为对龙河-官渡桥断面，该断面位于本项目下游约2550m处，202</w:t>
            </w:r>
            <w:r>
              <w:rPr>
                <w:rFonts w:hint="eastAsia" w:ascii="Times New Roman" w:hAnsi="Times New Roman" w:cs="Times New Roman"/>
                <w:color w:val="auto"/>
                <w:spacing w:val="4"/>
                <w:lang w:eastAsia="zh-CN"/>
              </w:rPr>
              <w:t>4</w:t>
            </w:r>
            <w:r>
              <w:rPr>
                <w:rFonts w:ascii="Times New Roman" w:hAnsi="Times New Roman" w:cs="Times New Roman"/>
                <w:color w:val="auto"/>
                <w:spacing w:val="4"/>
                <w:lang w:eastAsia="zh-CN"/>
              </w:rPr>
              <w:t>年水质为Ⅲ类，水质能够满足《地表水环境质量标准》（GB3838-2002）</w:t>
            </w:r>
            <w:r>
              <w:rPr>
                <w:rFonts w:hint="eastAsia" w:ascii="Times New Roman" w:hAnsi="Times New Roman" w:cs="Times New Roman"/>
                <w:color w:val="auto"/>
                <w:spacing w:val="4"/>
                <w:lang w:eastAsia="zh-CN"/>
              </w:rPr>
              <w:t>Ⅲ</w:t>
            </w:r>
            <w:r>
              <w:rPr>
                <w:rFonts w:ascii="Times New Roman" w:hAnsi="Times New Roman" w:cs="Times New Roman"/>
                <w:color w:val="auto"/>
                <w:spacing w:val="4"/>
                <w:lang w:eastAsia="zh-CN"/>
              </w:rPr>
              <w:t>类水体标准</w:t>
            </w:r>
            <w:r>
              <w:rPr>
                <w:rFonts w:hint="eastAsia" w:ascii="Times New Roman" w:hAnsi="Times New Roman"/>
                <w:color w:val="auto"/>
                <w:lang w:eastAsia="zh-CN"/>
              </w:rPr>
              <w:t>。</w:t>
            </w:r>
          </w:p>
          <w:p>
            <w:pPr>
              <w:pStyle w:val="22"/>
              <w:kinsoku/>
              <w:spacing w:before="179" w:line="353" w:lineRule="auto"/>
              <w:ind w:left="108" w:leftChars="0" w:right="103" w:hanging="108" w:firstLineChars="0"/>
              <w:jc w:val="both"/>
              <w:rPr>
                <w:rFonts w:ascii="Times New Roman" w:hAnsi="Times New Roman" w:cs="Times New Roman"/>
                <w:color w:val="auto"/>
                <w:spacing w:val="4"/>
                <w:lang w:eastAsia="zh-CN"/>
              </w:rPr>
            </w:pPr>
            <w:r>
              <w:rPr>
                <w:color w:val="auto"/>
              </w:rPr>
              <w:drawing>
                <wp:inline distT="0" distB="0" distL="114300" distR="114300">
                  <wp:extent cx="5647055" cy="6855460"/>
                  <wp:effectExtent l="0" t="0" r="1079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a:stretch>
                            <a:fillRect/>
                          </a:stretch>
                        </pic:blipFill>
                        <pic:spPr>
                          <a:xfrm>
                            <a:off x="0" y="0"/>
                            <a:ext cx="5647055" cy="6855460"/>
                          </a:xfrm>
                          <a:prstGeom prst="rect">
                            <a:avLst/>
                          </a:prstGeom>
                          <a:noFill/>
                          <a:ln>
                            <a:noFill/>
                          </a:ln>
                        </pic:spPr>
                      </pic:pic>
                    </a:graphicData>
                  </a:graphic>
                </wp:inline>
              </w:drawing>
            </w:r>
          </w:p>
          <w:p>
            <w:pPr>
              <w:pStyle w:val="22"/>
              <w:kinsoku/>
              <w:spacing w:before="179" w:line="353" w:lineRule="auto"/>
              <w:ind w:left="108" w:right="103" w:hanging="108"/>
              <w:jc w:val="center"/>
              <w:rPr>
                <w:rFonts w:ascii="Times New Roman" w:hAnsi="Times New Roman" w:cs="Times New Roman"/>
                <w:b/>
                <w:bCs/>
                <w:color w:val="auto"/>
                <w:spacing w:val="6"/>
                <w:sz w:val="20"/>
                <w:szCs w:val="20"/>
                <w:lang w:eastAsia="zh-CN"/>
              </w:rPr>
            </w:pPr>
            <w:r>
              <w:rPr>
                <w:rFonts w:ascii="Times New Roman" w:hAnsi="Times New Roman" w:cs="Times New Roman"/>
                <w:b/>
                <w:bCs/>
                <w:color w:val="auto"/>
                <w:spacing w:val="6"/>
                <w:sz w:val="20"/>
                <w:szCs w:val="20"/>
                <w:lang w:eastAsia="zh-CN"/>
              </w:rPr>
              <w:t>图3-1 项目引用水质状况结果一览表</w:t>
            </w:r>
          </w:p>
          <w:p>
            <w:pPr>
              <w:pStyle w:val="22"/>
              <w:kinsoku/>
              <w:spacing w:before="33" w:line="219" w:lineRule="auto"/>
              <w:ind w:left="608"/>
              <w:rPr>
                <w:rFonts w:hint="eastAsia"/>
                <w:color w:val="auto"/>
                <w:lang w:eastAsia="zh-CN"/>
              </w:rPr>
            </w:pPr>
            <w:r>
              <w:rPr>
                <w:rFonts w:hint="eastAsia"/>
                <w:b/>
                <w:bCs/>
                <w:color w:val="auto"/>
                <w:spacing w:val="-4"/>
                <w:lang w:eastAsia="zh-CN"/>
              </w:rPr>
              <w:t>三、</w:t>
            </w:r>
            <w:r>
              <w:rPr>
                <w:b/>
                <w:bCs/>
                <w:color w:val="auto"/>
                <w:spacing w:val="-4"/>
                <w:lang w:eastAsia="zh-CN"/>
              </w:rPr>
              <w:t>声环境质量现状</w:t>
            </w:r>
          </w:p>
          <w:p>
            <w:pPr>
              <w:pStyle w:val="22"/>
              <w:kinsoku/>
              <w:spacing w:before="179" w:line="353" w:lineRule="auto"/>
              <w:ind w:left="108" w:right="103" w:firstLine="478"/>
              <w:jc w:val="both"/>
              <w:rPr>
                <w:rFonts w:ascii="Times New Roman" w:hAnsi="Times New Roman" w:cs="Times New Roman"/>
                <w:color w:val="auto"/>
                <w:spacing w:val="-2"/>
                <w:lang w:eastAsia="zh-CN"/>
              </w:rPr>
            </w:pPr>
            <w:r>
              <w:rPr>
                <w:color w:val="auto"/>
                <w:spacing w:val="4"/>
                <w:lang w:eastAsia="zh-CN"/>
              </w:rPr>
              <w:t>项目位于</w:t>
            </w:r>
            <w:r>
              <w:rPr>
                <w:rFonts w:hint="eastAsia"/>
                <w:color w:val="auto"/>
                <w:spacing w:val="4"/>
                <w:lang w:eastAsia="zh-CN"/>
              </w:rPr>
              <w:t>云南嵩明杨林工业园区东环路68号附3号</w:t>
            </w:r>
            <w:r>
              <w:rPr>
                <w:color w:val="auto"/>
                <w:spacing w:val="5"/>
                <w:lang w:eastAsia="zh-CN"/>
              </w:rPr>
              <w:t>，</w:t>
            </w:r>
            <w:r>
              <w:rPr>
                <w:rFonts w:ascii="Times New Roman" w:hAnsi="Times New Roman" w:cs="Times New Roman"/>
                <w:color w:val="auto"/>
                <w:spacing w:val="3"/>
                <w:lang w:eastAsia="zh-CN"/>
              </w:rPr>
              <w:t>根据嵩明县噪声</w:t>
            </w:r>
            <w:r>
              <w:rPr>
                <w:rFonts w:ascii="Times New Roman" w:hAnsi="Times New Roman" w:cs="Times New Roman"/>
                <w:color w:val="auto"/>
                <w:spacing w:val="-1"/>
                <w:lang w:eastAsia="zh-CN"/>
              </w:rPr>
              <w:t>功能区划，项目所在地区属于3类噪声区域，执行《声环境质量标准》（GB3096-2008）中3类标准</w:t>
            </w:r>
            <w:r>
              <w:rPr>
                <w:rFonts w:ascii="Times New Roman" w:hAnsi="Times New Roman" w:cs="Times New Roman"/>
                <w:color w:val="auto"/>
                <w:spacing w:val="-2"/>
                <w:lang w:eastAsia="zh-CN"/>
              </w:rPr>
              <w:t>要求。</w:t>
            </w:r>
          </w:p>
          <w:p>
            <w:pPr>
              <w:pStyle w:val="22"/>
              <w:kinsoku/>
              <w:spacing w:before="179" w:line="353" w:lineRule="auto"/>
              <w:ind w:left="108" w:right="103" w:firstLine="478"/>
              <w:jc w:val="both"/>
              <w:rPr>
                <w:rFonts w:ascii="Times New Roman" w:hAnsi="Times New Roman" w:cs="Times New Roman"/>
                <w:color w:val="auto"/>
                <w:spacing w:val="-1"/>
                <w:lang w:eastAsia="zh-CN"/>
              </w:rPr>
            </w:pPr>
            <w:r>
              <w:rPr>
                <w:rFonts w:hint="eastAsia" w:ascii="Times New Roman" w:hAnsi="Times New Roman" w:cs="Times New Roman"/>
                <w:color w:val="auto"/>
                <w:lang w:eastAsia="zh-CN"/>
              </w:rPr>
              <w:t>根据现场踏勘，项目厂界外50m内不存在声环境保护目标，根据《建设项目环境影响报告表编制技术指南（污染影响类）（试行）》，未开展声环境现状监测</w:t>
            </w:r>
            <w:r>
              <w:rPr>
                <w:rFonts w:ascii="Times New Roman" w:hAnsi="Times New Roman" w:cs="Times New Roman"/>
                <w:color w:val="auto"/>
                <w:spacing w:val="-1"/>
                <w:lang w:eastAsia="zh-CN"/>
              </w:rPr>
              <w:t>。</w:t>
            </w:r>
          </w:p>
          <w:p>
            <w:pPr>
              <w:pStyle w:val="22"/>
              <w:kinsoku/>
              <w:spacing w:before="37" w:line="219" w:lineRule="auto"/>
              <w:ind w:left="599"/>
              <w:rPr>
                <w:rFonts w:hint="eastAsia"/>
                <w:color w:val="auto"/>
                <w:lang w:eastAsia="zh-CN"/>
              </w:rPr>
            </w:pPr>
            <w:r>
              <w:rPr>
                <w:rFonts w:hint="eastAsia"/>
                <w:b/>
                <w:bCs/>
                <w:color w:val="auto"/>
                <w:spacing w:val="-5"/>
                <w:lang w:eastAsia="zh-CN"/>
              </w:rPr>
              <w:t>四、</w:t>
            </w:r>
            <w:r>
              <w:rPr>
                <w:b/>
                <w:bCs/>
                <w:color w:val="auto"/>
                <w:spacing w:val="-5"/>
                <w:lang w:eastAsia="zh-CN"/>
              </w:rPr>
              <w:t>生态环境现状</w:t>
            </w:r>
          </w:p>
          <w:p>
            <w:pPr>
              <w:pStyle w:val="22"/>
              <w:kinsoku/>
              <w:spacing w:before="179" w:line="353" w:lineRule="auto"/>
              <w:ind w:left="108" w:right="103" w:firstLine="478"/>
              <w:jc w:val="both"/>
              <w:rPr>
                <w:rFonts w:hint="eastAsia"/>
                <w:color w:val="auto"/>
                <w:spacing w:val="-1"/>
                <w:lang w:eastAsia="zh-CN"/>
              </w:rPr>
            </w:pPr>
            <w:r>
              <w:rPr>
                <w:color w:val="auto"/>
                <w:spacing w:val="4"/>
                <w:lang w:eastAsia="zh-CN"/>
              </w:rPr>
              <w:t>本项目地处</w:t>
            </w:r>
            <w:r>
              <w:rPr>
                <w:rFonts w:hint="eastAsia"/>
                <w:color w:val="auto"/>
                <w:spacing w:val="4"/>
                <w:lang w:eastAsia="zh-CN"/>
              </w:rPr>
              <w:t>云南嵩明杨林工业园区东环路68号附3号</w:t>
            </w:r>
            <w:r>
              <w:rPr>
                <w:color w:val="auto"/>
                <w:spacing w:val="23"/>
                <w:lang w:eastAsia="zh-CN"/>
              </w:rPr>
              <w:t>，</w:t>
            </w:r>
            <w:r>
              <w:rPr>
                <w:rFonts w:ascii="Times New Roman" w:hAnsi="Times New Roman" w:cs="Times New Roman"/>
                <w:color w:val="auto"/>
                <w:spacing w:val="4"/>
                <w:lang w:eastAsia="zh-CN"/>
              </w:rPr>
              <w:t>项目所在区域已规划为嵩明县云南杨林工业开发区工业用地，评价范围内未发现特殊生态敏感区、重要生态敏感区等生态环境保护目标，未发现珍稀濒危、重点保护野生动植物和地域性特有种分布，无国家级、省级保护野生动植物及区域狭域物种、古树名木分布。根据《建设项目环境影响报告表编制技术指南（污染影响类）（试行）》，未进行生态现状调查</w:t>
            </w:r>
            <w:r>
              <w:rPr>
                <w:color w:val="auto"/>
                <w:spacing w:val="-1"/>
                <w:lang w:eastAsia="zh-CN"/>
              </w:rPr>
              <w:t>。</w:t>
            </w:r>
          </w:p>
          <w:p>
            <w:pPr>
              <w:widowControl w:val="0"/>
              <w:kinsoku/>
              <w:autoSpaceDE/>
              <w:autoSpaceDN/>
              <w:spacing w:line="360" w:lineRule="auto"/>
              <w:ind w:firstLine="481" w:firstLineChars="2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五、地下水环境</w:t>
            </w:r>
          </w:p>
          <w:p>
            <w:pPr>
              <w:kinsoku/>
              <w:spacing w:line="360" w:lineRule="auto"/>
              <w:ind w:firstLine="419" w:firstLineChars="169"/>
              <w:rPr>
                <w:color w:val="auto"/>
                <w:spacing w:val="-1"/>
                <w:lang w:eastAsia="zh-CN"/>
              </w:rPr>
            </w:pPr>
            <w:r>
              <w:rPr>
                <w:rFonts w:hint="eastAsia" w:ascii="宋体" w:hAnsi="宋体" w:eastAsia="宋体" w:cs="宋体"/>
                <w:color w:val="auto"/>
                <w:spacing w:val="4"/>
                <w:sz w:val="24"/>
                <w:szCs w:val="24"/>
                <w:lang w:eastAsia="zh-CN"/>
              </w:rPr>
              <w:t>项目区域厂界外</w:t>
            </w:r>
            <w:r>
              <w:rPr>
                <w:rFonts w:ascii="宋体" w:hAnsi="宋体" w:eastAsia="宋体" w:cs="宋体"/>
                <w:color w:val="auto"/>
                <w:spacing w:val="4"/>
                <w:sz w:val="24"/>
                <w:szCs w:val="24"/>
                <w:lang w:eastAsia="zh-CN"/>
              </w:rPr>
              <w:t>500</w:t>
            </w:r>
            <w:r>
              <w:rPr>
                <w:rFonts w:hint="eastAsia" w:ascii="宋体" w:hAnsi="宋体" w:eastAsia="宋体" w:cs="宋体"/>
                <w:color w:val="auto"/>
                <w:spacing w:val="4"/>
                <w:sz w:val="24"/>
                <w:szCs w:val="24"/>
                <w:lang w:eastAsia="zh-CN"/>
              </w:rPr>
              <w:t>米范围内没有地下水集中式饮用水水源和热水、矿泉水、温泉等特殊地下水资源，参照</w:t>
            </w:r>
            <w:r>
              <w:rPr>
                <w:rFonts w:ascii="Times New Roman" w:hAnsi="Times New Roman" w:eastAsia="宋体" w:cs="Times New Roman"/>
                <w:color w:val="auto"/>
                <w:sz w:val="24"/>
                <w:szCs w:val="24"/>
                <w:lang w:eastAsia="zh-CN"/>
              </w:rPr>
              <w:t>《环境影响评价技术导则地下水环境》（HJ610-2016）要求</w:t>
            </w:r>
            <w:r>
              <w:rPr>
                <w:rFonts w:hint="eastAsia" w:ascii="宋体" w:hAnsi="宋体" w:eastAsia="宋体" w:cs="宋体"/>
                <w:color w:val="auto"/>
                <w:spacing w:val="4"/>
                <w:sz w:val="24"/>
                <w:szCs w:val="24"/>
                <w:lang w:eastAsia="zh-CN"/>
              </w:rPr>
              <w:t>，未开展地下水环境现状监测。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6" w:hRule="atLeast"/>
        </w:trPr>
        <w:tc>
          <w:tcPr>
            <w:tcW w:w="379" w:type="dxa"/>
            <w:tcBorders>
              <w:right w:val="single" w:color="000000" w:sz="2" w:space="0"/>
            </w:tcBorders>
            <w:vAlign w:val="center"/>
          </w:tcPr>
          <w:p>
            <w:pPr>
              <w:kinsoku/>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环境保护目标</w:t>
            </w:r>
          </w:p>
        </w:tc>
        <w:tc>
          <w:tcPr>
            <w:tcW w:w="8912" w:type="dxa"/>
            <w:tcBorders>
              <w:left w:val="single" w:color="000000" w:sz="2" w:space="0"/>
            </w:tcBorders>
          </w:tcPr>
          <w:p>
            <w:pPr>
              <w:pStyle w:val="22"/>
              <w:kinsoku/>
              <w:spacing w:before="49" w:line="360" w:lineRule="auto"/>
              <w:ind w:firstLine="421" w:firstLineChars="184"/>
              <w:rPr>
                <w:rFonts w:ascii="Times New Roman" w:hAnsi="Times New Roman" w:cs="Times New Roman"/>
                <w:color w:val="auto"/>
                <w:lang w:eastAsia="zh-CN"/>
              </w:rPr>
            </w:pPr>
            <w:r>
              <w:rPr>
                <w:rFonts w:hint="eastAsia" w:ascii="Times New Roman" w:hAnsi="Times New Roman" w:cs="Times New Roman"/>
                <w:b/>
                <w:bCs/>
                <w:color w:val="auto"/>
                <w:spacing w:val="-6"/>
                <w:lang w:eastAsia="zh-CN"/>
              </w:rPr>
              <w:t>一</w:t>
            </w:r>
            <w:r>
              <w:rPr>
                <w:rFonts w:ascii="Times New Roman" w:hAnsi="Times New Roman" w:cs="Times New Roman"/>
                <w:b/>
                <w:bCs/>
                <w:color w:val="auto"/>
                <w:spacing w:val="-6"/>
                <w:lang w:eastAsia="zh-CN"/>
              </w:rPr>
              <w:t>、大气环境保护目标</w:t>
            </w:r>
          </w:p>
          <w:p>
            <w:pPr>
              <w:kinsoku/>
              <w:spacing w:line="360" w:lineRule="auto"/>
              <w:ind w:firstLine="484" w:firstLineChars="200"/>
              <w:rPr>
                <w:rFonts w:ascii="Times New Roman" w:hAnsi="Times New Roman" w:eastAsia="宋体" w:cs="Times New Roman"/>
                <w:color w:val="auto"/>
                <w:spacing w:val="1"/>
                <w:sz w:val="24"/>
                <w:szCs w:val="24"/>
                <w:lang w:eastAsia="zh-CN"/>
              </w:rPr>
            </w:pPr>
            <w:r>
              <w:rPr>
                <w:rFonts w:ascii="Times New Roman" w:hAnsi="Times New Roman" w:eastAsia="宋体" w:cs="Times New Roman"/>
                <w:color w:val="auto"/>
                <w:spacing w:val="1"/>
                <w:sz w:val="24"/>
                <w:szCs w:val="24"/>
                <w:lang w:eastAsia="zh-CN"/>
              </w:rPr>
              <w:t>根据</w:t>
            </w:r>
            <w:r>
              <w:rPr>
                <w:rFonts w:hint="eastAsia" w:ascii="Times New Roman" w:hAnsi="Times New Roman" w:eastAsia="宋体" w:cs="Times New Roman"/>
                <w:color w:val="auto"/>
                <w:spacing w:val="1"/>
                <w:sz w:val="24"/>
                <w:szCs w:val="24"/>
                <w:lang w:eastAsia="zh-CN"/>
              </w:rPr>
              <w:t>现场踏勘，</w:t>
            </w:r>
            <w:r>
              <w:rPr>
                <w:rFonts w:ascii="Times New Roman" w:hAnsi="Times New Roman" w:eastAsia="宋体" w:cs="Times New Roman"/>
                <w:color w:val="auto"/>
                <w:spacing w:val="1"/>
                <w:sz w:val="24"/>
                <w:szCs w:val="24"/>
                <w:lang w:eastAsia="zh-CN"/>
              </w:rPr>
              <w:t>项目厂界外500米范围内的</w:t>
            </w:r>
            <w:r>
              <w:rPr>
                <w:rFonts w:hint="eastAsia" w:ascii="Times New Roman" w:hAnsi="Times New Roman" w:eastAsia="宋体" w:cs="Times New Roman"/>
                <w:color w:val="auto"/>
                <w:spacing w:val="1"/>
                <w:sz w:val="24"/>
                <w:szCs w:val="24"/>
                <w:lang w:eastAsia="zh-CN"/>
              </w:rPr>
              <w:t>大气环境保护目标为黄家坡村</w:t>
            </w:r>
            <w:r>
              <w:rPr>
                <w:rFonts w:ascii="Times New Roman" w:hAnsi="Times New Roman" w:eastAsia="宋体" w:cs="Times New Roman"/>
                <w:color w:val="auto"/>
                <w:spacing w:val="1"/>
                <w:sz w:val="24"/>
                <w:szCs w:val="24"/>
                <w:lang w:eastAsia="zh-CN"/>
              </w:rPr>
              <w:t>，无自</w:t>
            </w:r>
            <w:r>
              <w:rPr>
                <w:rFonts w:hint="eastAsia" w:ascii="Times New Roman" w:hAnsi="Times New Roman" w:eastAsia="宋体" w:cs="Times New Roman"/>
                <w:color w:val="auto"/>
                <w:spacing w:val="1"/>
                <w:sz w:val="24"/>
                <w:szCs w:val="24"/>
                <w:lang w:eastAsia="zh-CN"/>
              </w:rPr>
              <w:t>然保护区、风景名胜区、文化区等保护目标</w:t>
            </w:r>
            <w:r>
              <w:rPr>
                <w:rFonts w:ascii="Times New Roman" w:hAnsi="Times New Roman" w:eastAsia="宋体" w:cs="Times New Roman"/>
                <w:color w:val="auto"/>
                <w:spacing w:val="1"/>
                <w:sz w:val="24"/>
                <w:szCs w:val="24"/>
                <w:lang w:eastAsia="zh-CN"/>
              </w:rPr>
              <w:t>。</w:t>
            </w:r>
          </w:p>
          <w:p>
            <w:pPr>
              <w:pStyle w:val="22"/>
              <w:kinsoku/>
              <w:spacing w:before="179" w:line="360" w:lineRule="auto"/>
              <w:ind w:firstLine="472" w:firstLineChars="200"/>
              <w:rPr>
                <w:rFonts w:ascii="Times New Roman" w:hAnsi="Times New Roman" w:cs="Times New Roman"/>
                <w:color w:val="auto"/>
                <w:spacing w:val="-2"/>
                <w:lang w:eastAsia="zh-CN"/>
              </w:rPr>
            </w:pPr>
            <w:r>
              <w:rPr>
                <w:rFonts w:ascii="Times New Roman" w:hAnsi="Times New Roman" w:cs="Times New Roman"/>
                <w:color w:val="auto"/>
                <w:spacing w:val="-2"/>
                <w:lang w:eastAsia="zh-CN"/>
              </w:rPr>
              <w:t>环境空气保护目标见表3-</w:t>
            </w:r>
            <w:r>
              <w:rPr>
                <w:rFonts w:hint="eastAsia" w:ascii="Times New Roman" w:hAnsi="Times New Roman" w:cs="Times New Roman"/>
                <w:color w:val="auto"/>
                <w:spacing w:val="-2"/>
                <w:lang w:val="en-US" w:eastAsia="zh-CN"/>
              </w:rPr>
              <w:t>3</w:t>
            </w:r>
            <w:r>
              <w:rPr>
                <w:rFonts w:ascii="Times New Roman" w:hAnsi="Times New Roman" w:cs="Times New Roman"/>
                <w:color w:val="auto"/>
                <w:spacing w:val="-2"/>
                <w:lang w:eastAsia="zh-CN"/>
              </w:rPr>
              <w:t>。</w:t>
            </w:r>
          </w:p>
          <w:p>
            <w:pPr>
              <w:pStyle w:val="22"/>
              <w:kinsoku/>
              <w:spacing w:before="31" w:line="223" w:lineRule="auto"/>
              <w:ind w:left="220"/>
              <w:jc w:val="center"/>
              <w:rPr>
                <w:rFonts w:ascii="Times New Roman" w:hAnsi="Times New Roman" w:cs="Times New Roman"/>
                <w:b/>
                <w:bCs/>
                <w:color w:val="auto"/>
                <w:spacing w:val="5"/>
                <w:sz w:val="20"/>
                <w:szCs w:val="20"/>
                <w:lang w:eastAsia="zh-CN"/>
              </w:rPr>
            </w:pPr>
            <w:r>
              <w:rPr>
                <w:rFonts w:ascii="Times New Roman" w:hAnsi="Times New Roman" w:cs="Times New Roman"/>
                <w:b/>
                <w:bCs/>
                <w:color w:val="auto"/>
                <w:spacing w:val="5"/>
                <w:sz w:val="20"/>
                <w:szCs w:val="20"/>
                <w:lang w:eastAsia="zh-CN"/>
              </w:rPr>
              <w:t>表3-</w:t>
            </w:r>
            <w:r>
              <w:rPr>
                <w:rFonts w:hint="eastAsia" w:ascii="Times New Roman" w:hAnsi="Times New Roman" w:cs="Times New Roman"/>
                <w:b/>
                <w:bCs/>
                <w:color w:val="auto"/>
                <w:spacing w:val="5"/>
                <w:sz w:val="20"/>
                <w:szCs w:val="20"/>
                <w:lang w:eastAsia="zh-CN"/>
              </w:rPr>
              <w:t>3</w:t>
            </w:r>
            <w:r>
              <w:rPr>
                <w:rFonts w:ascii="Times New Roman" w:hAnsi="Times New Roman" w:cs="Times New Roman"/>
                <w:b/>
                <w:bCs/>
                <w:color w:val="auto"/>
                <w:spacing w:val="5"/>
                <w:sz w:val="20"/>
                <w:szCs w:val="20"/>
                <w:lang w:eastAsia="zh-CN"/>
              </w:rPr>
              <w:t>环境空气保护目标情况一览表</w:t>
            </w:r>
          </w:p>
          <w:tbl>
            <w:tblPr>
              <w:tblStyle w:val="21"/>
              <w:tblW w:w="88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005"/>
              <w:gridCol w:w="960"/>
              <w:gridCol w:w="972"/>
              <w:gridCol w:w="999"/>
              <w:gridCol w:w="888"/>
              <w:gridCol w:w="1032"/>
              <w:gridCol w:w="1056"/>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831"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名称</w:t>
                  </w:r>
                </w:p>
              </w:tc>
              <w:tc>
                <w:tcPr>
                  <w:tcW w:w="1965" w:type="dxa"/>
                  <w:gridSpan w:val="2"/>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坐标/m</w:t>
                  </w:r>
                </w:p>
              </w:tc>
              <w:tc>
                <w:tcPr>
                  <w:tcW w:w="972"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保护对象</w:t>
                  </w:r>
                </w:p>
              </w:tc>
              <w:tc>
                <w:tcPr>
                  <w:tcW w:w="999"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保护内容</w:t>
                  </w:r>
                </w:p>
              </w:tc>
              <w:tc>
                <w:tcPr>
                  <w:tcW w:w="888"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环境功能区</w:t>
                  </w:r>
                </w:p>
              </w:tc>
              <w:tc>
                <w:tcPr>
                  <w:tcW w:w="1032"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相对厂址方位</w:t>
                  </w:r>
                </w:p>
              </w:tc>
              <w:tc>
                <w:tcPr>
                  <w:tcW w:w="1056"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距离厂址边界距离（m）</w:t>
                  </w:r>
                </w:p>
              </w:tc>
              <w:tc>
                <w:tcPr>
                  <w:tcW w:w="1128" w:type="dxa"/>
                  <w:vMerge w:val="restart"/>
                  <w:vAlign w:val="center"/>
                </w:tcPr>
                <w:p>
                  <w:pPr>
                    <w:kinsoku/>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831"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0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经度</w:t>
                  </w:r>
                </w:p>
              </w:tc>
              <w:tc>
                <w:tcPr>
                  <w:tcW w:w="96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纬度</w:t>
                  </w:r>
                </w:p>
              </w:tc>
              <w:tc>
                <w:tcPr>
                  <w:tcW w:w="972"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999"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888"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32"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56"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128" w:type="dxa"/>
                  <w:vMerge w:val="continue"/>
                  <w:vAlign w:val="center"/>
                </w:tcPr>
                <w:p>
                  <w:pPr>
                    <w:kinsoku/>
                    <w:jc w:val="center"/>
                    <w:rPr>
                      <w:rFonts w:hint="default" w:ascii="Times New Roman" w:hAnsi="Times New Roman" w:eastAsia="宋体" w:cs="Times New Roman"/>
                      <w:color w:val="auto"/>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jc w:val="center"/>
              </w:trPr>
              <w:tc>
                <w:tcPr>
                  <w:tcW w:w="831"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黄家坡村</w:t>
                  </w:r>
                </w:p>
              </w:tc>
              <w:tc>
                <w:tcPr>
                  <w:tcW w:w="100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103.041222</w:t>
                  </w:r>
                </w:p>
              </w:tc>
              <w:tc>
                <w:tcPr>
                  <w:tcW w:w="96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25.242551</w:t>
                  </w:r>
                </w:p>
              </w:tc>
              <w:tc>
                <w:tcPr>
                  <w:tcW w:w="972"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居民</w:t>
                  </w:r>
                </w:p>
              </w:tc>
              <w:tc>
                <w:tcPr>
                  <w:tcW w:w="999"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420人</w:t>
                  </w:r>
                </w:p>
              </w:tc>
              <w:tc>
                <w:tcPr>
                  <w:tcW w:w="88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二类区</w:t>
                  </w:r>
                </w:p>
              </w:tc>
              <w:tc>
                <w:tcPr>
                  <w:tcW w:w="1032"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西南侧</w:t>
                  </w:r>
                </w:p>
              </w:tc>
              <w:tc>
                <w:tcPr>
                  <w:tcW w:w="1056"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234</w:t>
                  </w:r>
                </w:p>
              </w:tc>
              <w:tc>
                <w:tcPr>
                  <w:tcW w:w="1128" w:type="dxa"/>
                  <w:vAlign w:val="center"/>
                </w:tcPr>
                <w:p>
                  <w:pPr>
                    <w:kinsoku/>
                    <w:jc w:val="center"/>
                    <w:rPr>
                      <w:rFonts w:hint="eastAsia" w:ascii="Times New Roman" w:hAnsi="Times New Roman" w:eastAsia="宋体" w:cs="Times New Roman"/>
                      <w:color w:val="auto"/>
                      <w:lang w:eastAsia="zh-CN"/>
                    </w:rPr>
                  </w:pPr>
                  <w:r>
                    <w:rPr>
                      <w:rFonts w:hint="eastAsia" w:ascii="宋体" w:hAnsi="宋体" w:eastAsia="宋体" w:cs="宋体"/>
                      <w:sz w:val="21"/>
                      <w:szCs w:val="21"/>
                    </w:rPr>
                    <w:t>《环境空气质量标准》(GB3095-2012)二级标准</w:t>
                  </w:r>
                </w:p>
              </w:tc>
            </w:tr>
          </w:tbl>
          <w:p>
            <w:pPr>
              <w:pStyle w:val="22"/>
              <w:kinsoku/>
              <w:spacing w:before="31" w:line="362" w:lineRule="auto"/>
              <w:ind w:right="103"/>
              <w:rPr>
                <w:rFonts w:ascii="Times New Roman" w:hAnsi="Times New Roman" w:cs="Times New Roman"/>
                <w:color w:val="auto"/>
                <w:sz w:val="20"/>
                <w:szCs w:val="20"/>
                <w:lang w:eastAsia="zh-CN"/>
              </w:rPr>
            </w:pPr>
            <w:r>
              <w:rPr>
                <w:rFonts w:ascii="Times New Roman" w:hAnsi="Times New Roman" w:cs="Times New Roman"/>
                <w:color w:val="auto"/>
                <w:spacing w:val="10"/>
                <w:sz w:val="20"/>
                <w:szCs w:val="20"/>
                <w:lang w:eastAsia="zh-CN"/>
              </w:rPr>
              <w:t>注：1、环境保护目标坐标取距离项目厂址中心点的最近点位置，相对厂界距离取距离项目厂</w:t>
            </w:r>
            <w:r>
              <w:rPr>
                <w:rFonts w:ascii="Times New Roman" w:hAnsi="Times New Roman" w:cs="Times New Roman"/>
                <w:color w:val="auto"/>
                <w:spacing w:val="7"/>
                <w:sz w:val="20"/>
                <w:szCs w:val="20"/>
                <w:lang w:eastAsia="zh-CN"/>
              </w:rPr>
              <w:t>址边界最近点的位置。</w:t>
            </w:r>
          </w:p>
          <w:p>
            <w:pPr>
              <w:pStyle w:val="22"/>
              <w:kinsoku/>
              <w:spacing w:before="37" w:line="219" w:lineRule="auto"/>
              <w:ind w:left="583"/>
              <w:rPr>
                <w:rFonts w:ascii="Times New Roman" w:hAnsi="Times New Roman" w:cs="Times New Roman"/>
                <w:color w:val="auto"/>
                <w:lang w:eastAsia="zh-CN"/>
              </w:rPr>
            </w:pPr>
            <w:r>
              <w:rPr>
                <w:rFonts w:hint="eastAsia" w:ascii="Times New Roman" w:hAnsi="Times New Roman" w:cs="Times New Roman"/>
                <w:b/>
                <w:bCs/>
                <w:color w:val="auto"/>
                <w:spacing w:val="-4"/>
                <w:lang w:eastAsia="zh-CN"/>
              </w:rPr>
              <w:t>二</w:t>
            </w:r>
            <w:r>
              <w:rPr>
                <w:rFonts w:ascii="Times New Roman" w:hAnsi="Times New Roman" w:cs="Times New Roman"/>
                <w:b/>
                <w:bCs/>
                <w:color w:val="auto"/>
                <w:spacing w:val="-4"/>
                <w:lang w:eastAsia="zh-CN"/>
              </w:rPr>
              <w:t>、水环境保护目标</w:t>
            </w:r>
          </w:p>
          <w:p>
            <w:pPr>
              <w:pStyle w:val="22"/>
              <w:kinsoku/>
              <w:spacing w:before="184" w:line="352" w:lineRule="auto"/>
              <w:ind w:left="108" w:right="103" w:firstLine="482"/>
              <w:rPr>
                <w:rFonts w:ascii="Times New Roman" w:hAnsi="Times New Roman" w:cs="Times New Roman"/>
                <w:color w:val="auto"/>
                <w:spacing w:val="-1"/>
                <w:lang w:eastAsia="zh-CN"/>
              </w:rPr>
            </w:pPr>
            <w:r>
              <w:rPr>
                <w:rFonts w:ascii="Times New Roman" w:hAnsi="Times New Roman" w:cs="Times New Roman"/>
                <w:color w:val="auto"/>
                <w:spacing w:val="10"/>
                <w:lang w:eastAsia="zh-CN"/>
              </w:rPr>
              <w:t>项目用地范围及附近不涉及饮用水水源保护区、饮用水取水口、自然保护</w:t>
            </w:r>
            <w:r>
              <w:rPr>
                <w:rFonts w:ascii="Times New Roman" w:hAnsi="Times New Roman" w:cs="Times New Roman"/>
                <w:color w:val="auto"/>
                <w:spacing w:val="4"/>
                <w:lang w:eastAsia="zh-CN"/>
              </w:rPr>
              <w:t>区、风景名胜区，重要湿地、重点保护与珍稀水生生物的栖息地、重要水生生物的自然产卵场及索饵场、越冬场和洄游通道，天然渔场等渔业水体，以及水产种</w:t>
            </w:r>
            <w:r>
              <w:rPr>
                <w:rFonts w:ascii="Times New Roman" w:hAnsi="Times New Roman" w:cs="Times New Roman"/>
                <w:color w:val="auto"/>
                <w:spacing w:val="-1"/>
                <w:lang w:eastAsia="zh-CN"/>
              </w:rPr>
              <w:t>质资源保护区等敏感目标。</w:t>
            </w:r>
          </w:p>
          <w:p>
            <w:pPr>
              <w:pStyle w:val="22"/>
              <w:kinsoku/>
              <w:spacing w:before="179" w:line="360" w:lineRule="auto"/>
              <w:ind w:firstLine="484" w:firstLineChars="200"/>
              <w:rPr>
                <w:rFonts w:ascii="Times New Roman" w:hAnsi="Times New Roman" w:cs="Times New Roman"/>
                <w:color w:val="auto"/>
                <w:spacing w:val="-2"/>
                <w:lang w:eastAsia="zh-CN"/>
              </w:rPr>
            </w:pPr>
            <w:r>
              <w:rPr>
                <w:rFonts w:ascii="Times New Roman" w:hAnsi="Times New Roman" w:cs="Times New Roman"/>
                <w:color w:val="auto"/>
                <w:spacing w:val="1"/>
                <w:lang w:eastAsia="zh-CN"/>
              </w:rPr>
              <w:t>本项目</w:t>
            </w:r>
            <w:r>
              <w:rPr>
                <w:rFonts w:hint="eastAsia" w:ascii="Times New Roman" w:hAnsi="Times New Roman" w:cs="Times New Roman"/>
                <w:color w:val="auto"/>
                <w:spacing w:val="1"/>
                <w:lang w:eastAsia="zh-CN"/>
              </w:rPr>
              <w:t>最近地表水体为花庄河（</w:t>
            </w:r>
            <w:r>
              <w:rPr>
                <w:rFonts w:hint="eastAsia" w:ascii="Times New Roman" w:hAnsi="Times New Roman" w:cs="Times New Roman"/>
                <w:color w:val="auto"/>
                <w:spacing w:val="1"/>
                <w:lang w:val="en-US" w:eastAsia="zh-CN"/>
              </w:rPr>
              <w:t>对龙河</w:t>
            </w:r>
            <w:r>
              <w:rPr>
                <w:rFonts w:hint="eastAsia" w:ascii="Times New Roman" w:hAnsi="Times New Roman" w:cs="Times New Roman"/>
                <w:color w:val="auto"/>
                <w:spacing w:val="1"/>
                <w:lang w:eastAsia="zh-CN"/>
              </w:rPr>
              <w:t>），位于项目区西北侧1247m处</w:t>
            </w:r>
            <w:r>
              <w:rPr>
                <w:rFonts w:ascii="Times New Roman" w:hAnsi="Times New Roman" w:cs="Times New Roman"/>
                <w:color w:val="auto"/>
                <w:spacing w:val="-2"/>
                <w:lang w:eastAsia="zh-CN"/>
              </w:rPr>
              <w:t>，</w:t>
            </w:r>
            <w:r>
              <w:rPr>
                <w:rFonts w:hint="eastAsia" w:ascii="Times New Roman" w:hAnsi="Times New Roman" w:cs="Times New Roman"/>
                <w:color w:val="auto"/>
                <w:spacing w:val="-2"/>
                <w:lang w:eastAsia="zh-CN"/>
              </w:rPr>
              <w:t>地表水情况</w:t>
            </w:r>
            <w:r>
              <w:rPr>
                <w:rFonts w:ascii="Times New Roman" w:hAnsi="Times New Roman" w:cs="Times New Roman"/>
                <w:color w:val="auto"/>
                <w:spacing w:val="-2"/>
                <w:lang w:eastAsia="zh-CN"/>
              </w:rPr>
              <w:t>见表3-</w:t>
            </w:r>
            <w:r>
              <w:rPr>
                <w:rFonts w:hint="eastAsia" w:ascii="Times New Roman" w:hAnsi="Times New Roman" w:cs="Times New Roman"/>
                <w:color w:val="auto"/>
                <w:spacing w:val="-2"/>
                <w:lang w:eastAsia="zh-CN"/>
              </w:rPr>
              <w:t>4</w:t>
            </w:r>
            <w:r>
              <w:rPr>
                <w:rFonts w:ascii="Times New Roman" w:hAnsi="Times New Roman" w:cs="Times New Roman"/>
                <w:color w:val="auto"/>
                <w:spacing w:val="-2"/>
                <w:lang w:eastAsia="zh-CN"/>
              </w:rPr>
              <w:t>。</w:t>
            </w:r>
          </w:p>
          <w:p>
            <w:pPr>
              <w:pStyle w:val="22"/>
              <w:kinsoku/>
              <w:spacing w:before="31" w:line="223" w:lineRule="auto"/>
              <w:ind w:left="220"/>
              <w:jc w:val="center"/>
              <w:rPr>
                <w:rFonts w:ascii="Times New Roman" w:hAnsi="Times New Roman" w:cs="Times New Roman"/>
                <w:b/>
                <w:bCs/>
                <w:color w:val="auto"/>
                <w:spacing w:val="5"/>
                <w:sz w:val="20"/>
                <w:szCs w:val="20"/>
                <w:lang w:eastAsia="zh-CN"/>
              </w:rPr>
            </w:pPr>
            <w:r>
              <w:rPr>
                <w:rFonts w:ascii="Times New Roman" w:hAnsi="Times New Roman" w:cs="Times New Roman"/>
                <w:b/>
                <w:bCs/>
                <w:color w:val="auto"/>
                <w:spacing w:val="5"/>
                <w:sz w:val="20"/>
                <w:szCs w:val="20"/>
                <w:lang w:eastAsia="zh-CN"/>
              </w:rPr>
              <w:t>表3-</w:t>
            </w:r>
            <w:r>
              <w:rPr>
                <w:rFonts w:hint="eastAsia" w:ascii="Times New Roman" w:hAnsi="Times New Roman" w:cs="Times New Roman"/>
                <w:b/>
                <w:bCs/>
                <w:color w:val="auto"/>
                <w:spacing w:val="5"/>
                <w:sz w:val="20"/>
                <w:szCs w:val="20"/>
                <w:lang w:eastAsia="zh-CN"/>
              </w:rPr>
              <w:t>4地表水</w:t>
            </w:r>
            <w:r>
              <w:rPr>
                <w:rFonts w:ascii="Times New Roman" w:hAnsi="Times New Roman" w:cs="Times New Roman"/>
                <w:b/>
                <w:bCs/>
                <w:color w:val="auto"/>
                <w:spacing w:val="5"/>
                <w:sz w:val="20"/>
                <w:szCs w:val="20"/>
                <w:lang w:eastAsia="zh-CN"/>
              </w:rPr>
              <w:t>情况一览表</w:t>
            </w:r>
          </w:p>
          <w:tbl>
            <w:tblPr>
              <w:tblStyle w:val="21"/>
              <w:tblW w:w="87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3515"/>
              <w:gridCol w:w="3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1419" w:type="dxa"/>
                  <w:tcBorders>
                    <w:top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名称</w:t>
                  </w:r>
                </w:p>
              </w:tc>
              <w:tc>
                <w:tcPr>
                  <w:tcW w:w="3515"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位置</w:t>
                  </w:r>
                </w:p>
              </w:tc>
              <w:tc>
                <w:tcPr>
                  <w:tcW w:w="3767"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cs="Times New Roman"/>
                      <w:color w:val="auto"/>
                      <w:spacing w:val="1"/>
                      <w:lang w:eastAsia="zh-CN"/>
                    </w:rPr>
                    <w:t>花庄河（</w:t>
                  </w:r>
                  <w:r>
                    <w:rPr>
                      <w:rFonts w:hint="eastAsia" w:ascii="Times New Roman" w:hAnsi="Times New Roman" w:cs="Times New Roman"/>
                      <w:color w:val="auto"/>
                      <w:spacing w:val="1"/>
                      <w:lang w:val="en-US" w:eastAsia="zh-CN"/>
                    </w:rPr>
                    <w:t>对龙河</w:t>
                  </w:r>
                  <w:r>
                    <w:rPr>
                      <w:rFonts w:hint="eastAsia" w:ascii="Times New Roman" w:hAnsi="Times New Roman" w:cs="Times New Roman"/>
                      <w:color w:val="auto"/>
                      <w:spacing w:val="1"/>
                      <w:lang w:eastAsia="zh-CN"/>
                    </w:rPr>
                    <w:t>）</w:t>
                  </w:r>
                </w:p>
              </w:tc>
              <w:tc>
                <w:tcPr>
                  <w:tcW w:w="3515"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位于</w:t>
                  </w:r>
                  <w:r>
                    <w:rPr>
                      <w:rFonts w:hint="eastAsia" w:ascii="Times New Roman" w:hAnsi="Times New Roman" w:eastAsia="宋体" w:cs="Times New Roman"/>
                      <w:color w:val="auto"/>
                      <w:lang w:eastAsia="zh-CN"/>
                    </w:rPr>
                    <w:t>项目区西北</w:t>
                  </w:r>
                  <w:r>
                    <w:rPr>
                      <w:rFonts w:ascii="Times New Roman" w:hAnsi="Times New Roman" w:eastAsia="宋体" w:cs="Times New Roman"/>
                      <w:color w:val="auto"/>
                      <w:lang w:eastAsia="zh-CN"/>
                    </w:rPr>
                    <w:t>面</w:t>
                  </w:r>
                  <w:r>
                    <w:rPr>
                      <w:rFonts w:hint="eastAsia" w:ascii="Times New Roman" w:hAnsi="Times New Roman" w:eastAsia="宋体" w:cs="Times New Roman"/>
                      <w:color w:val="auto"/>
                      <w:lang w:eastAsia="zh-CN"/>
                    </w:rPr>
                    <w:t>1247</w:t>
                  </w:r>
                  <w:r>
                    <w:rPr>
                      <w:rFonts w:ascii="Times New Roman" w:hAnsi="Times New Roman" w:eastAsia="宋体" w:cs="Times New Roman"/>
                      <w:color w:val="auto"/>
                      <w:lang w:eastAsia="zh-CN"/>
                    </w:rPr>
                    <w:t>m处</w:t>
                  </w:r>
                </w:p>
              </w:tc>
              <w:tc>
                <w:tcPr>
                  <w:tcW w:w="3767" w:type="dxa"/>
                  <w:tcBorders>
                    <w:top w:val="single" w:color="auto" w:sz="4" w:space="0"/>
                    <w:left w:val="single" w:color="auto" w:sz="4" w:space="0"/>
                    <w:bottom w:val="single" w:color="auto" w:sz="4" w:space="0"/>
                    <w:right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GB3838-2002《地表水环境质量标准》Ⅲ类标准</w:t>
                  </w:r>
                </w:p>
              </w:tc>
            </w:tr>
          </w:tbl>
          <w:p>
            <w:pPr>
              <w:pStyle w:val="22"/>
              <w:kinsoku/>
              <w:spacing w:before="36" w:line="220" w:lineRule="auto"/>
              <w:ind w:left="588"/>
              <w:rPr>
                <w:rFonts w:ascii="Times New Roman" w:hAnsi="Times New Roman" w:cs="Times New Roman"/>
                <w:b/>
                <w:bCs/>
                <w:color w:val="auto"/>
                <w:lang w:eastAsia="zh-CN"/>
              </w:rPr>
            </w:pPr>
            <w:r>
              <w:rPr>
                <w:rFonts w:hint="eastAsia" w:ascii="Times New Roman" w:hAnsi="Times New Roman" w:cs="Times New Roman"/>
                <w:b/>
                <w:bCs/>
                <w:color w:val="auto"/>
                <w:spacing w:val="-4"/>
                <w:lang w:eastAsia="zh-CN"/>
              </w:rPr>
              <w:t>三</w:t>
            </w:r>
            <w:r>
              <w:rPr>
                <w:rFonts w:ascii="Times New Roman" w:hAnsi="Times New Roman" w:cs="Times New Roman"/>
                <w:b/>
                <w:bCs/>
                <w:color w:val="auto"/>
                <w:spacing w:val="-4"/>
                <w:lang w:eastAsia="zh-CN"/>
              </w:rPr>
              <w:t>、声环境保护目标</w:t>
            </w:r>
          </w:p>
          <w:p>
            <w:pPr>
              <w:pStyle w:val="22"/>
              <w:kinsoku/>
              <w:spacing w:before="180" w:line="219" w:lineRule="auto"/>
              <w:ind w:left="590"/>
              <w:rPr>
                <w:rFonts w:ascii="Times New Roman" w:hAnsi="Times New Roman" w:cs="Times New Roman"/>
                <w:color w:val="auto"/>
                <w:lang w:eastAsia="zh-CN"/>
              </w:rPr>
            </w:pPr>
            <w:r>
              <w:rPr>
                <w:rFonts w:ascii="Times New Roman" w:hAnsi="Times New Roman" w:cs="Times New Roman"/>
                <w:color w:val="auto"/>
                <w:spacing w:val="-2"/>
                <w:lang w:eastAsia="zh-CN"/>
              </w:rPr>
              <w:t>厂界外50m范围内没有声环境保护目标。</w:t>
            </w:r>
          </w:p>
          <w:p>
            <w:pPr>
              <w:pStyle w:val="22"/>
              <w:kinsoku/>
              <w:spacing w:before="183" w:line="220" w:lineRule="auto"/>
              <w:ind w:left="582"/>
              <w:rPr>
                <w:rFonts w:ascii="Times New Roman" w:hAnsi="Times New Roman" w:cs="Times New Roman"/>
                <w:color w:val="auto"/>
                <w:lang w:eastAsia="zh-CN"/>
              </w:rPr>
            </w:pPr>
            <w:r>
              <w:rPr>
                <w:rFonts w:hint="eastAsia" w:ascii="Times New Roman" w:hAnsi="Times New Roman" w:cs="Times New Roman"/>
                <w:b/>
                <w:bCs/>
                <w:color w:val="auto"/>
                <w:spacing w:val="-4"/>
                <w:lang w:eastAsia="zh-CN"/>
              </w:rPr>
              <w:t>四</w:t>
            </w:r>
            <w:r>
              <w:rPr>
                <w:rFonts w:ascii="Times New Roman" w:hAnsi="Times New Roman" w:cs="Times New Roman"/>
                <w:b/>
                <w:bCs/>
                <w:color w:val="auto"/>
                <w:spacing w:val="-4"/>
                <w:lang w:eastAsia="zh-CN"/>
              </w:rPr>
              <w:t>、</w:t>
            </w:r>
            <w:r>
              <w:rPr>
                <w:rFonts w:hint="eastAsia" w:ascii="Times New Roman" w:hAnsi="Times New Roman" w:cs="Times New Roman"/>
                <w:b/>
                <w:bCs/>
                <w:color w:val="auto"/>
                <w:spacing w:val="-4"/>
                <w:lang w:eastAsia="zh-CN"/>
              </w:rPr>
              <w:t>其他</w:t>
            </w:r>
            <w:r>
              <w:rPr>
                <w:rFonts w:ascii="Times New Roman" w:hAnsi="Times New Roman" w:cs="Times New Roman"/>
                <w:b/>
                <w:bCs/>
                <w:color w:val="auto"/>
                <w:spacing w:val="-4"/>
                <w:lang w:eastAsia="zh-CN"/>
              </w:rPr>
              <w:t>环境保护目标</w:t>
            </w:r>
          </w:p>
          <w:p>
            <w:pPr>
              <w:pStyle w:val="22"/>
              <w:kinsoku/>
              <w:spacing w:before="179" w:line="353" w:lineRule="auto"/>
              <w:ind w:left="108" w:right="103" w:firstLine="478"/>
              <w:jc w:val="both"/>
              <w:rPr>
                <w:rFonts w:hint="eastAsia"/>
                <w:color w:val="auto"/>
                <w:spacing w:val="-1"/>
                <w:lang w:eastAsia="zh-CN"/>
              </w:rPr>
            </w:pPr>
            <w:r>
              <w:rPr>
                <w:rFonts w:ascii="Times New Roman" w:hAnsi="Times New Roman" w:cs="Times New Roman"/>
                <w:color w:val="auto"/>
                <w:spacing w:val="5"/>
                <w:lang w:eastAsia="zh-CN"/>
              </w:rPr>
              <w:t>厂界外500m范围内无地下水集中式</w:t>
            </w:r>
            <w:r>
              <w:rPr>
                <w:rFonts w:hint="eastAsia" w:ascii="Times New Roman" w:hAnsi="Times New Roman" w:cs="Times New Roman"/>
                <w:color w:val="auto"/>
                <w:spacing w:val="5"/>
                <w:lang w:eastAsia="zh-CN"/>
              </w:rPr>
              <w:t>饮用水</w:t>
            </w:r>
            <w:r>
              <w:rPr>
                <w:rFonts w:ascii="Times New Roman" w:hAnsi="Times New Roman" w:cs="Times New Roman"/>
                <w:color w:val="auto"/>
                <w:spacing w:val="4"/>
                <w:lang w:eastAsia="zh-CN"/>
              </w:rPr>
              <w:t>水源和热水、矿泉水、温泉等特</w:t>
            </w:r>
            <w:r>
              <w:rPr>
                <w:rFonts w:ascii="Times New Roman" w:hAnsi="Times New Roman" w:cs="Times New Roman"/>
                <w:color w:val="auto"/>
                <w:spacing w:val="-1"/>
                <w:lang w:eastAsia="zh-CN"/>
              </w:rPr>
              <w:t>殊地下水资源，无生态环境保护目标。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99" w:hRule="atLeast"/>
        </w:trPr>
        <w:tc>
          <w:tcPr>
            <w:tcW w:w="379" w:type="dxa"/>
            <w:tcBorders>
              <w:right w:val="single" w:color="000000" w:sz="2" w:space="0"/>
            </w:tcBorders>
            <w:shd w:val="clear" w:color="auto" w:fill="auto"/>
            <w:vAlign w:val="center"/>
          </w:tcPr>
          <w:p>
            <w:pPr>
              <w:jc w:val="center"/>
              <w:rPr>
                <w:color w:val="auto"/>
              </w:rPr>
            </w:pPr>
            <w:r>
              <w:rPr>
                <w:color w:val="auto"/>
              </w:rPr>
              <w:t>污染物排放控制标准</w:t>
            </w:r>
          </w:p>
        </w:tc>
        <w:tc>
          <w:tcPr>
            <w:tcW w:w="8912" w:type="dxa"/>
            <w:tcBorders>
              <w:left w:val="single" w:color="000000" w:sz="2" w:space="0"/>
            </w:tcBorders>
            <w:shd w:val="clear" w:color="auto" w:fill="auto"/>
          </w:tcPr>
          <w:p>
            <w:pPr>
              <w:pStyle w:val="22"/>
              <w:kinsoku/>
              <w:spacing w:before="43" w:line="360" w:lineRule="auto"/>
              <w:ind w:left="606"/>
              <w:rPr>
                <w:rFonts w:hint="eastAsia"/>
                <w:color w:val="auto"/>
                <w:lang w:eastAsia="zh-CN"/>
              </w:rPr>
            </w:pPr>
            <w:r>
              <w:rPr>
                <w:rFonts w:hint="eastAsia"/>
                <w:b/>
                <w:bCs/>
                <w:color w:val="auto"/>
                <w:spacing w:val="-12"/>
                <w:lang w:eastAsia="zh-CN"/>
              </w:rPr>
              <w:t>一、</w:t>
            </w:r>
            <w:r>
              <w:rPr>
                <w:b/>
                <w:bCs/>
                <w:color w:val="auto"/>
                <w:spacing w:val="-12"/>
                <w:lang w:eastAsia="zh-CN"/>
              </w:rPr>
              <w:t>废气</w:t>
            </w:r>
          </w:p>
          <w:p>
            <w:pPr>
              <w:pStyle w:val="22"/>
              <w:kinsoku/>
              <w:spacing w:before="179" w:line="220" w:lineRule="auto"/>
              <w:ind w:left="616"/>
              <w:rPr>
                <w:rFonts w:hint="eastAsia"/>
                <w:b/>
                <w:bCs/>
                <w:color w:val="auto"/>
                <w:lang w:eastAsia="zh-CN"/>
              </w:rPr>
            </w:pPr>
            <w:r>
              <w:rPr>
                <w:rFonts w:hint="eastAsia"/>
                <w:b/>
                <w:bCs/>
                <w:color w:val="auto"/>
                <w:spacing w:val="-2"/>
                <w:lang w:eastAsia="zh-CN"/>
              </w:rPr>
              <w:t>1、</w:t>
            </w:r>
            <w:r>
              <w:rPr>
                <w:b/>
                <w:bCs/>
                <w:color w:val="auto"/>
                <w:spacing w:val="-2"/>
                <w:lang w:eastAsia="zh-CN"/>
              </w:rPr>
              <w:t>施工期废气排放标准</w:t>
            </w:r>
          </w:p>
          <w:p>
            <w:pPr>
              <w:pStyle w:val="22"/>
              <w:kinsoku/>
              <w:spacing w:before="181" w:line="219" w:lineRule="auto"/>
              <w:ind w:left="606"/>
              <w:rPr>
                <w:rFonts w:hint="eastAsia"/>
                <w:color w:val="auto"/>
                <w:lang w:eastAsia="zh-CN"/>
              </w:rPr>
            </w:pPr>
            <w:r>
              <w:rPr>
                <w:color w:val="auto"/>
                <w:spacing w:val="2"/>
                <w:lang w:eastAsia="zh-CN"/>
              </w:rPr>
              <w:t>本项目施工期粉尘排放执行《大气污染物综合排放标准》（</w:t>
            </w:r>
            <w:r>
              <w:rPr>
                <w:rFonts w:ascii="Times New Roman" w:hAnsi="Times New Roman" w:eastAsia="Times New Roman" w:cs="Times New Roman"/>
                <w:color w:val="auto"/>
                <w:lang w:eastAsia="zh-CN"/>
              </w:rPr>
              <w:t>GB</w:t>
            </w:r>
            <w:r>
              <w:rPr>
                <w:rFonts w:ascii="Times New Roman" w:hAnsi="Times New Roman" w:eastAsia="Times New Roman" w:cs="Times New Roman"/>
                <w:color w:val="auto"/>
                <w:spacing w:val="2"/>
                <w:lang w:eastAsia="zh-CN"/>
              </w:rPr>
              <w:t>16297-1996</w:t>
            </w:r>
            <w:r>
              <w:rPr>
                <w:color w:val="auto"/>
                <w:spacing w:val="2"/>
                <w:lang w:eastAsia="zh-CN"/>
              </w:rPr>
              <w:t>）</w:t>
            </w:r>
          </w:p>
          <w:p>
            <w:pPr>
              <w:pStyle w:val="22"/>
              <w:kinsoku/>
              <w:spacing w:before="181" w:line="219" w:lineRule="auto"/>
              <w:ind w:left="124"/>
              <w:rPr>
                <w:rFonts w:hint="eastAsia"/>
                <w:color w:val="auto"/>
                <w:lang w:eastAsia="zh-CN"/>
              </w:rPr>
            </w:pPr>
            <w:r>
              <w:rPr>
                <w:color w:val="auto"/>
                <w:spacing w:val="-2"/>
                <w:lang w:eastAsia="zh-CN"/>
              </w:rPr>
              <w:t>表</w:t>
            </w:r>
            <w:r>
              <w:rPr>
                <w:rFonts w:ascii="Times New Roman" w:hAnsi="Times New Roman" w:eastAsia="Times New Roman" w:cs="Times New Roman"/>
                <w:color w:val="auto"/>
                <w:spacing w:val="-2"/>
                <w:lang w:eastAsia="zh-CN"/>
              </w:rPr>
              <w:t>2</w:t>
            </w:r>
            <w:r>
              <w:rPr>
                <w:color w:val="auto"/>
                <w:spacing w:val="-2"/>
                <w:lang w:eastAsia="zh-CN"/>
              </w:rPr>
              <w:t>中的无组织排放监控浓度限值，排放标准值详见表</w:t>
            </w:r>
            <w:r>
              <w:rPr>
                <w:rFonts w:ascii="Times New Roman" w:hAnsi="Times New Roman" w:eastAsia="Times New Roman" w:cs="Times New Roman"/>
                <w:color w:val="auto"/>
                <w:spacing w:val="-2"/>
                <w:lang w:eastAsia="zh-CN"/>
              </w:rPr>
              <w:t>3-</w:t>
            </w:r>
            <w:r>
              <w:rPr>
                <w:rFonts w:hint="eastAsia" w:ascii="Times New Roman" w:hAnsi="Times New Roman" w:cs="Times New Roman"/>
                <w:color w:val="auto"/>
                <w:spacing w:val="-2"/>
                <w:lang w:eastAsia="zh-CN"/>
              </w:rPr>
              <w:t>5</w:t>
            </w:r>
            <w:r>
              <w:rPr>
                <w:color w:val="auto"/>
                <w:spacing w:val="-2"/>
                <w:lang w:eastAsia="zh-CN"/>
              </w:rPr>
              <w:t>。</w:t>
            </w:r>
          </w:p>
          <w:p>
            <w:pPr>
              <w:pStyle w:val="22"/>
              <w:kinsoku/>
              <w:spacing w:before="178" w:line="228" w:lineRule="auto"/>
              <w:ind w:left="1995"/>
              <w:rPr>
                <w:rFonts w:hint="eastAsia"/>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3-</w:t>
            </w:r>
            <w:r>
              <w:rPr>
                <w:rFonts w:hint="eastAsia" w:ascii="Times New Roman" w:hAnsi="Times New Roman" w:cs="Times New Roman"/>
                <w:b/>
                <w:bCs/>
                <w:color w:val="auto"/>
                <w:spacing w:val="6"/>
                <w:sz w:val="20"/>
                <w:szCs w:val="20"/>
                <w:lang w:eastAsia="zh-CN"/>
              </w:rPr>
              <w:t>5</w:t>
            </w:r>
            <w:r>
              <w:rPr>
                <w:b/>
                <w:bCs/>
                <w:color w:val="auto"/>
                <w:spacing w:val="6"/>
                <w:sz w:val="20"/>
                <w:szCs w:val="20"/>
                <w:lang w:eastAsia="zh-CN"/>
              </w:rPr>
              <w:t>大气污染物综合排放标准（</w:t>
            </w:r>
            <w:r>
              <w:rPr>
                <w:rFonts w:ascii="Times New Roman" w:hAnsi="Times New Roman" w:eastAsia="Times New Roman" w:cs="Times New Roman"/>
                <w:b/>
                <w:bCs/>
                <w:color w:val="auto"/>
                <w:sz w:val="20"/>
                <w:szCs w:val="20"/>
                <w:lang w:eastAsia="zh-CN"/>
              </w:rPr>
              <w:t>GB</w:t>
            </w:r>
            <w:r>
              <w:rPr>
                <w:rFonts w:ascii="Times New Roman" w:hAnsi="Times New Roman" w:eastAsia="Times New Roman" w:cs="Times New Roman"/>
                <w:b/>
                <w:bCs/>
                <w:color w:val="auto"/>
                <w:spacing w:val="6"/>
                <w:sz w:val="20"/>
                <w:szCs w:val="20"/>
                <w:lang w:eastAsia="zh-CN"/>
              </w:rPr>
              <w:t>16297-19</w:t>
            </w:r>
            <w:r>
              <w:rPr>
                <w:rFonts w:ascii="Times New Roman" w:hAnsi="Times New Roman" w:eastAsia="Times New Roman" w:cs="Times New Roman"/>
                <w:b/>
                <w:bCs/>
                <w:color w:val="auto"/>
                <w:spacing w:val="5"/>
                <w:sz w:val="20"/>
                <w:szCs w:val="20"/>
                <w:lang w:eastAsia="zh-CN"/>
              </w:rPr>
              <w:t>96</w:t>
            </w:r>
            <w:r>
              <w:rPr>
                <w:b/>
                <w:bCs/>
                <w:color w:val="auto"/>
                <w:spacing w:val="5"/>
                <w:sz w:val="20"/>
                <w:szCs w:val="20"/>
                <w:lang w:eastAsia="zh-CN"/>
              </w:rPr>
              <w:t>）</w:t>
            </w:r>
          </w:p>
          <w:p>
            <w:pPr>
              <w:kinsoku/>
              <w:spacing w:line="130" w:lineRule="exact"/>
              <w:rPr>
                <w:color w:val="auto"/>
                <w:lang w:eastAsia="zh-CN"/>
              </w:rPr>
            </w:pPr>
          </w:p>
          <w:tbl>
            <w:tblPr>
              <w:tblStyle w:val="21"/>
              <w:tblW w:w="8551"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5"/>
              <w:gridCol w:w="2713"/>
              <w:gridCol w:w="4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395" w:type="dxa"/>
                  <w:vMerge w:val="restart"/>
                  <w:tcBorders>
                    <w:bottom w:val="nil"/>
                  </w:tcBorders>
                  <w:vAlign w:val="center"/>
                </w:tcPr>
                <w:p>
                  <w:pPr>
                    <w:bidi w:val="0"/>
                    <w:jc w:val="center"/>
                    <w:rPr>
                      <w:rFonts w:hint="eastAsia"/>
                    </w:rPr>
                  </w:pPr>
                  <w:r>
                    <w:rPr>
                      <w:b/>
                      <w:bCs/>
                    </w:rPr>
                    <w:t>污染物</w:t>
                  </w:r>
                </w:p>
              </w:tc>
              <w:tc>
                <w:tcPr>
                  <w:tcW w:w="7156" w:type="dxa"/>
                  <w:gridSpan w:val="2"/>
                  <w:vAlign w:val="center"/>
                </w:tcPr>
                <w:p>
                  <w:pPr>
                    <w:bidi w:val="0"/>
                    <w:jc w:val="center"/>
                    <w:rPr>
                      <w:rFonts w:hint="eastAsia"/>
                      <w:b/>
                      <w:bCs/>
                      <w:lang w:eastAsia="zh-CN"/>
                    </w:rPr>
                  </w:pPr>
                  <w:r>
                    <w:rPr>
                      <w:b/>
                      <w:bCs/>
                      <w:lang w:eastAsia="zh-CN"/>
                    </w:rPr>
                    <w:t>无组织排放监控浓度限值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395" w:type="dxa"/>
                  <w:vMerge w:val="continue"/>
                  <w:tcBorders>
                    <w:top w:val="nil"/>
                  </w:tcBorders>
                  <w:vAlign w:val="center"/>
                </w:tcPr>
                <w:p>
                  <w:pPr>
                    <w:bidi w:val="0"/>
                    <w:jc w:val="center"/>
                    <w:rPr>
                      <w:lang w:eastAsia="zh-CN"/>
                    </w:rPr>
                  </w:pPr>
                </w:p>
              </w:tc>
              <w:tc>
                <w:tcPr>
                  <w:tcW w:w="2713" w:type="dxa"/>
                  <w:vAlign w:val="center"/>
                </w:tcPr>
                <w:p>
                  <w:pPr>
                    <w:bidi w:val="0"/>
                    <w:jc w:val="center"/>
                    <w:rPr>
                      <w:rFonts w:hint="eastAsia"/>
                      <w:b/>
                      <w:bCs/>
                      <w:lang w:eastAsia="zh-CN"/>
                    </w:rPr>
                  </w:pPr>
                  <w:r>
                    <w:rPr>
                      <w:b/>
                      <w:bCs/>
                      <w:lang w:eastAsia="zh-CN"/>
                    </w:rPr>
                    <w:t>监控点</w:t>
                  </w:r>
                </w:p>
              </w:tc>
              <w:tc>
                <w:tcPr>
                  <w:tcW w:w="4443" w:type="dxa"/>
                  <w:vAlign w:val="center"/>
                </w:tcPr>
                <w:p>
                  <w:pPr>
                    <w:bidi w:val="0"/>
                    <w:jc w:val="center"/>
                    <w:rPr>
                      <w:b/>
                      <w:bCs/>
                      <w:lang w:eastAsia="zh-CN"/>
                    </w:rPr>
                  </w:pPr>
                  <w:r>
                    <w:rPr>
                      <w:b/>
                      <w:bCs/>
                      <w:lang w:eastAsia="zh-CN"/>
                    </w:rPr>
                    <w:t>浓度(mg/m</w:t>
                  </w:r>
                  <w:r>
                    <w:rPr>
                      <w:b/>
                      <w:bCs/>
                      <w:vertAlign w:val="superscript"/>
                      <w:lang w:eastAsia="zh-CN"/>
                    </w:rPr>
                    <w:t>3</w:t>
                  </w:r>
                  <w:r>
                    <w:rPr>
                      <w:b/>
                      <w:bCs/>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95" w:type="dxa"/>
                  <w:vAlign w:val="center"/>
                </w:tcPr>
                <w:p>
                  <w:pPr>
                    <w:bidi w:val="0"/>
                    <w:jc w:val="center"/>
                    <w:rPr>
                      <w:rFonts w:hint="eastAsia"/>
                      <w:lang w:eastAsia="zh-CN"/>
                    </w:rPr>
                  </w:pPr>
                  <w:r>
                    <w:rPr>
                      <w:lang w:eastAsia="zh-CN"/>
                    </w:rPr>
                    <w:t>颗粒物</w:t>
                  </w:r>
                </w:p>
              </w:tc>
              <w:tc>
                <w:tcPr>
                  <w:tcW w:w="2713" w:type="dxa"/>
                  <w:vAlign w:val="center"/>
                </w:tcPr>
                <w:p>
                  <w:pPr>
                    <w:bidi w:val="0"/>
                    <w:jc w:val="center"/>
                    <w:rPr>
                      <w:rFonts w:hint="eastAsia"/>
                      <w:lang w:eastAsia="zh-CN"/>
                    </w:rPr>
                  </w:pPr>
                  <w:r>
                    <w:rPr>
                      <w:lang w:eastAsia="zh-CN"/>
                    </w:rPr>
                    <w:t>周界外浓度最高点</w:t>
                  </w:r>
                </w:p>
              </w:tc>
              <w:tc>
                <w:tcPr>
                  <w:tcW w:w="4443" w:type="dxa"/>
                  <w:vAlign w:val="center"/>
                </w:tcPr>
                <w:p>
                  <w:pPr>
                    <w:bidi w:val="0"/>
                    <w:jc w:val="center"/>
                    <w:rPr>
                      <w:lang w:eastAsia="zh-CN"/>
                    </w:rPr>
                  </w:pPr>
                  <w:r>
                    <w:rPr>
                      <w:lang w:eastAsia="zh-CN"/>
                    </w:rPr>
                    <w:t>1.0</w:t>
                  </w:r>
                </w:p>
              </w:tc>
            </w:tr>
          </w:tbl>
          <w:p>
            <w:pPr>
              <w:pStyle w:val="22"/>
              <w:kinsoku/>
              <w:spacing w:before="36" w:line="360" w:lineRule="auto"/>
              <w:ind w:left="616"/>
              <w:rPr>
                <w:rFonts w:hint="eastAsia"/>
                <w:b/>
                <w:bCs/>
                <w:color w:val="auto"/>
                <w:lang w:eastAsia="zh-CN"/>
              </w:rPr>
            </w:pPr>
            <w:r>
              <w:rPr>
                <w:rFonts w:hint="eastAsia"/>
                <w:b/>
                <w:bCs/>
                <w:color w:val="auto"/>
                <w:spacing w:val="-2"/>
                <w:lang w:eastAsia="zh-CN"/>
              </w:rPr>
              <w:t>2、</w:t>
            </w:r>
            <w:r>
              <w:rPr>
                <w:b/>
                <w:bCs/>
                <w:color w:val="auto"/>
                <w:spacing w:val="-2"/>
                <w:lang w:eastAsia="zh-CN"/>
              </w:rPr>
              <w:t>运营期废气排放标准</w:t>
            </w:r>
          </w:p>
          <w:p>
            <w:pPr>
              <w:kinsoku/>
              <w:spacing w:line="360" w:lineRule="auto"/>
              <w:ind w:firstLine="472" w:firstLineChars="200"/>
              <w:rPr>
                <w:rFonts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①项目</w:t>
            </w:r>
            <w:r>
              <w:rPr>
                <w:rFonts w:hint="eastAsia" w:ascii="宋体" w:hAnsi="宋体" w:eastAsia="宋体" w:cs="宋体"/>
                <w:color w:val="auto"/>
                <w:spacing w:val="-2"/>
                <w:sz w:val="24"/>
                <w:szCs w:val="24"/>
                <w:lang w:val="en-US" w:eastAsia="zh-CN"/>
              </w:rPr>
              <w:t>雕刻</w:t>
            </w:r>
            <w:r>
              <w:rPr>
                <w:rFonts w:hint="eastAsia" w:ascii="宋体" w:hAnsi="宋体" w:eastAsia="宋体" w:cs="宋体"/>
                <w:color w:val="auto"/>
                <w:spacing w:val="-2"/>
                <w:sz w:val="24"/>
                <w:szCs w:val="24"/>
                <w:lang w:eastAsia="zh-CN"/>
              </w:rPr>
              <w:t>、打孔、</w:t>
            </w:r>
            <w:r>
              <w:rPr>
                <w:rFonts w:hint="eastAsia" w:ascii="宋体" w:hAnsi="宋体" w:eastAsia="宋体" w:cs="宋体"/>
                <w:color w:val="auto"/>
                <w:spacing w:val="-2"/>
                <w:sz w:val="24"/>
                <w:szCs w:val="24"/>
                <w:lang w:val="en-US" w:eastAsia="zh-CN"/>
              </w:rPr>
              <w:t>清理</w:t>
            </w:r>
            <w:r>
              <w:rPr>
                <w:rFonts w:ascii="宋体" w:hAnsi="宋体" w:eastAsia="宋体" w:cs="宋体"/>
                <w:color w:val="auto"/>
                <w:spacing w:val="-2"/>
                <w:sz w:val="24"/>
                <w:szCs w:val="24"/>
                <w:lang w:eastAsia="zh-CN"/>
              </w:rPr>
              <w:t>粉尘执行《大气污染物综合排放标准》（GB16297-1996）表2中</w:t>
            </w:r>
            <w:r>
              <w:rPr>
                <w:rFonts w:hint="eastAsia" w:ascii="宋体" w:hAnsi="宋体" w:eastAsia="宋体" w:cs="宋体"/>
                <w:color w:val="auto"/>
                <w:spacing w:val="-2"/>
                <w:sz w:val="24"/>
                <w:szCs w:val="24"/>
                <w:lang w:val="en-US" w:eastAsia="zh-CN"/>
              </w:rPr>
              <w:t>相关</w:t>
            </w:r>
            <w:r>
              <w:rPr>
                <w:rFonts w:ascii="宋体" w:hAnsi="宋体" w:eastAsia="宋体" w:cs="宋体"/>
                <w:color w:val="auto"/>
                <w:spacing w:val="-2"/>
                <w:sz w:val="24"/>
                <w:szCs w:val="24"/>
                <w:lang w:eastAsia="zh-CN"/>
              </w:rPr>
              <w:t>浓度限值。本项目</w:t>
            </w:r>
            <w:r>
              <w:rPr>
                <w:rFonts w:hint="eastAsia" w:ascii="宋体" w:hAnsi="宋体" w:eastAsia="宋体" w:cs="宋体"/>
                <w:color w:val="auto"/>
                <w:spacing w:val="-2"/>
                <w:sz w:val="24"/>
                <w:szCs w:val="24"/>
                <w:lang w:eastAsia="zh-CN"/>
              </w:rPr>
              <w:t>封边</w:t>
            </w:r>
            <w:r>
              <w:rPr>
                <w:rFonts w:ascii="宋体" w:hAnsi="宋体" w:eastAsia="宋体" w:cs="宋体"/>
                <w:color w:val="auto"/>
                <w:spacing w:val="-2"/>
                <w:sz w:val="24"/>
                <w:szCs w:val="24"/>
                <w:lang w:eastAsia="zh-CN"/>
              </w:rPr>
              <w:t>过程产生的挥发性有机废气（以非甲烷总烃计）执行《大气污染物综合排放标准》（GB16297-1996）表2相关标准，具体标准值见表3-</w:t>
            </w:r>
            <w:r>
              <w:rPr>
                <w:rFonts w:hint="eastAsia" w:ascii="宋体" w:hAnsi="宋体" w:eastAsia="宋体" w:cs="宋体"/>
                <w:color w:val="auto"/>
                <w:spacing w:val="-2"/>
                <w:sz w:val="24"/>
                <w:szCs w:val="24"/>
                <w:lang w:eastAsia="zh-CN"/>
              </w:rPr>
              <w:t>6</w:t>
            </w:r>
            <w:r>
              <w:rPr>
                <w:rFonts w:ascii="宋体" w:hAnsi="宋体" w:eastAsia="宋体" w:cs="宋体"/>
                <w:color w:val="auto"/>
                <w:spacing w:val="-2"/>
                <w:sz w:val="24"/>
                <w:szCs w:val="24"/>
                <w:lang w:eastAsia="zh-CN"/>
              </w:rPr>
              <w:t>。</w:t>
            </w:r>
          </w:p>
          <w:p>
            <w:pPr>
              <w:kinsoku/>
              <w:spacing w:line="360" w:lineRule="auto"/>
              <w:ind w:firstLine="472" w:firstLineChars="200"/>
              <w:rPr>
                <w:rFonts w:hint="eastAsia" w:ascii="宋体" w:hAnsi="宋体" w:eastAsia="宋体" w:cs="宋体"/>
                <w:color w:val="auto"/>
                <w:spacing w:val="-2"/>
                <w:sz w:val="24"/>
                <w:szCs w:val="24"/>
                <w:lang w:eastAsia="zh-CN"/>
              </w:rPr>
            </w:pPr>
          </w:p>
          <w:p>
            <w:pPr>
              <w:pStyle w:val="22"/>
              <w:kinsoku/>
              <w:spacing w:before="178" w:line="228" w:lineRule="auto"/>
              <w:ind w:left="2030"/>
              <w:rPr>
                <w:rFonts w:ascii="Times New Roman" w:hAnsi="Times New Roman" w:cs="Times New Roman"/>
                <w:color w:val="auto"/>
                <w:sz w:val="20"/>
                <w:szCs w:val="20"/>
                <w:lang w:eastAsia="zh-CN"/>
              </w:rPr>
            </w:pPr>
            <w:r>
              <w:rPr>
                <w:rFonts w:ascii="Times New Roman" w:hAnsi="Times New Roman" w:cs="Times New Roman"/>
                <w:b/>
                <w:bCs/>
                <w:color w:val="auto"/>
                <w:spacing w:val="6"/>
                <w:sz w:val="20"/>
                <w:szCs w:val="20"/>
                <w:lang w:eastAsia="zh-CN"/>
              </w:rPr>
              <w:t>表3-</w:t>
            </w:r>
            <w:r>
              <w:rPr>
                <w:rFonts w:hint="eastAsia" w:ascii="Times New Roman" w:hAnsi="Times New Roman" w:cs="Times New Roman"/>
                <w:b/>
                <w:bCs/>
                <w:color w:val="auto"/>
                <w:spacing w:val="6"/>
                <w:sz w:val="20"/>
                <w:szCs w:val="20"/>
                <w:lang w:eastAsia="zh-CN"/>
              </w:rPr>
              <w:t>6</w:t>
            </w:r>
            <w:r>
              <w:rPr>
                <w:rFonts w:ascii="Times New Roman" w:hAnsi="Times New Roman" w:cs="Times New Roman"/>
                <w:b/>
                <w:bCs/>
                <w:color w:val="auto"/>
                <w:spacing w:val="6"/>
                <w:sz w:val="20"/>
                <w:szCs w:val="20"/>
                <w:lang w:eastAsia="zh-CN"/>
              </w:rPr>
              <w:t>《大气污染物综合排放标准》（</w:t>
            </w:r>
            <w:r>
              <w:rPr>
                <w:rFonts w:ascii="Times New Roman" w:hAnsi="Times New Roman" w:cs="Times New Roman"/>
                <w:b/>
                <w:bCs/>
                <w:color w:val="auto"/>
                <w:sz w:val="20"/>
                <w:szCs w:val="20"/>
                <w:lang w:eastAsia="zh-CN"/>
              </w:rPr>
              <w:t>GB</w:t>
            </w:r>
            <w:r>
              <w:rPr>
                <w:rFonts w:ascii="Times New Roman" w:hAnsi="Times New Roman" w:cs="Times New Roman"/>
                <w:b/>
                <w:bCs/>
                <w:color w:val="auto"/>
                <w:spacing w:val="6"/>
                <w:sz w:val="20"/>
                <w:szCs w:val="20"/>
                <w:lang w:eastAsia="zh-CN"/>
              </w:rPr>
              <w:t>16297-1996）</w:t>
            </w:r>
          </w:p>
          <w:p>
            <w:pPr>
              <w:kinsoku/>
              <w:spacing w:line="130" w:lineRule="exact"/>
              <w:rPr>
                <w:rFonts w:ascii="Times New Roman" w:hAnsi="Times New Roman" w:eastAsia="宋体" w:cs="Times New Roman"/>
                <w:color w:val="auto"/>
                <w:lang w:eastAsia="zh-CN"/>
              </w:rPr>
            </w:pP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080"/>
              <w:gridCol w:w="1080"/>
              <w:gridCol w:w="2580"/>
              <w:gridCol w:w="1080"/>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8" w:type="dxa"/>
                  <w:vMerge w:val="restart"/>
                  <w:shd w:val="clear" w:color="auto" w:fill="auto"/>
                  <w:vAlign w:val="center"/>
                </w:tcPr>
                <w:p>
                  <w:pPr>
                    <w:kinsoku/>
                    <w:jc w:val="center"/>
                    <w:textAlignment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lang w:eastAsia="zh-CN"/>
                    </w:rPr>
                    <w:t>污染物</w:t>
                  </w:r>
                </w:p>
              </w:tc>
              <w:tc>
                <w:tcPr>
                  <w:tcW w:w="1080" w:type="dxa"/>
                  <w:vMerge w:val="restart"/>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r>
                    <w:rPr>
                      <w:rFonts w:ascii="Times New Roman" w:hAnsi="Times New Roman" w:eastAsia="宋体" w:cs="Times New Roman"/>
                      <w:b/>
                      <w:bCs/>
                      <w:color w:val="auto"/>
                      <w:sz w:val="20"/>
                      <w:szCs w:val="20"/>
                      <w:lang w:eastAsia="zh-CN"/>
                    </w:rPr>
                    <w:t>最高允许排放浓度(mg/m</w:t>
                  </w:r>
                  <w:r>
                    <w:rPr>
                      <w:rFonts w:ascii="Times New Roman" w:hAnsi="Times New Roman" w:eastAsia="宋体" w:cs="Times New Roman"/>
                      <w:b/>
                      <w:bCs/>
                      <w:color w:val="auto"/>
                      <w:sz w:val="13"/>
                      <w:szCs w:val="13"/>
                      <w:lang w:eastAsia="zh-CN"/>
                    </w:rPr>
                    <w:t>3</w:t>
                  </w:r>
                  <w:r>
                    <w:rPr>
                      <w:rFonts w:ascii="Times New Roman" w:hAnsi="Times New Roman" w:eastAsia="宋体" w:cs="Times New Roman"/>
                      <w:b/>
                      <w:bCs/>
                      <w:color w:val="auto"/>
                      <w:sz w:val="20"/>
                      <w:szCs w:val="20"/>
                      <w:lang w:eastAsia="zh-CN"/>
                    </w:rPr>
                    <w:t>)</w:t>
                  </w:r>
                </w:p>
              </w:tc>
              <w:tc>
                <w:tcPr>
                  <w:tcW w:w="1080" w:type="dxa"/>
                  <w:vMerge w:val="restart"/>
                  <w:shd w:val="clear" w:color="auto" w:fill="auto"/>
                  <w:vAlign w:val="center"/>
                </w:tcPr>
                <w:p>
                  <w:pPr>
                    <w:kinsoku/>
                    <w:jc w:val="center"/>
                    <w:textAlignment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lang w:eastAsia="zh-CN"/>
                    </w:rPr>
                    <w:t>排气筒（m）</w:t>
                  </w:r>
                </w:p>
              </w:tc>
              <w:tc>
                <w:tcPr>
                  <w:tcW w:w="2580" w:type="dxa"/>
                  <w:vMerge w:val="restart"/>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r>
                    <w:rPr>
                      <w:rFonts w:ascii="Times New Roman" w:hAnsi="Times New Roman" w:eastAsia="宋体" w:cs="Times New Roman"/>
                      <w:b/>
                      <w:bCs/>
                      <w:color w:val="auto"/>
                      <w:sz w:val="20"/>
                      <w:szCs w:val="20"/>
                      <w:lang w:eastAsia="zh-CN"/>
                    </w:rPr>
                    <w:t>最高允许排放速率（kg/h）二级</w:t>
                  </w:r>
                </w:p>
              </w:tc>
              <w:tc>
                <w:tcPr>
                  <w:tcW w:w="2758" w:type="dxa"/>
                  <w:gridSpan w:val="2"/>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r>
                    <w:rPr>
                      <w:rFonts w:ascii="Times New Roman" w:hAnsi="Times New Roman" w:eastAsia="宋体" w:cs="Times New Roman"/>
                      <w:b/>
                      <w:bCs/>
                      <w:color w:val="auto"/>
                      <w:sz w:val="20"/>
                      <w:szCs w:val="20"/>
                      <w:lang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8" w:type="dxa"/>
                  <w:vMerge w:val="continue"/>
                  <w:shd w:val="clear" w:color="auto" w:fill="auto"/>
                  <w:vAlign w:val="center"/>
                </w:tcPr>
                <w:p>
                  <w:pPr>
                    <w:kinsoku/>
                    <w:jc w:val="center"/>
                    <w:rPr>
                      <w:rFonts w:ascii="Times New Roman" w:hAnsi="Times New Roman" w:eastAsia="宋体" w:cs="Times New Roman"/>
                      <w:color w:val="auto"/>
                      <w:lang w:eastAsia="zh-CN"/>
                    </w:rPr>
                  </w:pPr>
                </w:p>
              </w:tc>
              <w:tc>
                <w:tcPr>
                  <w:tcW w:w="1080" w:type="dxa"/>
                  <w:vMerge w:val="continue"/>
                  <w:shd w:val="clear" w:color="auto" w:fill="auto"/>
                  <w:vAlign w:val="center"/>
                </w:tcPr>
                <w:p>
                  <w:pPr>
                    <w:kinsoku/>
                    <w:jc w:val="center"/>
                    <w:rPr>
                      <w:rFonts w:ascii="Times New Roman" w:hAnsi="Times New Roman" w:eastAsia="宋体" w:cs="Times New Roman"/>
                      <w:color w:val="auto"/>
                      <w:lang w:eastAsia="zh-CN"/>
                    </w:rPr>
                  </w:pPr>
                </w:p>
              </w:tc>
              <w:tc>
                <w:tcPr>
                  <w:tcW w:w="1080" w:type="dxa"/>
                  <w:vMerge w:val="continue"/>
                  <w:shd w:val="clear" w:color="auto" w:fill="auto"/>
                  <w:vAlign w:val="center"/>
                </w:tcPr>
                <w:p>
                  <w:pPr>
                    <w:kinsoku/>
                    <w:jc w:val="center"/>
                    <w:rPr>
                      <w:rFonts w:ascii="Times New Roman" w:hAnsi="Times New Roman" w:eastAsia="宋体" w:cs="Times New Roman"/>
                      <w:color w:val="auto"/>
                      <w:lang w:eastAsia="zh-CN"/>
                    </w:rPr>
                  </w:pPr>
                </w:p>
              </w:tc>
              <w:tc>
                <w:tcPr>
                  <w:tcW w:w="2580" w:type="dxa"/>
                  <w:vMerge w:val="continue"/>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p>
              </w:tc>
              <w:tc>
                <w:tcPr>
                  <w:tcW w:w="1080" w:type="dxa"/>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r>
                    <w:rPr>
                      <w:rFonts w:ascii="Times New Roman" w:hAnsi="Times New Roman" w:eastAsia="宋体" w:cs="Times New Roman"/>
                      <w:b/>
                      <w:bCs/>
                      <w:color w:val="auto"/>
                      <w:sz w:val="20"/>
                      <w:szCs w:val="20"/>
                      <w:lang w:eastAsia="zh-CN"/>
                    </w:rPr>
                    <w:t>监控点</w:t>
                  </w:r>
                </w:p>
              </w:tc>
              <w:tc>
                <w:tcPr>
                  <w:tcW w:w="1678" w:type="dxa"/>
                  <w:shd w:val="clear" w:color="auto" w:fill="auto"/>
                  <w:vAlign w:val="center"/>
                </w:tcPr>
                <w:p>
                  <w:pPr>
                    <w:kinsoku/>
                    <w:jc w:val="center"/>
                    <w:textAlignment w:val="center"/>
                    <w:rPr>
                      <w:rFonts w:ascii="Times New Roman" w:hAnsi="Times New Roman" w:eastAsia="宋体" w:cs="Times New Roman"/>
                      <w:b/>
                      <w:bCs/>
                      <w:color w:val="auto"/>
                      <w:sz w:val="20"/>
                      <w:szCs w:val="20"/>
                      <w:lang w:eastAsia="zh-CN"/>
                    </w:rPr>
                  </w:pPr>
                  <w:r>
                    <w:rPr>
                      <w:rFonts w:ascii="Times New Roman" w:hAnsi="Times New Roman" w:eastAsia="宋体" w:cs="Times New Roman"/>
                      <w:b/>
                      <w:bCs/>
                      <w:color w:val="auto"/>
                      <w:sz w:val="20"/>
                      <w:szCs w:val="20"/>
                      <w:lang w:eastAsia="zh-CN"/>
                    </w:rPr>
                    <w:t>浓度（mg/m</w:t>
                  </w:r>
                  <w:r>
                    <w:rPr>
                      <w:rFonts w:ascii="Times New Roman" w:hAnsi="Times New Roman" w:eastAsia="宋体" w:cs="Times New Roman"/>
                      <w:b/>
                      <w:bCs/>
                      <w:color w:val="auto"/>
                      <w:sz w:val="13"/>
                      <w:szCs w:val="13"/>
                      <w:lang w:eastAsia="zh-CN"/>
                    </w:rPr>
                    <w:t>3</w:t>
                  </w:r>
                  <w:r>
                    <w:rPr>
                      <w:rFonts w:ascii="Times New Roman" w:hAnsi="Times New Roman" w:eastAsia="宋体" w:cs="Times New Roman"/>
                      <w:b/>
                      <w:bCs/>
                      <w:color w:val="auto"/>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58"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颗粒物</w:t>
                  </w:r>
                </w:p>
              </w:tc>
              <w:tc>
                <w:tcPr>
                  <w:tcW w:w="10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120</w:t>
                  </w:r>
                </w:p>
              </w:tc>
              <w:tc>
                <w:tcPr>
                  <w:tcW w:w="10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15</w:t>
                  </w:r>
                </w:p>
              </w:tc>
              <w:tc>
                <w:tcPr>
                  <w:tcW w:w="25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1.75</w:t>
                  </w:r>
                </w:p>
              </w:tc>
              <w:tc>
                <w:tcPr>
                  <w:tcW w:w="1080" w:type="dxa"/>
                  <w:vMerge w:val="restart"/>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周界外浓度最高点</w:t>
                  </w:r>
                </w:p>
              </w:tc>
              <w:tc>
                <w:tcPr>
                  <w:tcW w:w="1678"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58"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非甲烷总烃</w:t>
                  </w:r>
                </w:p>
              </w:tc>
              <w:tc>
                <w:tcPr>
                  <w:tcW w:w="10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120</w:t>
                  </w:r>
                </w:p>
              </w:tc>
              <w:tc>
                <w:tcPr>
                  <w:tcW w:w="10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15</w:t>
                  </w:r>
                </w:p>
              </w:tc>
              <w:tc>
                <w:tcPr>
                  <w:tcW w:w="2580"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5</w:t>
                  </w:r>
                </w:p>
              </w:tc>
              <w:tc>
                <w:tcPr>
                  <w:tcW w:w="1080" w:type="dxa"/>
                  <w:vMerge w:val="continue"/>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p>
              </w:tc>
              <w:tc>
                <w:tcPr>
                  <w:tcW w:w="1678" w:type="dxa"/>
                  <w:shd w:val="clear" w:color="auto" w:fill="auto"/>
                  <w:vAlign w:val="center"/>
                </w:tcPr>
                <w:p>
                  <w:pPr>
                    <w:kinsoku/>
                    <w:jc w:val="center"/>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756" w:type="dxa"/>
                  <w:gridSpan w:val="6"/>
                  <w:shd w:val="clear" w:color="auto" w:fill="auto"/>
                  <w:vAlign w:val="center"/>
                </w:tcPr>
                <w:p>
                  <w:pPr>
                    <w:kinsoku/>
                    <w:textAlignment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lang w:eastAsia="zh-CN" w:bidi="ar"/>
                    </w:rPr>
                    <w:t>备注：根据</w:t>
                  </w:r>
                  <w:r>
                    <w:rPr>
                      <w:rFonts w:ascii="Times New Roman" w:hAnsi="Times New Roman" w:eastAsia="宋体" w:cs="Times New Roman"/>
                      <w:color w:val="auto"/>
                      <w:lang w:eastAsia="zh-CN"/>
                    </w:rPr>
                    <w:t>《大气污染物综合排放标准》（GB16297-1996）中</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7.1排气筒高度除须遵守表列排放速率值外，还应</w:t>
                  </w:r>
                  <w:bookmarkStart w:id="19" w:name="_Hlk203638736"/>
                  <w:r>
                    <w:rPr>
                      <w:rFonts w:ascii="Times New Roman" w:hAnsi="Times New Roman" w:eastAsia="宋体" w:cs="Times New Roman"/>
                      <w:color w:val="auto"/>
                      <w:lang w:eastAsia="zh-CN"/>
                    </w:rPr>
                    <w:t>高出周围200米半径范围的建筑5米以上</w:t>
                  </w:r>
                  <w:bookmarkEnd w:id="19"/>
                  <w:r>
                    <w:rPr>
                      <w:rFonts w:ascii="Times New Roman" w:hAnsi="Times New Roman" w:eastAsia="宋体" w:cs="Times New Roman"/>
                      <w:color w:val="auto"/>
                      <w:lang w:eastAsia="zh-CN"/>
                    </w:rPr>
                    <w:t>，不能达到该要求的排气筒，应按其高度对应的表列排放速率标准值严格50%执行</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，本项目200m范围内最高建筑为12m，排气筒高度15m不能满足</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高出周围200米半径范围的建筑5米以上</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的要求，故排放速率标准值严格50%执行。</w:t>
                  </w:r>
                </w:p>
              </w:tc>
            </w:tr>
          </w:tbl>
          <w:p>
            <w:pPr>
              <w:pStyle w:val="22"/>
              <w:kinsoku/>
              <w:spacing w:before="38" w:line="349" w:lineRule="auto"/>
              <w:ind w:left="111" w:right="103" w:firstLine="474"/>
              <w:jc w:val="both"/>
              <w:rPr>
                <w:rFonts w:ascii="Times New Roman" w:hAnsi="Times New Roman" w:cs="Times New Roman"/>
                <w:color w:val="auto"/>
                <w:lang w:eastAsia="zh-CN"/>
              </w:rPr>
            </w:pPr>
            <w:r>
              <w:rPr>
                <w:rFonts w:hint="eastAsia" w:ascii="Times New Roman" w:hAnsi="Times New Roman" w:cs="Times New Roman"/>
                <w:color w:val="auto"/>
                <w:lang w:eastAsia="zh-CN"/>
              </w:rPr>
              <w:t>②</w:t>
            </w:r>
            <w:r>
              <w:rPr>
                <w:rFonts w:ascii="Times New Roman" w:hAnsi="Times New Roman" w:cs="Times New Roman"/>
                <w:color w:val="auto"/>
                <w:lang w:eastAsia="zh-CN"/>
              </w:rPr>
              <w:t>厂区内(厂房外)非甲烷总烃的无组织排放参照《挥发性有机物无组织排放控制标准》(GB3782-2019)附录A，具体标准见表3-</w:t>
            </w:r>
            <w:r>
              <w:rPr>
                <w:rFonts w:hint="eastAsia" w:ascii="Times New Roman" w:hAnsi="Times New Roman" w:cs="Times New Roman"/>
                <w:color w:val="auto"/>
                <w:lang w:eastAsia="zh-CN"/>
              </w:rPr>
              <w:t>7</w:t>
            </w:r>
            <w:r>
              <w:rPr>
                <w:rFonts w:ascii="Times New Roman" w:hAnsi="Times New Roman" w:cs="Times New Roman"/>
                <w:color w:val="auto"/>
                <w:lang w:eastAsia="zh-CN"/>
              </w:rPr>
              <w:t>。</w:t>
            </w:r>
          </w:p>
          <w:p>
            <w:pPr>
              <w:pStyle w:val="22"/>
              <w:kinsoku/>
              <w:spacing w:before="38" w:line="349" w:lineRule="auto"/>
              <w:ind w:left="111" w:right="103" w:firstLine="474"/>
              <w:jc w:val="center"/>
              <w:rPr>
                <w:rFonts w:ascii="Times New Roman" w:hAnsi="Times New Roman" w:cs="Times New Roman"/>
                <w:b/>
                <w:bCs/>
                <w:color w:val="auto"/>
                <w:spacing w:val="6"/>
                <w:sz w:val="21"/>
                <w:szCs w:val="21"/>
                <w:lang w:eastAsia="zh-CN"/>
              </w:rPr>
            </w:pPr>
            <w:r>
              <w:rPr>
                <w:rFonts w:ascii="Times New Roman" w:hAnsi="Times New Roman" w:cs="Times New Roman"/>
                <w:b/>
                <w:bCs/>
                <w:color w:val="auto"/>
                <w:spacing w:val="6"/>
                <w:sz w:val="21"/>
                <w:szCs w:val="21"/>
                <w:lang w:eastAsia="zh-CN"/>
              </w:rPr>
              <w:t>表3-</w:t>
            </w:r>
            <w:r>
              <w:rPr>
                <w:rFonts w:hint="eastAsia" w:ascii="Times New Roman" w:hAnsi="Times New Roman" w:cs="Times New Roman"/>
                <w:b/>
                <w:bCs/>
                <w:color w:val="auto"/>
                <w:spacing w:val="6"/>
                <w:sz w:val="21"/>
                <w:szCs w:val="21"/>
                <w:lang w:eastAsia="zh-CN"/>
              </w:rPr>
              <w:t>7</w:t>
            </w:r>
            <w:r>
              <w:rPr>
                <w:rFonts w:ascii="Times New Roman" w:hAnsi="Times New Roman" w:cs="Times New Roman"/>
                <w:b/>
                <w:bCs/>
                <w:color w:val="auto"/>
                <w:spacing w:val="6"/>
                <w:sz w:val="21"/>
                <w:szCs w:val="21"/>
                <w:lang w:eastAsia="zh-CN"/>
              </w:rPr>
              <w:t>《挥发性有机物无组织排放控制标准》(GB37822-2019)附录A</w:t>
            </w:r>
          </w:p>
          <w:tbl>
            <w:tblPr>
              <w:tblStyle w:val="16"/>
              <w:tblW w:w="8751" w:type="dxa"/>
              <w:jc w:val="center"/>
              <w:tblLayout w:type="fixed"/>
              <w:tblCellMar>
                <w:top w:w="0" w:type="dxa"/>
                <w:left w:w="108" w:type="dxa"/>
                <w:bottom w:w="0" w:type="dxa"/>
                <w:right w:w="108" w:type="dxa"/>
              </w:tblCellMar>
            </w:tblPr>
            <w:tblGrid>
              <w:gridCol w:w="1309"/>
              <w:gridCol w:w="1301"/>
              <w:gridCol w:w="1494"/>
              <w:gridCol w:w="2520"/>
              <w:gridCol w:w="2127"/>
            </w:tblGrid>
            <w:tr>
              <w:tblPrEx>
                <w:tblCellMar>
                  <w:top w:w="0" w:type="dxa"/>
                  <w:left w:w="108" w:type="dxa"/>
                  <w:bottom w:w="0" w:type="dxa"/>
                  <w:right w:w="108" w:type="dxa"/>
                </w:tblCellMar>
              </w:tblPrEx>
              <w:trPr>
                <w:trHeight w:val="195" w:hRule="atLeast"/>
                <w:jc w:val="center"/>
              </w:trPr>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污染物项目</w:t>
                  </w:r>
                </w:p>
              </w:tc>
              <w:tc>
                <w:tcPr>
                  <w:tcW w:w="1301"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排放限值</w:t>
                  </w:r>
                  <w:r>
                    <w:rPr>
                      <w:rFonts w:ascii="Times New Roman" w:hAnsi="Times New Roman" w:eastAsia="宋体" w:cs="Times New Roman"/>
                      <w:b/>
                      <w:bCs/>
                      <w:color w:val="auto"/>
                      <w:sz w:val="20"/>
                      <w:szCs w:val="20"/>
                      <w:lang w:eastAsia="zh-CN"/>
                    </w:rPr>
                    <w:t>（mg/m</w:t>
                  </w:r>
                  <w:r>
                    <w:rPr>
                      <w:rFonts w:ascii="Times New Roman" w:hAnsi="Times New Roman" w:eastAsia="宋体" w:cs="Times New Roman"/>
                      <w:b/>
                      <w:bCs/>
                      <w:color w:val="auto"/>
                      <w:sz w:val="13"/>
                      <w:szCs w:val="13"/>
                      <w:lang w:eastAsia="zh-CN"/>
                    </w:rPr>
                    <w:t>3</w:t>
                  </w:r>
                  <w:r>
                    <w:rPr>
                      <w:rFonts w:ascii="Times New Roman" w:hAnsi="Times New Roman" w:eastAsia="宋体" w:cs="Times New Roman"/>
                      <w:b/>
                      <w:bCs/>
                      <w:color w:val="auto"/>
                      <w:sz w:val="20"/>
                      <w:szCs w:val="20"/>
                      <w:lang w:eastAsia="zh-CN"/>
                    </w:rPr>
                    <w:t>）</w:t>
                  </w:r>
                </w:p>
              </w:tc>
              <w:tc>
                <w:tcPr>
                  <w:tcW w:w="1494"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特别排放限值</w:t>
                  </w:r>
                  <w:r>
                    <w:rPr>
                      <w:rFonts w:ascii="Times New Roman" w:hAnsi="Times New Roman" w:eastAsia="宋体" w:cs="Times New Roman"/>
                      <w:b/>
                      <w:bCs/>
                      <w:color w:val="auto"/>
                      <w:sz w:val="20"/>
                      <w:szCs w:val="20"/>
                      <w:lang w:eastAsia="zh-CN"/>
                    </w:rPr>
                    <w:t>（mg/m</w:t>
                  </w:r>
                  <w:r>
                    <w:rPr>
                      <w:rFonts w:ascii="Times New Roman" w:hAnsi="Times New Roman" w:eastAsia="宋体" w:cs="Times New Roman"/>
                      <w:b/>
                      <w:bCs/>
                      <w:color w:val="auto"/>
                      <w:sz w:val="13"/>
                      <w:szCs w:val="13"/>
                      <w:lang w:eastAsia="zh-CN"/>
                    </w:rPr>
                    <w:t>3</w:t>
                  </w:r>
                  <w:r>
                    <w:rPr>
                      <w:rFonts w:ascii="Times New Roman" w:hAnsi="Times New Roman" w:eastAsia="宋体" w:cs="Times New Roman"/>
                      <w:b/>
                      <w:bCs/>
                      <w:color w:val="auto"/>
                      <w:sz w:val="20"/>
                      <w:szCs w:val="20"/>
                      <w:lang w:eastAsia="zh-CN"/>
                    </w:rPr>
                    <w:t>）</w:t>
                  </w:r>
                </w:p>
              </w:tc>
              <w:tc>
                <w:tcPr>
                  <w:tcW w:w="2520"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限值含义</w:t>
                  </w:r>
                </w:p>
              </w:tc>
              <w:tc>
                <w:tcPr>
                  <w:tcW w:w="2127"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rPr>
                  </w:pPr>
                  <w:r>
                    <w:rPr>
                      <w:rFonts w:ascii="Times New Roman" w:hAnsi="Times New Roman" w:eastAsia="宋体" w:cs="Times New Roman"/>
                      <w:b/>
                      <w:bCs/>
                      <w:color w:val="auto"/>
                      <w:lang w:eastAsia="zh-CN"/>
                    </w:rPr>
                    <w:t>无组织排放监控位置</w:t>
                  </w:r>
                </w:p>
              </w:tc>
            </w:tr>
            <w:tr>
              <w:tblPrEx>
                <w:tblCellMar>
                  <w:top w:w="0" w:type="dxa"/>
                  <w:left w:w="108" w:type="dxa"/>
                  <w:bottom w:w="0" w:type="dxa"/>
                  <w:right w:w="108" w:type="dxa"/>
                </w:tblCellMar>
              </w:tblPrEx>
              <w:trPr>
                <w:trHeight w:val="195" w:hRule="atLeast"/>
                <w:jc w:val="center"/>
              </w:trPr>
              <w:tc>
                <w:tcPr>
                  <w:tcW w:w="1309" w:type="dxa"/>
                  <w:vMerge w:val="restart"/>
                  <w:tcBorders>
                    <w:top w:val="nil"/>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rPr>
                    <w:t>NMHC</w:t>
                  </w:r>
                </w:p>
              </w:tc>
              <w:tc>
                <w:tcPr>
                  <w:tcW w:w="1301" w:type="dxa"/>
                  <w:tcBorders>
                    <w:top w:val="nil"/>
                    <w:left w:val="nil"/>
                    <w:bottom w:val="single" w:color="000000" w:sz="4" w:space="0"/>
                    <w:right w:val="single" w:color="000000" w:sz="4" w:space="0"/>
                  </w:tcBorders>
                  <w:shd w:val="clear" w:color="auto" w:fill="auto"/>
                  <w:vAlign w:val="bottom"/>
                </w:tcPr>
                <w:p>
                  <w:pPr>
                    <w:kinsoku/>
                    <w:jc w:val="center"/>
                    <w:textAlignment w:val="bottom"/>
                    <w:rPr>
                      <w:rFonts w:ascii="Times New Roman" w:hAnsi="Times New Roman" w:eastAsia="宋体" w:cs="Times New Roman"/>
                      <w:color w:val="auto"/>
                    </w:rPr>
                  </w:pPr>
                  <w:r>
                    <w:rPr>
                      <w:rFonts w:ascii="Times New Roman" w:hAnsi="Times New Roman" w:eastAsia="宋体" w:cs="Times New Roman"/>
                      <w:color w:val="auto"/>
                      <w:lang w:eastAsia="zh-CN"/>
                    </w:rPr>
                    <w:t>10</w:t>
                  </w:r>
                </w:p>
              </w:tc>
              <w:tc>
                <w:tcPr>
                  <w:tcW w:w="1494" w:type="dxa"/>
                  <w:tcBorders>
                    <w:top w:val="nil"/>
                    <w:left w:val="nil"/>
                    <w:bottom w:val="single" w:color="000000" w:sz="4" w:space="0"/>
                    <w:right w:val="single" w:color="000000" w:sz="4" w:space="0"/>
                  </w:tcBorders>
                  <w:shd w:val="clear" w:color="auto" w:fill="auto"/>
                  <w:vAlign w:val="bottom"/>
                </w:tcPr>
                <w:p>
                  <w:pPr>
                    <w:kinsoku/>
                    <w:jc w:val="center"/>
                    <w:textAlignment w:val="bottom"/>
                    <w:rPr>
                      <w:rFonts w:ascii="Times New Roman" w:hAnsi="Times New Roman" w:eastAsia="宋体" w:cs="Times New Roman"/>
                      <w:color w:val="auto"/>
                    </w:rPr>
                  </w:pPr>
                  <w:r>
                    <w:rPr>
                      <w:rFonts w:ascii="Times New Roman" w:hAnsi="Times New Roman" w:eastAsia="宋体" w:cs="Times New Roman"/>
                      <w:color w:val="auto"/>
                      <w:lang w:eastAsia="zh-CN"/>
                    </w:rPr>
                    <w:t>6</w:t>
                  </w:r>
                </w:p>
              </w:tc>
              <w:tc>
                <w:tcPr>
                  <w:tcW w:w="252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监控点处1h平均浓度值</w:t>
                  </w:r>
                </w:p>
              </w:tc>
              <w:tc>
                <w:tcPr>
                  <w:tcW w:w="2127" w:type="dxa"/>
                  <w:vMerge w:val="restart"/>
                  <w:tcBorders>
                    <w:top w:val="nil"/>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rPr>
                    <w:t>在厂房外设置监控点</w:t>
                  </w:r>
                </w:p>
              </w:tc>
            </w:tr>
            <w:tr>
              <w:tblPrEx>
                <w:tblCellMar>
                  <w:top w:w="0" w:type="dxa"/>
                  <w:left w:w="108" w:type="dxa"/>
                  <w:bottom w:w="0" w:type="dxa"/>
                  <w:right w:w="108" w:type="dxa"/>
                </w:tblCellMar>
              </w:tblPrEx>
              <w:trPr>
                <w:trHeight w:val="195" w:hRule="atLeast"/>
                <w:jc w:val="center"/>
              </w:trPr>
              <w:tc>
                <w:tcPr>
                  <w:tcW w:w="1309"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rPr>
                  </w:pPr>
                </w:p>
              </w:tc>
              <w:tc>
                <w:tcPr>
                  <w:tcW w:w="1301"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rPr>
                    <w:t>30</w:t>
                  </w:r>
                </w:p>
              </w:tc>
              <w:tc>
                <w:tcPr>
                  <w:tcW w:w="1494"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rPr>
                    <w:t>20</w:t>
                  </w:r>
                </w:p>
              </w:tc>
              <w:tc>
                <w:tcPr>
                  <w:tcW w:w="252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监控点处任意一次浓度值</w:t>
                  </w:r>
                </w:p>
              </w:tc>
              <w:tc>
                <w:tcPr>
                  <w:tcW w:w="2127"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eastAsia="宋体" w:cs="Times New Roman"/>
                      <w:color w:val="auto"/>
                      <w:lang w:eastAsia="zh-CN"/>
                    </w:rPr>
                  </w:pPr>
                </w:p>
              </w:tc>
            </w:tr>
          </w:tbl>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w:t>
            </w:r>
            <w:bookmarkStart w:id="20" w:name="_Hlk203641391"/>
            <w:r>
              <w:rPr>
                <w:rFonts w:ascii="Times New Roman" w:hAnsi="Times New Roman" w:eastAsia="宋体" w:cs="Times New Roman"/>
                <w:color w:val="auto"/>
                <w:sz w:val="24"/>
                <w:szCs w:val="24"/>
                <w:lang w:eastAsia="zh-CN"/>
              </w:rPr>
              <w:t>封边胶桶在开启和设备添加</w:t>
            </w:r>
            <w:r>
              <w:rPr>
                <w:rFonts w:hint="eastAsia" w:ascii="Times New Roman" w:hAnsi="Times New Roman" w:eastAsia="宋体" w:cs="Times New Roman"/>
                <w:color w:val="auto"/>
                <w:sz w:val="24"/>
                <w:szCs w:val="24"/>
                <w:lang w:eastAsia="zh-CN"/>
              </w:rPr>
              <w:t>封边胶</w:t>
            </w:r>
            <w:bookmarkEnd w:id="20"/>
            <w:r>
              <w:rPr>
                <w:rFonts w:ascii="Times New Roman" w:hAnsi="Times New Roman" w:eastAsia="宋体" w:cs="Times New Roman"/>
                <w:color w:val="auto"/>
                <w:sz w:val="24"/>
                <w:szCs w:val="24"/>
                <w:lang w:eastAsia="zh-CN"/>
              </w:rPr>
              <w:t>的过程中会短时间内产生少量</w:t>
            </w:r>
            <w:r>
              <w:rPr>
                <w:rFonts w:hint="eastAsia" w:ascii="Times New Roman" w:hAnsi="Times New Roman" w:eastAsia="宋体" w:cs="Times New Roman"/>
                <w:color w:val="auto"/>
                <w:lang w:eastAsia="zh-CN"/>
              </w:rPr>
              <w:t>异味</w:t>
            </w:r>
            <w:r>
              <w:rPr>
                <w:rFonts w:ascii="Times New Roman" w:hAnsi="Times New Roman" w:eastAsia="宋体" w:cs="Times New Roman"/>
                <w:color w:val="auto"/>
                <w:sz w:val="24"/>
                <w:szCs w:val="24"/>
                <w:lang w:eastAsia="zh-CN"/>
              </w:rPr>
              <w:t>，以无组织的形式扩散到大气中，该部分无组织</w:t>
            </w:r>
            <w:r>
              <w:rPr>
                <w:rFonts w:hint="eastAsia" w:ascii="Times New Roman" w:hAnsi="Times New Roman" w:eastAsia="宋体" w:cs="Times New Roman"/>
                <w:color w:val="auto"/>
                <w:sz w:val="24"/>
                <w:szCs w:val="24"/>
                <w:lang w:eastAsia="zh-CN"/>
              </w:rPr>
              <w:t>异味</w:t>
            </w:r>
            <w:r>
              <w:rPr>
                <w:rFonts w:ascii="Times New Roman" w:hAnsi="Times New Roman" w:eastAsia="宋体" w:cs="Times New Roman"/>
                <w:color w:val="auto"/>
                <w:sz w:val="24"/>
                <w:szCs w:val="24"/>
                <w:lang w:eastAsia="zh-CN"/>
              </w:rPr>
              <w:t>执行</w:t>
            </w:r>
            <w:bookmarkStart w:id="21" w:name="_Hlk203641444"/>
            <w:r>
              <w:rPr>
                <w:rFonts w:ascii="Times New Roman" w:hAnsi="Times New Roman" w:eastAsia="宋体" w:cs="Times New Roman"/>
                <w:color w:val="auto"/>
                <w:sz w:val="24"/>
                <w:szCs w:val="24"/>
                <w:lang w:eastAsia="zh-CN"/>
              </w:rPr>
              <w:t>《恶臭污染物排放标准》（GB14554-93）中表1排放限值</w:t>
            </w:r>
            <w:bookmarkEnd w:id="21"/>
            <w:r>
              <w:rPr>
                <w:rFonts w:ascii="Times New Roman" w:hAnsi="Times New Roman" w:eastAsia="宋体" w:cs="Times New Roman"/>
                <w:color w:val="auto"/>
                <w:sz w:val="24"/>
                <w:szCs w:val="24"/>
                <w:lang w:eastAsia="zh-CN"/>
              </w:rPr>
              <w:t>。标准值详见表3-</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w:t>
            </w:r>
          </w:p>
          <w:p>
            <w:pPr>
              <w:kinsoku/>
              <w:jc w:val="center"/>
              <w:rPr>
                <w:rFonts w:ascii="Times New Roman" w:hAnsi="Times New Roman" w:eastAsia="宋体" w:cs="Times New Roman"/>
                <w:b/>
                <w:bCs/>
                <w:color w:val="auto"/>
                <w:spacing w:val="6"/>
                <w:lang w:eastAsia="zh-CN"/>
              </w:rPr>
            </w:pPr>
            <w:r>
              <w:rPr>
                <w:rFonts w:ascii="Times New Roman" w:hAnsi="Times New Roman" w:eastAsia="宋体" w:cs="Times New Roman"/>
                <w:b/>
                <w:bCs/>
                <w:color w:val="auto"/>
                <w:spacing w:val="6"/>
                <w:lang w:eastAsia="zh-CN"/>
              </w:rPr>
              <w:t>表3-</w:t>
            </w:r>
            <w:r>
              <w:rPr>
                <w:rFonts w:hint="eastAsia" w:ascii="Times New Roman" w:hAnsi="Times New Roman" w:eastAsia="宋体" w:cs="Times New Roman"/>
                <w:b/>
                <w:bCs/>
                <w:color w:val="auto"/>
                <w:spacing w:val="6"/>
                <w:lang w:eastAsia="zh-CN"/>
              </w:rPr>
              <w:t>8</w:t>
            </w:r>
            <w:r>
              <w:rPr>
                <w:rFonts w:ascii="Times New Roman" w:hAnsi="Times New Roman" w:eastAsia="宋体" w:cs="Times New Roman"/>
                <w:b/>
                <w:bCs/>
                <w:color w:val="auto"/>
                <w:spacing w:val="6"/>
                <w:lang w:eastAsia="zh-CN"/>
              </w:rPr>
              <w:t xml:space="preserve"> 恶臭污染物排放标准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6"/>
              <w:gridCol w:w="5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6" w:type="dxa"/>
                  <w:vMerge w:val="restart"/>
                  <w:vAlign w:val="center"/>
                </w:tcPr>
                <w:p>
                  <w:pPr>
                    <w:widowControl w:val="0"/>
                    <w:bidi w:val="0"/>
                    <w:spacing w:line="240" w:lineRule="auto"/>
                    <w:jc w:val="center"/>
                    <w:rPr>
                      <w:lang w:eastAsia="zh-CN"/>
                    </w:rPr>
                  </w:pPr>
                  <w:r>
                    <w:rPr>
                      <w:lang w:eastAsia="zh-CN"/>
                    </w:rPr>
                    <w:t>污染物</w:t>
                  </w:r>
                </w:p>
              </w:tc>
              <w:tc>
                <w:tcPr>
                  <w:tcW w:w="5154" w:type="dxa"/>
                  <w:vMerge w:val="restart"/>
                  <w:vAlign w:val="center"/>
                </w:tcPr>
                <w:p>
                  <w:pPr>
                    <w:widowControl w:val="0"/>
                    <w:bidi w:val="0"/>
                    <w:spacing w:line="240" w:lineRule="auto"/>
                    <w:jc w:val="center"/>
                    <w:rPr>
                      <w:lang w:eastAsia="zh-CN"/>
                    </w:rPr>
                  </w:pPr>
                  <w:r>
                    <w:rPr>
                      <w:lang w:eastAsia="zh-CN"/>
                    </w:rPr>
                    <w:t>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36" w:type="dxa"/>
                  <w:vMerge w:val="continue"/>
                  <w:vAlign w:val="center"/>
                </w:tcPr>
                <w:p>
                  <w:pPr>
                    <w:widowControl w:val="0"/>
                    <w:bidi w:val="0"/>
                    <w:jc w:val="center"/>
                    <w:rPr>
                      <w:lang w:eastAsia="zh-CN"/>
                    </w:rPr>
                  </w:pPr>
                </w:p>
              </w:tc>
              <w:tc>
                <w:tcPr>
                  <w:tcW w:w="5154" w:type="dxa"/>
                  <w:vMerge w:val="continue"/>
                  <w:vAlign w:val="center"/>
                </w:tcPr>
                <w:p>
                  <w:pPr>
                    <w:widowControl w:val="0"/>
                    <w:bidi w:val="0"/>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6" w:type="dxa"/>
                  <w:vAlign w:val="center"/>
                </w:tcPr>
                <w:p>
                  <w:pPr>
                    <w:widowControl w:val="0"/>
                    <w:bidi w:val="0"/>
                    <w:jc w:val="center"/>
                    <w:rPr>
                      <w:lang w:eastAsia="zh-CN"/>
                    </w:rPr>
                  </w:pPr>
                  <w:r>
                    <w:rPr>
                      <w:lang w:eastAsia="zh-CN"/>
                    </w:rPr>
                    <w:t>臭气浓度</w:t>
                  </w:r>
                </w:p>
              </w:tc>
              <w:tc>
                <w:tcPr>
                  <w:tcW w:w="5154" w:type="dxa"/>
                  <w:vAlign w:val="center"/>
                </w:tcPr>
                <w:p>
                  <w:pPr>
                    <w:widowControl w:val="0"/>
                    <w:bidi w:val="0"/>
                    <w:jc w:val="center"/>
                    <w:rPr>
                      <w:lang w:eastAsia="zh-CN"/>
                    </w:rPr>
                  </w:pPr>
                  <w:r>
                    <w:rPr>
                      <w:lang w:eastAsia="zh-CN"/>
                    </w:rPr>
                    <w:t>20（无量纲）</w:t>
                  </w:r>
                </w:p>
              </w:tc>
            </w:tr>
          </w:tbl>
          <w:p>
            <w:pPr>
              <w:kinsoku/>
              <w:rPr>
                <w:rFonts w:ascii="Times New Roman" w:hAnsi="Times New Roman" w:eastAsia="宋体" w:cs="Times New Roman"/>
                <w:color w:val="auto"/>
                <w:lang w:eastAsia="zh-CN"/>
              </w:rPr>
            </w:pPr>
          </w:p>
          <w:p>
            <w:pPr>
              <w:pStyle w:val="22"/>
              <w:kinsoku/>
              <w:spacing w:before="40" w:line="220" w:lineRule="auto"/>
              <w:ind w:left="593"/>
              <w:rPr>
                <w:rFonts w:ascii="Times New Roman" w:hAnsi="Times New Roman" w:cs="Times New Roman"/>
                <w:color w:val="auto"/>
                <w:lang w:eastAsia="zh-CN"/>
              </w:rPr>
            </w:pPr>
            <w:r>
              <w:rPr>
                <w:rFonts w:hint="eastAsia" w:ascii="Times New Roman" w:hAnsi="Times New Roman" w:cs="Times New Roman"/>
                <w:b/>
                <w:bCs/>
                <w:color w:val="auto"/>
                <w:spacing w:val="-10"/>
                <w:lang w:eastAsia="zh-CN"/>
              </w:rPr>
              <w:t>二、</w:t>
            </w:r>
            <w:r>
              <w:rPr>
                <w:rFonts w:ascii="Times New Roman" w:hAnsi="Times New Roman" w:cs="Times New Roman"/>
                <w:b/>
                <w:bCs/>
                <w:color w:val="auto"/>
                <w:spacing w:val="-10"/>
                <w:lang w:eastAsia="zh-CN"/>
              </w:rPr>
              <w:t>噪声</w:t>
            </w:r>
          </w:p>
          <w:p>
            <w:pPr>
              <w:pStyle w:val="22"/>
              <w:kinsoku/>
              <w:spacing w:before="178" w:line="347" w:lineRule="auto"/>
              <w:ind w:left="128" w:right="14" w:firstLine="468"/>
              <w:rPr>
                <w:rFonts w:ascii="Times New Roman" w:hAnsi="Times New Roman" w:cs="Times New Roman"/>
                <w:b/>
                <w:bCs/>
                <w:color w:val="auto"/>
                <w:spacing w:val="-7"/>
                <w:lang w:eastAsia="zh-CN"/>
              </w:rPr>
            </w:pPr>
            <w:r>
              <w:rPr>
                <w:rFonts w:hint="eastAsia" w:ascii="Times New Roman" w:hAnsi="Times New Roman" w:cs="Times New Roman"/>
                <w:b/>
                <w:bCs/>
                <w:color w:val="auto"/>
                <w:spacing w:val="-7"/>
                <w:lang w:eastAsia="zh-CN"/>
              </w:rPr>
              <w:t>1、施工期噪声</w:t>
            </w:r>
          </w:p>
          <w:p>
            <w:pPr>
              <w:pStyle w:val="22"/>
              <w:kinsoku/>
              <w:spacing w:before="178" w:line="347" w:lineRule="auto"/>
              <w:ind w:left="128" w:right="14" w:firstLine="468"/>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施工期噪声排放执行GB12523-2011《建筑施工场界环境噪声排放标准》，见表3-9。</w:t>
            </w:r>
          </w:p>
          <w:p>
            <w:pPr>
              <w:pStyle w:val="22"/>
              <w:kinsoku/>
              <w:spacing w:before="38" w:line="349" w:lineRule="auto"/>
              <w:ind w:left="111" w:right="103" w:firstLine="109"/>
              <w:jc w:val="center"/>
              <w:rPr>
                <w:rFonts w:ascii="Times New Roman" w:hAnsi="Times New Roman" w:cs="Times New Roman"/>
                <w:b/>
                <w:bCs/>
                <w:color w:val="auto"/>
                <w:spacing w:val="6"/>
                <w:sz w:val="20"/>
                <w:szCs w:val="20"/>
                <w:lang w:eastAsia="zh-CN"/>
              </w:rPr>
            </w:pPr>
            <w:r>
              <w:rPr>
                <w:rFonts w:ascii="Times New Roman" w:hAnsi="Times New Roman" w:cs="Times New Roman"/>
                <w:b/>
                <w:bCs/>
                <w:color w:val="auto"/>
                <w:spacing w:val="6"/>
                <w:sz w:val="20"/>
                <w:szCs w:val="20"/>
                <w:lang w:eastAsia="zh-CN"/>
              </w:rPr>
              <w:t>表3-</w:t>
            </w:r>
            <w:r>
              <w:rPr>
                <w:rFonts w:hint="eastAsia" w:ascii="Times New Roman" w:hAnsi="Times New Roman" w:cs="Times New Roman"/>
                <w:b/>
                <w:bCs/>
                <w:color w:val="auto"/>
                <w:spacing w:val="6"/>
                <w:sz w:val="20"/>
                <w:szCs w:val="20"/>
                <w:lang w:eastAsia="zh-CN"/>
              </w:rPr>
              <w:t xml:space="preserve">9《建筑施工场界环境噪声排放标准》  </w:t>
            </w:r>
            <w:r>
              <w:rPr>
                <w:rFonts w:ascii="Times New Roman" w:hAnsi="Times New Roman" w:cs="Times New Roman"/>
                <w:b/>
                <w:bCs/>
                <w:color w:val="auto"/>
                <w:spacing w:val="6"/>
                <w:sz w:val="20"/>
                <w:szCs w:val="20"/>
                <w:lang w:eastAsia="zh-CN"/>
              </w:rPr>
              <w:t>单位：</w:t>
            </w:r>
            <w:r>
              <w:rPr>
                <w:rFonts w:ascii="Times New Roman" w:hAnsi="Times New Roman" w:cs="Times New Roman"/>
                <w:b/>
                <w:bCs/>
                <w:color w:val="auto"/>
                <w:sz w:val="20"/>
                <w:szCs w:val="20"/>
                <w:lang w:eastAsia="zh-CN"/>
              </w:rPr>
              <w:t>dB</w:t>
            </w:r>
            <w:r>
              <w:rPr>
                <w:rFonts w:ascii="Times New Roman" w:hAnsi="Times New Roman" w:cs="Times New Roman"/>
                <w:b/>
                <w:bCs/>
                <w:color w:val="auto"/>
                <w:spacing w:val="6"/>
                <w:sz w:val="20"/>
                <w:szCs w:val="20"/>
                <w:lang w:eastAsia="zh-CN"/>
              </w:rPr>
              <w: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2986"/>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1"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类别</w:t>
                  </w:r>
                </w:p>
              </w:tc>
              <w:tc>
                <w:tcPr>
                  <w:tcW w:w="2986"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昼间</w:t>
                  </w:r>
                </w:p>
              </w:tc>
              <w:tc>
                <w:tcPr>
                  <w:tcW w:w="2986"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1"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3类</w:t>
                  </w:r>
                </w:p>
              </w:tc>
              <w:tc>
                <w:tcPr>
                  <w:tcW w:w="2986"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298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55</w:t>
                  </w:r>
                </w:p>
              </w:tc>
            </w:tr>
          </w:tbl>
          <w:p>
            <w:pPr>
              <w:pStyle w:val="22"/>
              <w:kinsoku/>
              <w:spacing w:before="178" w:line="347" w:lineRule="auto"/>
              <w:ind w:left="128" w:right="14" w:firstLine="468"/>
              <w:rPr>
                <w:rFonts w:ascii="Times New Roman" w:hAnsi="Times New Roman" w:cs="Times New Roman"/>
                <w:b/>
                <w:bCs/>
                <w:color w:val="auto"/>
                <w:spacing w:val="-7"/>
                <w:lang w:eastAsia="zh-CN"/>
              </w:rPr>
            </w:pPr>
            <w:r>
              <w:rPr>
                <w:rFonts w:hint="eastAsia" w:ascii="Times New Roman" w:hAnsi="Times New Roman" w:cs="Times New Roman"/>
                <w:b/>
                <w:bCs/>
                <w:color w:val="auto"/>
                <w:spacing w:val="-7"/>
                <w:lang w:eastAsia="zh-CN"/>
              </w:rPr>
              <w:t>2、</w:t>
            </w:r>
            <w:r>
              <w:rPr>
                <w:rFonts w:ascii="Times New Roman" w:hAnsi="Times New Roman" w:cs="Times New Roman"/>
                <w:b/>
                <w:bCs/>
                <w:color w:val="auto"/>
                <w:spacing w:val="-7"/>
                <w:lang w:eastAsia="zh-CN"/>
              </w:rPr>
              <w:t>运营期</w:t>
            </w:r>
            <w:r>
              <w:rPr>
                <w:rFonts w:hint="eastAsia" w:ascii="Times New Roman" w:hAnsi="Times New Roman" w:cs="Times New Roman"/>
                <w:b/>
                <w:bCs/>
                <w:color w:val="auto"/>
                <w:spacing w:val="-7"/>
                <w:lang w:eastAsia="zh-CN"/>
              </w:rPr>
              <w:t>噪声</w:t>
            </w:r>
          </w:p>
          <w:p>
            <w:pPr>
              <w:pStyle w:val="22"/>
              <w:kinsoku/>
              <w:spacing w:before="178" w:line="347" w:lineRule="auto"/>
              <w:ind w:left="128" w:right="14" w:firstLine="468"/>
              <w:rPr>
                <w:rFonts w:ascii="Times New Roman" w:hAnsi="Times New Roman" w:cs="Times New Roman"/>
                <w:color w:val="auto"/>
                <w:lang w:eastAsia="zh-CN"/>
              </w:rPr>
            </w:pPr>
            <w:r>
              <w:rPr>
                <w:rFonts w:hint="eastAsia" w:ascii="Times New Roman" w:hAnsi="Times New Roman" w:cs="Times New Roman"/>
                <w:color w:val="auto"/>
                <w:spacing w:val="-7"/>
                <w:lang w:eastAsia="zh-CN"/>
              </w:rPr>
              <w:t>运营期</w:t>
            </w:r>
            <w:r>
              <w:rPr>
                <w:rFonts w:ascii="Times New Roman" w:hAnsi="Times New Roman" w:cs="Times New Roman"/>
                <w:color w:val="auto"/>
                <w:spacing w:val="-7"/>
                <w:lang w:eastAsia="zh-CN"/>
              </w:rPr>
              <w:t>项目厂界噪声排放执行《工业企业厂界环境噪声排放标准》</w:t>
            </w:r>
            <w:r>
              <w:rPr>
                <w:rFonts w:ascii="Times New Roman" w:hAnsi="Times New Roman" w:cs="Times New Roman"/>
                <w:color w:val="auto"/>
                <w:spacing w:val="-1"/>
                <w:lang w:eastAsia="zh-CN"/>
              </w:rPr>
              <w:t>（GB12348-2008）3类标准，标准限值见表3</w:t>
            </w:r>
            <w:r>
              <w:rPr>
                <w:rFonts w:ascii="Times New Roman" w:hAnsi="Times New Roman" w:cs="Times New Roman"/>
                <w:color w:val="auto"/>
                <w:spacing w:val="-2"/>
                <w:lang w:eastAsia="zh-CN"/>
              </w:rPr>
              <w:t>-</w:t>
            </w:r>
            <w:r>
              <w:rPr>
                <w:rFonts w:hint="eastAsia" w:ascii="Times New Roman" w:hAnsi="Times New Roman" w:cs="Times New Roman"/>
                <w:color w:val="auto"/>
                <w:spacing w:val="-2"/>
                <w:lang w:eastAsia="zh-CN"/>
              </w:rPr>
              <w:t>10</w:t>
            </w:r>
            <w:r>
              <w:rPr>
                <w:rFonts w:ascii="Times New Roman" w:hAnsi="Times New Roman" w:cs="Times New Roman"/>
                <w:color w:val="auto"/>
                <w:spacing w:val="-2"/>
                <w:lang w:eastAsia="zh-CN"/>
              </w:rPr>
              <w:t>。</w:t>
            </w:r>
          </w:p>
          <w:p>
            <w:pPr>
              <w:pStyle w:val="22"/>
              <w:kinsoku/>
              <w:spacing w:before="38" w:line="349" w:lineRule="auto"/>
              <w:ind w:left="111" w:right="103" w:firstLine="109"/>
              <w:jc w:val="center"/>
              <w:rPr>
                <w:rFonts w:ascii="Times New Roman" w:hAnsi="Times New Roman" w:cs="Times New Roman"/>
                <w:b/>
                <w:bCs/>
                <w:color w:val="auto"/>
                <w:spacing w:val="6"/>
                <w:sz w:val="20"/>
                <w:szCs w:val="20"/>
                <w:lang w:eastAsia="zh-CN"/>
              </w:rPr>
            </w:pPr>
            <w:r>
              <w:rPr>
                <w:rFonts w:ascii="Times New Roman" w:hAnsi="Times New Roman" w:cs="Times New Roman"/>
                <w:b/>
                <w:bCs/>
                <w:color w:val="auto"/>
                <w:spacing w:val="6"/>
                <w:sz w:val="20"/>
                <w:szCs w:val="20"/>
                <w:lang w:eastAsia="zh-CN"/>
              </w:rPr>
              <w:t>表3-</w:t>
            </w:r>
            <w:r>
              <w:rPr>
                <w:rFonts w:hint="eastAsia" w:ascii="Times New Roman" w:hAnsi="Times New Roman" w:cs="Times New Roman"/>
                <w:b/>
                <w:bCs/>
                <w:color w:val="auto"/>
                <w:spacing w:val="6"/>
                <w:sz w:val="20"/>
                <w:szCs w:val="20"/>
                <w:lang w:eastAsia="zh-CN"/>
              </w:rPr>
              <w:t>10</w:t>
            </w:r>
            <w:r>
              <w:rPr>
                <w:rFonts w:ascii="Times New Roman" w:hAnsi="Times New Roman" w:cs="Times New Roman"/>
                <w:b/>
                <w:bCs/>
                <w:color w:val="auto"/>
                <w:spacing w:val="6"/>
                <w:sz w:val="20"/>
                <w:szCs w:val="20"/>
                <w:lang w:eastAsia="zh-CN"/>
              </w:rPr>
              <w:t>工业企业厂界环境噪声排放标准单位：</w:t>
            </w:r>
            <w:r>
              <w:rPr>
                <w:rFonts w:ascii="Times New Roman" w:hAnsi="Times New Roman" w:cs="Times New Roman"/>
                <w:b/>
                <w:bCs/>
                <w:color w:val="auto"/>
                <w:sz w:val="20"/>
                <w:szCs w:val="20"/>
                <w:lang w:eastAsia="zh-CN"/>
              </w:rPr>
              <w:t>dB</w:t>
            </w:r>
            <w:r>
              <w:rPr>
                <w:rFonts w:ascii="Times New Roman" w:hAnsi="Times New Roman" w:cs="Times New Roman"/>
                <w:b/>
                <w:bCs/>
                <w:color w:val="auto"/>
                <w:spacing w:val="6"/>
                <w:sz w:val="20"/>
                <w:szCs w:val="20"/>
                <w:lang w:eastAsia="zh-CN"/>
              </w:rPr>
              <w: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2986"/>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1"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类别</w:t>
                  </w:r>
                </w:p>
              </w:tc>
              <w:tc>
                <w:tcPr>
                  <w:tcW w:w="2986"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昼间</w:t>
                  </w:r>
                </w:p>
              </w:tc>
              <w:tc>
                <w:tcPr>
                  <w:tcW w:w="2986" w:type="dxa"/>
                  <w:vAlign w:val="center"/>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1"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3类</w:t>
                  </w:r>
                </w:p>
              </w:tc>
              <w:tc>
                <w:tcPr>
                  <w:tcW w:w="298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65</w:t>
                  </w:r>
                </w:p>
              </w:tc>
              <w:tc>
                <w:tcPr>
                  <w:tcW w:w="298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55</w:t>
                  </w:r>
                </w:p>
              </w:tc>
            </w:tr>
          </w:tbl>
          <w:p>
            <w:pPr>
              <w:pStyle w:val="22"/>
              <w:kinsoku/>
              <w:spacing w:before="42" w:line="219" w:lineRule="auto"/>
              <w:ind w:left="591"/>
              <w:rPr>
                <w:rFonts w:ascii="Times New Roman" w:hAnsi="Times New Roman" w:cs="Times New Roman"/>
                <w:color w:val="auto"/>
                <w:lang w:eastAsia="zh-CN"/>
              </w:rPr>
            </w:pPr>
            <w:r>
              <w:rPr>
                <w:rFonts w:hint="eastAsia" w:ascii="Times New Roman" w:hAnsi="Times New Roman" w:cs="Times New Roman"/>
                <w:b/>
                <w:bCs/>
                <w:color w:val="auto"/>
                <w:spacing w:val="-6"/>
                <w:lang w:eastAsia="zh-CN"/>
              </w:rPr>
              <w:t>三</w:t>
            </w:r>
            <w:r>
              <w:rPr>
                <w:rFonts w:ascii="Times New Roman" w:hAnsi="Times New Roman" w:cs="Times New Roman"/>
                <w:b/>
                <w:bCs/>
                <w:color w:val="auto"/>
                <w:spacing w:val="-6"/>
                <w:lang w:eastAsia="zh-CN"/>
              </w:rPr>
              <w:t>、废水</w:t>
            </w:r>
          </w:p>
          <w:p>
            <w:pPr>
              <w:pStyle w:val="22"/>
              <w:kinsoku/>
              <w:spacing w:before="182" w:line="220" w:lineRule="auto"/>
              <w:ind w:left="597"/>
              <w:rPr>
                <w:rFonts w:ascii="Times New Roman" w:hAnsi="Times New Roman" w:cs="Times New Roman"/>
                <w:b/>
                <w:bCs/>
                <w:color w:val="auto"/>
                <w:lang w:eastAsia="zh-CN"/>
              </w:rPr>
            </w:pPr>
            <w:r>
              <w:rPr>
                <w:rFonts w:hint="eastAsia" w:ascii="Times New Roman" w:hAnsi="Times New Roman" w:cs="Times New Roman"/>
                <w:b/>
                <w:bCs/>
                <w:color w:val="auto"/>
                <w:spacing w:val="-4"/>
                <w:lang w:eastAsia="zh-CN"/>
              </w:rPr>
              <w:t>1、</w:t>
            </w:r>
            <w:r>
              <w:rPr>
                <w:rFonts w:ascii="Times New Roman" w:hAnsi="Times New Roman" w:cs="Times New Roman"/>
                <w:b/>
                <w:bCs/>
                <w:color w:val="auto"/>
                <w:spacing w:val="-4"/>
                <w:lang w:eastAsia="zh-CN"/>
              </w:rPr>
              <w:t>运营期</w:t>
            </w:r>
            <w:r>
              <w:rPr>
                <w:rFonts w:ascii="Times New Roman" w:hAnsi="Times New Roman" w:cs="Times New Roman"/>
                <w:b/>
                <w:bCs/>
                <w:color w:val="auto"/>
                <w:spacing w:val="-6"/>
                <w:lang w:eastAsia="zh-CN"/>
              </w:rPr>
              <w:t>排放标准</w:t>
            </w:r>
          </w:p>
          <w:p>
            <w:pPr>
              <w:pStyle w:val="22"/>
              <w:kinsoku/>
              <w:spacing w:before="180" w:line="354" w:lineRule="auto"/>
              <w:ind w:left="116" w:firstLine="484"/>
              <w:rPr>
                <w:rFonts w:ascii="Times New Roman" w:hAnsi="Times New Roman" w:cs="Times New Roman"/>
                <w:color w:val="auto"/>
                <w:lang w:eastAsia="zh-CN"/>
              </w:rPr>
            </w:pPr>
            <w:r>
              <w:rPr>
                <w:rFonts w:ascii="Times New Roman" w:hAnsi="Times New Roman" w:cs="Times New Roman"/>
                <w:color w:val="auto"/>
                <w:spacing w:val="4"/>
                <w:lang w:eastAsia="zh-CN"/>
              </w:rPr>
              <w:t>项目生产过程中不使用水，无生产废水外排，生活污水进入化粪池处理，处理达到</w:t>
            </w:r>
            <w:r>
              <w:rPr>
                <w:rFonts w:ascii="Times New Roman" w:hAnsi="Times New Roman" w:cs="Times New Roman"/>
                <w:color w:val="auto"/>
                <w:lang w:eastAsia="zh-CN"/>
              </w:rPr>
              <w:t>《污水综合排放标准》（GB8978-1996）</w:t>
            </w:r>
            <w:r>
              <w:rPr>
                <w:rFonts w:hint="eastAsia" w:ascii="Times New Roman" w:hAnsi="Times New Roman" w:cs="Times New Roman"/>
                <w:color w:val="auto"/>
                <w:lang w:eastAsia="zh-CN"/>
              </w:rPr>
              <w:t>表4</w:t>
            </w:r>
            <w:r>
              <w:rPr>
                <w:rFonts w:ascii="Times New Roman" w:hAnsi="Times New Roman" w:cs="Times New Roman"/>
                <w:color w:val="auto"/>
                <w:lang w:eastAsia="zh-CN"/>
              </w:rPr>
              <w:t>三级</w:t>
            </w:r>
            <w:r>
              <w:rPr>
                <w:rFonts w:ascii="Times New Roman" w:hAnsi="Times New Roman" w:cs="Times New Roman"/>
                <w:color w:val="auto"/>
                <w:spacing w:val="-2"/>
                <w:lang w:eastAsia="zh-CN"/>
              </w:rPr>
              <w:t>标准后进入</w:t>
            </w:r>
            <w:r>
              <w:rPr>
                <w:rFonts w:ascii="Times New Roman" w:hAnsi="Times New Roman" w:cs="Times New Roman"/>
                <w:color w:val="auto"/>
                <w:spacing w:val="4"/>
                <w:lang w:eastAsia="zh-CN"/>
              </w:rPr>
              <w:t>杨林工业园区污水管网，最终进入嵩明县第</w:t>
            </w:r>
            <w:r>
              <w:rPr>
                <w:rFonts w:ascii="Times New Roman" w:hAnsi="Times New Roman" w:cs="Times New Roman"/>
                <w:color w:val="auto"/>
                <w:spacing w:val="-2"/>
                <w:lang w:eastAsia="zh-CN"/>
              </w:rPr>
              <w:t>二污水处理厂处理，标准值见表3-1</w:t>
            </w:r>
            <w:r>
              <w:rPr>
                <w:rFonts w:hint="eastAsia" w:ascii="Times New Roman" w:hAnsi="Times New Roman" w:cs="Times New Roman"/>
                <w:color w:val="auto"/>
                <w:spacing w:val="-2"/>
                <w:lang w:eastAsia="zh-CN"/>
              </w:rPr>
              <w:t>1</w:t>
            </w:r>
            <w:r>
              <w:rPr>
                <w:rFonts w:ascii="Times New Roman" w:hAnsi="Times New Roman" w:cs="Times New Roman"/>
                <w:color w:val="auto"/>
                <w:spacing w:val="-2"/>
                <w:lang w:eastAsia="zh-CN"/>
              </w:rPr>
              <w:t>。</w:t>
            </w:r>
          </w:p>
          <w:p>
            <w:pPr>
              <w:pStyle w:val="22"/>
              <w:kinsoku/>
              <w:spacing w:before="28" w:line="221" w:lineRule="auto"/>
              <w:jc w:val="center"/>
              <w:rPr>
                <w:rFonts w:ascii="Times New Roman" w:hAnsi="Times New Roman" w:cs="Times New Roman"/>
                <w:b/>
                <w:bCs/>
                <w:color w:val="auto"/>
                <w:spacing w:val="6"/>
                <w:sz w:val="20"/>
                <w:szCs w:val="20"/>
                <w:lang w:eastAsia="zh-CN"/>
              </w:rPr>
            </w:pPr>
            <w:r>
              <w:rPr>
                <w:rFonts w:ascii="Times New Roman" w:hAnsi="Times New Roman" w:cs="Times New Roman"/>
                <w:b/>
                <w:bCs/>
                <w:color w:val="auto"/>
                <w:spacing w:val="7"/>
                <w:sz w:val="20"/>
                <w:szCs w:val="20"/>
                <w:lang w:eastAsia="zh-CN"/>
              </w:rPr>
              <w:t>表3-1</w:t>
            </w:r>
            <w:r>
              <w:rPr>
                <w:rFonts w:hint="eastAsia" w:ascii="Times New Roman" w:hAnsi="Times New Roman" w:cs="Times New Roman"/>
                <w:b/>
                <w:bCs/>
                <w:color w:val="auto"/>
                <w:spacing w:val="7"/>
                <w:sz w:val="20"/>
                <w:szCs w:val="20"/>
                <w:lang w:eastAsia="zh-CN"/>
              </w:rPr>
              <w:t>1</w:t>
            </w:r>
            <w:r>
              <w:rPr>
                <w:rFonts w:ascii="Times New Roman" w:hAnsi="Times New Roman" w:cs="Times New Roman"/>
                <w:b/>
                <w:bCs/>
                <w:color w:val="auto"/>
                <w:spacing w:val="6"/>
                <w:sz w:val="20"/>
                <w:szCs w:val="20"/>
                <w:lang w:eastAsia="zh-CN"/>
              </w:rPr>
              <w:t>《污水综合排放标准》单位：</w:t>
            </w:r>
            <w:r>
              <w:rPr>
                <w:rFonts w:ascii="Times New Roman" w:hAnsi="Times New Roman" w:cs="Times New Roman"/>
                <w:b/>
                <w:bCs/>
                <w:color w:val="auto"/>
                <w:sz w:val="20"/>
                <w:szCs w:val="20"/>
                <w:lang w:eastAsia="zh-CN"/>
              </w:rPr>
              <w:t>mg</w:t>
            </w:r>
            <w:r>
              <w:rPr>
                <w:rFonts w:ascii="Times New Roman" w:hAnsi="Times New Roman" w:cs="Times New Roman"/>
                <w:b/>
                <w:bCs/>
                <w:color w:val="auto"/>
                <w:spacing w:val="6"/>
                <w:sz w:val="20"/>
                <w:szCs w:val="20"/>
                <w:lang w:eastAsia="zh-CN"/>
              </w:rPr>
              <w:t>/L(</w:t>
            </w:r>
            <w:r>
              <w:rPr>
                <w:rFonts w:ascii="Times New Roman" w:hAnsi="Times New Roman" w:cs="Times New Roman"/>
                <w:b/>
                <w:bCs/>
                <w:color w:val="auto"/>
                <w:sz w:val="20"/>
                <w:szCs w:val="20"/>
                <w:lang w:eastAsia="zh-CN"/>
              </w:rPr>
              <w:t>pH</w:t>
            </w:r>
            <w:r>
              <w:rPr>
                <w:rFonts w:ascii="Times New Roman" w:hAnsi="Times New Roman" w:cs="Times New Roman"/>
                <w:b/>
                <w:bCs/>
                <w:color w:val="auto"/>
                <w:spacing w:val="6"/>
                <w:sz w:val="20"/>
                <w:szCs w:val="20"/>
                <w:lang w:eastAsia="zh-CN"/>
              </w:rPr>
              <w:t>值无量纲)</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1047"/>
              <w:gridCol w:w="1026"/>
              <w:gridCol w:w="1069"/>
              <w:gridCol w:w="1014"/>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标准类别</w:t>
                  </w:r>
                </w:p>
              </w:tc>
              <w:tc>
                <w:tcPr>
                  <w:tcW w:w="1047"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pH值</w:t>
                  </w:r>
                </w:p>
              </w:tc>
              <w:tc>
                <w:tcPr>
                  <w:tcW w:w="102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COD</w:t>
                  </w:r>
                </w:p>
              </w:tc>
              <w:tc>
                <w:tcPr>
                  <w:tcW w:w="1069"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SS</w:t>
                  </w:r>
                </w:p>
              </w:tc>
              <w:tc>
                <w:tcPr>
                  <w:tcW w:w="1014"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p>
              </w:tc>
              <w:tc>
                <w:tcPr>
                  <w:tcW w:w="1792"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GB8978-1996三级标准</w:t>
                  </w:r>
                </w:p>
              </w:tc>
              <w:tc>
                <w:tcPr>
                  <w:tcW w:w="1047"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6~9</w:t>
                  </w:r>
                </w:p>
              </w:tc>
              <w:tc>
                <w:tcPr>
                  <w:tcW w:w="102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≤500</w:t>
                  </w:r>
                </w:p>
              </w:tc>
              <w:tc>
                <w:tcPr>
                  <w:tcW w:w="1069"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≤400</w:t>
                  </w:r>
                </w:p>
              </w:tc>
              <w:tc>
                <w:tcPr>
                  <w:tcW w:w="1014"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≤300</w:t>
                  </w:r>
                </w:p>
              </w:tc>
              <w:tc>
                <w:tcPr>
                  <w:tcW w:w="1792"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≤100</w:t>
                  </w:r>
                </w:p>
              </w:tc>
            </w:tr>
          </w:tbl>
          <w:p>
            <w:pPr>
              <w:pStyle w:val="22"/>
              <w:kinsoku/>
              <w:spacing w:before="35" w:line="360" w:lineRule="auto"/>
              <w:ind w:left="584"/>
              <w:rPr>
                <w:rFonts w:hint="eastAsia" w:ascii="Times New Roman" w:hAnsi="Times New Roman" w:cs="Times New Roman"/>
                <w:b/>
                <w:bCs/>
                <w:color w:val="auto"/>
                <w:spacing w:val="-10"/>
                <w:lang w:eastAsia="zh-CN"/>
              </w:rPr>
            </w:pPr>
          </w:p>
          <w:p>
            <w:pPr>
              <w:pStyle w:val="22"/>
              <w:kinsoku/>
              <w:spacing w:before="35" w:line="360" w:lineRule="auto"/>
              <w:ind w:left="584"/>
              <w:rPr>
                <w:rFonts w:ascii="Times New Roman" w:hAnsi="Times New Roman" w:cs="Times New Roman"/>
                <w:color w:val="auto"/>
                <w:lang w:eastAsia="zh-CN"/>
              </w:rPr>
            </w:pPr>
            <w:r>
              <w:rPr>
                <w:rFonts w:hint="eastAsia" w:ascii="Times New Roman" w:hAnsi="Times New Roman" w:cs="Times New Roman"/>
                <w:b/>
                <w:bCs/>
                <w:color w:val="auto"/>
                <w:spacing w:val="-10"/>
                <w:lang w:eastAsia="zh-CN"/>
              </w:rPr>
              <w:t>四</w:t>
            </w:r>
            <w:r>
              <w:rPr>
                <w:rFonts w:ascii="Times New Roman" w:hAnsi="Times New Roman" w:cs="Times New Roman"/>
                <w:b/>
                <w:bCs/>
                <w:color w:val="auto"/>
                <w:spacing w:val="-10"/>
                <w:lang w:eastAsia="zh-CN"/>
              </w:rPr>
              <w:t>、固废</w:t>
            </w:r>
          </w:p>
          <w:p>
            <w:pPr>
              <w:pStyle w:val="22"/>
              <w:kinsoku/>
              <w:spacing w:before="34" w:line="360" w:lineRule="auto"/>
              <w:ind w:left="599"/>
              <w:rPr>
                <w:rFonts w:ascii="Times New Roman" w:hAnsi="Times New Roman" w:cs="Times New Roman"/>
                <w:b/>
                <w:bCs/>
                <w:color w:val="auto"/>
                <w:lang w:eastAsia="zh-CN"/>
              </w:rPr>
            </w:pPr>
            <w:r>
              <w:rPr>
                <w:rFonts w:hint="eastAsia" w:ascii="Times New Roman" w:hAnsi="Times New Roman" w:cs="Times New Roman"/>
                <w:b/>
                <w:bCs/>
                <w:color w:val="auto"/>
                <w:spacing w:val="-3"/>
                <w:lang w:eastAsia="zh-CN"/>
              </w:rPr>
              <w:t>1、</w:t>
            </w:r>
            <w:r>
              <w:rPr>
                <w:rFonts w:ascii="Times New Roman" w:hAnsi="Times New Roman" w:cs="Times New Roman"/>
                <w:b/>
                <w:bCs/>
                <w:color w:val="auto"/>
                <w:spacing w:val="-3"/>
                <w:lang w:eastAsia="zh-CN"/>
              </w:rPr>
              <w:t>一般工业固废</w:t>
            </w:r>
          </w:p>
          <w:p>
            <w:pPr>
              <w:pStyle w:val="22"/>
              <w:kinsoku/>
              <w:spacing w:before="180" w:line="360" w:lineRule="auto"/>
              <w:ind w:left="111" w:right="101" w:firstLine="478"/>
              <w:rPr>
                <w:rFonts w:ascii="Times New Roman" w:hAnsi="Times New Roman" w:cs="Times New Roman"/>
                <w:color w:val="auto"/>
                <w:lang w:eastAsia="zh-CN"/>
              </w:rPr>
            </w:pPr>
            <w:r>
              <w:rPr>
                <w:rFonts w:ascii="Times New Roman" w:hAnsi="Times New Roman" w:cs="Times New Roman"/>
                <w:color w:val="auto"/>
                <w:spacing w:val="4"/>
                <w:lang w:eastAsia="zh-CN"/>
              </w:rPr>
              <w:t>生产过程中产生的一般工业固废处置执行《一般工业固体废物贮存和填埋污</w:t>
            </w:r>
            <w:r>
              <w:rPr>
                <w:rFonts w:ascii="Times New Roman" w:hAnsi="Times New Roman" w:cs="Times New Roman"/>
                <w:color w:val="auto"/>
                <w:spacing w:val="-1"/>
                <w:lang w:eastAsia="zh-CN"/>
              </w:rPr>
              <w:t>染控制标准》（GB18599-2020）相关标准要求。</w:t>
            </w:r>
          </w:p>
          <w:p>
            <w:pPr>
              <w:pStyle w:val="22"/>
              <w:kinsoku/>
              <w:spacing w:before="31" w:line="360" w:lineRule="auto"/>
              <w:ind w:left="599"/>
              <w:rPr>
                <w:rFonts w:ascii="Times New Roman" w:hAnsi="Times New Roman" w:cs="Times New Roman"/>
                <w:b/>
                <w:bCs/>
                <w:color w:val="auto"/>
                <w:lang w:eastAsia="zh-CN"/>
              </w:rPr>
            </w:pPr>
            <w:r>
              <w:rPr>
                <w:rFonts w:hint="eastAsia" w:ascii="Times New Roman" w:hAnsi="Times New Roman" w:cs="Times New Roman"/>
                <w:b/>
                <w:bCs/>
                <w:color w:val="auto"/>
                <w:spacing w:val="-3"/>
                <w:lang w:eastAsia="zh-CN"/>
              </w:rPr>
              <w:t>2、</w:t>
            </w:r>
            <w:r>
              <w:rPr>
                <w:rFonts w:ascii="Times New Roman" w:hAnsi="Times New Roman" w:cs="Times New Roman"/>
                <w:b/>
                <w:bCs/>
                <w:color w:val="auto"/>
                <w:spacing w:val="-3"/>
                <w:lang w:eastAsia="zh-CN"/>
              </w:rPr>
              <w:t>危险固废</w:t>
            </w:r>
          </w:p>
          <w:p>
            <w:pPr>
              <w:kinsoku/>
              <w:spacing w:line="360" w:lineRule="auto"/>
              <w:ind w:left="0" w:leftChars="0" w:firstLine="419" w:firstLineChars="169"/>
              <w:rPr>
                <w:color w:val="auto"/>
                <w:lang w:eastAsia="zh-CN"/>
              </w:rPr>
            </w:pPr>
            <w:r>
              <w:rPr>
                <w:rFonts w:ascii="Times New Roman" w:hAnsi="Times New Roman" w:eastAsia="宋体" w:cs="Times New Roman"/>
                <w:color w:val="auto"/>
                <w:spacing w:val="4"/>
                <w:sz w:val="24"/>
                <w:szCs w:val="24"/>
                <w:lang w:eastAsia="zh-CN"/>
              </w:rPr>
              <w:t>项目在生产过程中会产生少量</w:t>
            </w:r>
            <w:r>
              <w:rPr>
                <w:rFonts w:hint="eastAsia" w:ascii="Times New Roman" w:hAnsi="Times New Roman" w:eastAsia="宋体" w:cs="Times New Roman"/>
                <w:color w:val="auto"/>
                <w:spacing w:val="4"/>
                <w:sz w:val="24"/>
                <w:szCs w:val="24"/>
                <w:lang w:eastAsia="zh-CN"/>
              </w:rPr>
              <w:t>废润滑油、</w:t>
            </w:r>
            <w:r>
              <w:rPr>
                <w:rFonts w:ascii="Times New Roman" w:hAnsi="Times New Roman" w:eastAsia="宋体" w:cs="Times New Roman"/>
                <w:color w:val="auto"/>
                <w:sz w:val="24"/>
                <w:szCs w:val="24"/>
                <w:lang w:eastAsia="zh-CN"/>
              </w:rPr>
              <w:t>废含油棉纱、手套</w:t>
            </w:r>
            <w:r>
              <w:rPr>
                <w:rFonts w:ascii="Times New Roman" w:hAnsi="Times New Roman" w:eastAsia="宋体" w:cs="Times New Roman"/>
                <w:color w:val="auto"/>
                <w:spacing w:val="4"/>
                <w:sz w:val="24"/>
                <w:szCs w:val="24"/>
                <w:lang w:eastAsia="zh-CN"/>
              </w:rPr>
              <w:t>，有机废气治理过程中产生的废活性炭等均属危险废物，其产生的危险固废执行</w:t>
            </w:r>
            <w:r>
              <w:rPr>
                <w:rFonts w:hint="eastAsia" w:ascii="Times New Roman" w:hAnsi="Times New Roman" w:eastAsia="宋体" w:cs="Times New Roman"/>
                <w:color w:val="auto"/>
                <w:spacing w:val="4"/>
                <w:sz w:val="24"/>
                <w:szCs w:val="24"/>
                <w:lang w:eastAsia="zh-CN"/>
              </w:rPr>
              <w:t>《危险废物贮存污染控制标准》（GB18597-2023）</w:t>
            </w:r>
            <w:r>
              <w:rPr>
                <w:rFonts w:ascii="Times New Roman" w:hAnsi="Times New Roman" w:eastAsia="宋体" w:cs="Times New Roman"/>
                <w:color w:val="auto"/>
                <w:spacing w:val="4"/>
                <w:sz w:val="24"/>
                <w:szCs w:val="24"/>
                <w:lang w:eastAsia="zh-CN"/>
              </w:rPr>
              <w:t>相关规定，同时其收集、运输、包装等必须符合《危险废物污染防治技术政策》。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379" w:type="dxa"/>
            <w:tcBorders>
              <w:right w:val="single" w:color="000000" w:sz="2" w:space="0"/>
            </w:tcBorders>
            <w:shd w:val="clear" w:color="auto" w:fill="auto"/>
            <w:vAlign w:val="center"/>
          </w:tcPr>
          <w:p>
            <w:pPr>
              <w:kinsoku/>
              <w:jc w:val="center"/>
              <w:rPr>
                <w:color w:val="auto"/>
                <w:lang w:eastAsia="zh-CN"/>
              </w:rPr>
            </w:pPr>
            <w:r>
              <w:rPr>
                <w:rFonts w:hint="eastAsia"/>
                <w:color w:val="auto"/>
                <w:lang w:eastAsia="zh-CN"/>
              </w:rPr>
              <w:t>总量控制指标</w:t>
            </w:r>
          </w:p>
        </w:tc>
        <w:tc>
          <w:tcPr>
            <w:tcW w:w="8912" w:type="dxa"/>
            <w:tcBorders>
              <w:left w:val="single" w:color="000000" w:sz="2" w:space="0"/>
            </w:tcBorders>
            <w:shd w:val="clear" w:color="auto" w:fill="auto"/>
          </w:tcPr>
          <w:p>
            <w:pPr>
              <w:pStyle w:val="22"/>
              <w:kinsoku/>
              <w:spacing w:before="44" w:line="350" w:lineRule="auto"/>
              <w:ind w:left="108" w:right="101" w:firstLine="479"/>
              <w:jc w:val="both"/>
              <w:rPr>
                <w:rFonts w:ascii="Times New Roman" w:hAnsi="Times New Roman" w:cs="Times New Roman"/>
                <w:color w:val="auto"/>
                <w:lang w:eastAsia="zh-CN"/>
              </w:rPr>
            </w:pPr>
            <w:r>
              <w:rPr>
                <w:rFonts w:ascii="Times New Roman" w:hAnsi="Times New Roman" w:cs="Times New Roman"/>
                <w:color w:val="auto"/>
                <w:spacing w:val="6"/>
                <w:lang w:eastAsia="zh-CN"/>
              </w:rPr>
              <w:t>根据《</w:t>
            </w:r>
            <w:r>
              <w:rPr>
                <w:rFonts w:hint="eastAsia" w:ascii="Times New Roman" w:hAnsi="Times New Roman" w:cs="Times New Roman"/>
                <w:color w:val="auto"/>
                <w:spacing w:val="6"/>
                <w:lang w:eastAsia="zh-CN"/>
              </w:rPr>
              <w:t>“</w:t>
            </w:r>
            <w:r>
              <w:rPr>
                <w:rFonts w:ascii="Times New Roman" w:hAnsi="Times New Roman" w:cs="Times New Roman"/>
                <w:color w:val="auto"/>
                <w:spacing w:val="6"/>
                <w:lang w:eastAsia="zh-CN"/>
              </w:rPr>
              <w:t>十四五</w:t>
            </w:r>
            <w:r>
              <w:rPr>
                <w:rFonts w:hint="eastAsia" w:ascii="Times New Roman" w:hAnsi="Times New Roman" w:cs="Times New Roman"/>
                <w:color w:val="auto"/>
                <w:spacing w:val="6"/>
                <w:lang w:eastAsia="zh-CN"/>
              </w:rPr>
              <w:t>”</w:t>
            </w:r>
            <w:r>
              <w:rPr>
                <w:rFonts w:ascii="Times New Roman" w:hAnsi="Times New Roman" w:cs="Times New Roman"/>
                <w:color w:val="auto"/>
                <w:spacing w:val="6"/>
                <w:lang w:eastAsia="zh-CN"/>
              </w:rPr>
              <w:t>期间全国主要污染物排放总量控制计</w:t>
            </w:r>
            <w:r>
              <w:rPr>
                <w:rFonts w:ascii="Times New Roman" w:hAnsi="Times New Roman" w:cs="Times New Roman"/>
                <w:color w:val="auto"/>
                <w:spacing w:val="5"/>
                <w:lang w:eastAsia="zh-CN"/>
              </w:rPr>
              <w:t>划》：</w:t>
            </w:r>
            <w:r>
              <w:rPr>
                <w:rFonts w:hint="eastAsia" w:ascii="Times New Roman" w:hAnsi="Times New Roman" w:cs="Times New Roman"/>
                <w:color w:val="auto"/>
                <w:spacing w:val="5"/>
                <w:lang w:eastAsia="zh-CN"/>
              </w:rPr>
              <w:t>“</w:t>
            </w:r>
            <w:r>
              <w:rPr>
                <w:rFonts w:ascii="Times New Roman" w:hAnsi="Times New Roman" w:cs="Times New Roman"/>
                <w:color w:val="auto"/>
                <w:spacing w:val="5"/>
                <w:lang w:eastAsia="zh-CN"/>
              </w:rPr>
              <w:t>十四五</w:t>
            </w:r>
            <w:r>
              <w:rPr>
                <w:rFonts w:hint="eastAsia" w:ascii="Times New Roman" w:hAnsi="Times New Roman" w:cs="Times New Roman"/>
                <w:color w:val="auto"/>
                <w:spacing w:val="5"/>
                <w:lang w:eastAsia="zh-CN"/>
              </w:rPr>
              <w:t>”</w:t>
            </w:r>
            <w:r>
              <w:rPr>
                <w:rFonts w:ascii="Times New Roman" w:hAnsi="Times New Roman" w:cs="Times New Roman"/>
                <w:color w:val="auto"/>
                <w:spacing w:val="5"/>
                <w:lang w:eastAsia="zh-CN"/>
              </w:rPr>
              <w:t>期间国</w:t>
            </w:r>
            <w:r>
              <w:rPr>
                <w:rFonts w:ascii="Times New Roman" w:hAnsi="Times New Roman" w:cs="Times New Roman"/>
                <w:color w:val="auto"/>
                <w:spacing w:val="-1"/>
                <w:lang w:eastAsia="zh-CN"/>
              </w:rPr>
              <w:t>家对</w:t>
            </w:r>
            <w:r>
              <w:rPr>
                <w:rFonts w:ascii="Times New Roman" w:hAnsi="Times New Roman" w:cs="Times New Roman"/>
                <w:color w:val="auto"/>
                <w:lang w:eastAsia="zh-CN"/>
              </w:rPr>
              <w:t>VOCs、NO</w:t>
            </w:r>
            <w:r>
              <w:rPr>
                <w:rFonts w:ascii="Times New Roman" w:hAnsi="Times New Roman" w:cs="Times New Roman"/>
                <w:color w:val="auto"/>
                <w:vertAlign w:val="subscript"/>
                <w:lang w:eastAsia="zh-CN"/>
              </w:rPr>
              <w:t>X</w:t>
            </w:r>
            <w:r>
              <w:rPr>
                <w:rFonts w:ascii="Times New Roman" w:hAnsi="Times New Roman" w:cs="Times New Roman"/>
                <w:color w:val="auto"/>
                <w:lang w:eastAsia="zh-CN"/>
              </w:rPr>
              <w:t>、COD及NH</w:t>
            </w:r>
            <w:r>
              <w:rPr>
                <w:rFonts w:ascii="Times New Roman" w:hAnsi="Times New Roman" w:cs="Times New Roman"/>
                <w:color w:val="auto"/>
                <w:vertAlign w:val="subscript"/>
                <w:lang w:eastAsia="zh-CN"/>
              </w:rPr>
              <w:t>3</w:t>
            </w:r>
            <w:r>
              <w:rPr>
                <w:rFonts w:ascii="Times New Roman" w:hAnsi="Times New Roman" w:cs="Times New Roman"/>
                <w:color w:val="auto"/>
                <w:lang w:eastAsia="zh-CN"/>
              </w:rPr>
              <w:t>-N</w:t>
            </w:r>
            <w:r>
              <w:rPr>
                <w:rFonts w:hint="eastAsia" w:ascii="Times New Roman" w:hAnsi="Times New Roman" w:cs="Times New Roman"/>
                <w:color w:val="auto"/>
                <w:spacing w:val="-1"/>
                <w:lang w:eastAsia="zh-CN"/>
              </w:rPr>
              <w:t>四</w:t>
            </w:r>
            <w:r>
              <w:rPr>
                <w:rFonts w:ascii="Times New Roman" w:hAnsi="Times New Roman" w:cs="Times New Roman"/>
                <w:color w:val="auto"/>
                <w:spacing w:val="-1"/>
                <w:lang w:eastAsia="zh-CN"/>
              </w:rPr>
              <w:t>种主要污染物实行排</w:t>
            </w:r>
            <w:r>
              <w:rPr>
                <w:rFonts w:ascii="Times New Roman" w:hAnsi="Times New Roman" w:cs="Times New Roman"/>
                <w:color w:val="auto"/>
                <w:spacing w:val="-2"/>
                <w:lang w:eastAsia="zh-CN"/>
              </w:rPr>
              <w:t>放总量控</w:t>
            </w:r>
            <w:r>
              <w:rPr>
                <w:rFonts w:ascii="Times New Roman" w:hAnsi="Times New Roman" w:cs="Times New Roman"/>
                <w:color w:val="auto"/>
                <w:spacing w:val="-3"/>
                <w:lang w:eastAsia="zh-CN"/>
              </w:rPr>
              <w:t>制管理。</w:t>
            </w:r>
          </w:p>
          <w:p>
            <w:pPr>
              <w:widowControl w:val="0"/>
              <w:kinsoku/>
              <w:autoSpaceDE/>
              <w:autoSpaceDN/>
              <w:spacing w:line="360" w:lineRule="auto"/>
              <w:ind w:firstLine="512" w:firstLineChars="200"/>
              <w:textAlignment w:val="auto"/>
              <w:rPr>
                <w:rFonts w:ascii="Times New Roman" w:hAnsi="Times New Roman" w:eastAsia="宋体" w:cs="Times New Roman"/>
                <w:color w:val="auto"/>
                <w:spacing w:val="8"/>
                <w:sz w:val="24"/>
                <w:szCs w:val="24"/>
                <w:lang w:eastAsia="zh-CN"/>
              </w:rPr>
            </w:pPr>
            <w:r>
              <w:rPr>
                <w:rFonts w:ascii="Times New Roman" w:hAnsi="Times New Roman" w:eastAsia="宋体" w:cs="Times New Roman"/>
                <w:color w:val="auto"/>
                <w:spacing w:val="8"/>
                <w:sz w:val="24"/>
                <w:szCs w:val="24"/>
                <w:lang w:eastAsia="zh-CN"/>
              </w:rPr>
              <w:t>废水：项目生产过程中不使用水，无生产废水外排，生活污水进入化粪池处理，处理达到</w:t>
            </w:r>
            <w:r>
              <w:rPr>
                <w:rFonts w:hint="eastAsia" w:ascii="Times New Roman" w:hAnsi="Times New Roman" w:eastAsia="宋体" w:cs="Times New Roman"/>
                <w:color w:val="auto"/>
                <w:spacing w:val="8"/>
                <w:sz w:val="24"/>
                <w:szCs w:val="24"/>
                <w:lang w:eastAsia="zh-CN"/>
              </w:rPr>
              <w:t>《污水综合排放标准》（GB8978-1996）表4三级标准后</w:t>
            </w:r>
            <w:r>
              <w:rPr>
                <w:rFonts w:ascii="Times New Roman" w:hAnsi="Times New Roman" w:eastAsia="宋体" w:cs="Times New Roman"/>
                <w:color w:val="auto"/>
                <w:spacing w:val="8"/>
                <w:sz w:val="24"/>
                <w:szCs w:val="24"/>
                <w:lang w:eastAsia="zh-CN"/>
              </w:rPr>
              <w:t>排入杨林工业园区污水管网，最终进入嵩明县第二污水处理厂处理。</w:t>
            </w:r>
          </w:p>
          <w:p>
            <w:pPr>
              <w:widowControl w:val="0"/>
              <w:kinsoku/>
              <w:autoSpaceDE/>
              <w:autoSpaceDN/>
              <w:spacing w:line="360" w:lineRule="auto"/>
              <w:ind w:firstLine="512" w:firstLineChars="200"/>
              <w:textAlignment w:val="auto"/>
              <w:rPr>
                <w:rFonts w:ascii="Times New Roman" w:hAnsi="Times New Roman" w:eastAsia="宋体" w:cs="Times New Roman"/>
                <w:color w:val="auto"/>
                <w:spacing w:val="8"/>
                <w:sz w:val="24"/>
                <w:szCs w:val="24"/>
                <w:lang w:eastAsia="zh-CN"/>
              </w:rPr>
            </w:pPr>
            <w:r>
              <w:rPr>
                <w:rFonts w:ascii="Times New Roman" w:hAnsi="Times New Roman" w:eastAsia="宋体" w:cs="Times New Roman"/>
                <w:color w:val="auto"/>
                <w:spacing w:val="8"/>
                <w:sz w:val="24"/>
                <w:szCs w:val="24"/>
                <w:lang w:eastAsia="zh-CN"/>
              </w:rPr>
              <w:t>废水量：</w:t>
            </w:r>
            <w:bookmarkStart w:id="22" w:name="_Hlk203643016"/>
            <w:r>
              <w:rPr>
                <w:rFonts w:hint="eastAsia" w:ascii="Times New Roman" w:hAnsi="Times New Roman" w:eastAsia="宋体" w:cs="Times New Roman"/>
                <w:color w:val="auto"/>
                <w:spacing w:val="8"/>
                <w:sz w:val="24"/>
                <w:szCs w:val="24"/>
                <w:lang w:eastAsia="zh-CN"/>
              </w:rPr>
              <w:t>591.4m</w:t>
            </w:r>
            <w:r>
              <w:rPr>
                <w:rFonts w:hint="eastAsia" w:ascii="Times New Roman" w:hAnsi="Times New Roman" w:eastAsia="宋体" w:cs="Times New Roman"/>
                <w:color w:val="auto"/>
                <w:spacing w:val="8"/>
                <w:sz w:val="24"/>
                <w:szCs w:val="24"/>
                <w:vertAlign w:val="superscript"/>
                <w:lang w:eastAsia="zh-CN"/>
              </w:rPr>
              <w:t>3</w:t>
            </w:r>
            <w:r>
              <w:rPr>
                <w:rFonts w:ascii="Times New Roman" w:hAnsi="Times New Roman" w:eastAsia="宋体" w:cs="Times New Roman"/>
                <w:color w:val="auto"/>
                <w:spacing w:val="8"/>
                <w:sz w:val="24"/>
                <w:szCs w:val="24"/>
                <w:lang w:eastAsia="zh-CN"/>
              </w:rPr>
              <w:t>/a。COD：</w:t>
            </w:r>
            <w:r>
              <w:rPr>
                <w:rFonts w:hint="eastAsia" w:ascii="Times New Roman" w:hAnsi="Times New Roman" w:eastAsia="宋体" w:cs="Times New Roman"/>
                <w:color w:val="auto"/>
                <w:spacing w:val="8"/>
                <w:sz w:val="24"/>
                <w:szCs w:val="24"/>
                <w:lang w:eastAsia="zh-CN"/>
              </w:rPr>
              <w:t>0.1285</w:t>
            </w:r>
            <w:r>
              <w:rPr>
                <w:rFonts w:ascii="Times New Roman" w:hAnsi="Times New Roman" w:eastAsia="宋体" w:cs="Times New Roman"/>
                <w:color w:val="auto"/>
                <w:spacing w:val="8"/>
                <w:sz w:val="24"/>
                <w:szCs w:val="24"/>
                <w:lang w:eastAsia="zh-CN"/>
              </w:rPr>
              <w:t>t/a，</w:t>
            </w:r>
            <w:r>
              <w:rPr>
                <w:rFonts w:hint="eastAsia" w:ascii="Times New Roman" w:hAnsi="Times New Roman" w:eastAsia="宋体" w:cs="Times New Roman"/>
                <w:color w:val="auto"/>
                <w:spacing w:val="8"/>
                <w:sz w:val="24"/>
                <w:szCs w:val="24"/>
                <w:lang w:eastAsia="zh-CN"/>
              </w:rPr>
              <w:t>BOD</w:t>
            </w:r>
            <w:r>
              <w:rPr>
                <w:rFonts w:hint="eastAsia" w:ascii="Times New Roman" w:hAnsi="Times New Roman" w:eastAsia="宋体" w:cs="Times New Roman"/>
                <w:color w:val="auto"/>
                <w:spacing w:val="8"/>
                <w:sz w:val="24"/>
                <w:szCs w:val="24"/>
                <w:vertAlign w:val="subscript"/>
                <w:lang w:eastAsia="zh-CN"/>
              </w:rPr>
              <w:t>5:</w:t>
            </w:r>
            <w:r>
              <w:rPr>
                <w:rFonts w:hint="eastAsia" w:ascii="Times New Roman" w:hAnsi="Times New Roman" w:eastAsia="宋体" w:cs="Times New Roman"/>
                <w:color w:val="auto"/>
                <w:spacing w:val="8"/>
                <w:sz w:val="24"/>
                <w:szCs w:val="24"/>
                <w:lang w:eastAsia="zh-CN"/>
              </w:rPr>
              <w:t>0.0648</w:t>
            </w:r>
            <w:r>
              <w:rPr>
                <w:rFonts w:ascii="Times New Roman" w:hAnsi="Times New Roman" w:eastAsia="宋体" w:cs="Times New Roman"/>
                <w:color w:val="auto"/>
                <w:spacing w:val="8"/>
                <w:sz w:val="24"/>
                <w:szCs w:val="24"/>
                <w:lang w:eastAsia="zh-CN"/>
              </w:rPr>
              <w:t>t/a</w:t>
            </w:r>
            <w:r>
              <w:rPr>
                <w:rFonts w:hint="eastAsia" w:ascii="Times New Roman" w:hAnsi="Times New Roman" w:eastAsia="宋体" w:cs="Times New Roman"/>
                <w:color w:val="auto"/>
                <w:spacing w:val="8"/>
                <w:sz w:val="24"/>
                <w:szCs w:val="24"/>
                <w:lang w:eastAsia="zh-CN"/>
              </w:rPr>
              <w:t>，TN：0.0195</w:t>
            </w:r>
            <w:r>
              <w:rPr>
                <w:rFonts w:ascii="Times New Roman" w:hAnsi="Times New Roman" w:eastAsia="宋体" w:cs="Times New Roman"/>
                <w:color w:val="auto"/>
                <w:spacing w:val="8"/>
                <w:sz w:val="24"/>
                <w:szCs w:val="24"/>
                <w:lang w:eastAsia="zh-CN"/>
              </w:rPr>
              <w:t>t/a</w:t>
            </w:r>
            <w:r>
              <w:rPr>
                <w:rFonts w:hint="eastAsia" w:ascii="Times New Roman" w:hAnsi="Times New Roman" w:eastAsia="宋体" w:cs="Times New Roman"/>
                <w:color w:val="auto"/>
                <w:spacing w:val="8"/>
                <w:sz w:val="24"/>
                <w:szCs w:val="24"/>
                <w:lang w:eastAsia="zh-CN"/>
              </w:rPr>
              <w:t>，</w:t>
            </w:r>
            <w:r>
              <w:rPr>
                <w:rFonts w:ascii="Times New Roman" w:hAnsi="Times New Roman" w:eastAsia="宋体" w:cs="Times New Roman"/>
                <w:color w:val="auto"/>
                <w:sz w:val="24"/>
                <w:szCs w:val="24"/>
                <w:lang w:eastAsia="zh-CN"/>
              </w:rPr>
              <w:t>NH</w:t>
            </w:r>
            <w:r>
              <w:rPr>
                <w:rFonts w:ascii="Times New Roman" w:hAnsi="Times New Roman" w:eastAsia="宋体" w:cs="Times New Roman"/>
                <w:color w:val="auto"/>
                <w:sz w:val="24"/>
                <w:szCs w:val="24"/>
                <w:vertAlign w:val="subscript"/>
                <w:lang w:eastAsia="zh-CN"/>
              </w:rPr>
              <w:t>3</w:t>
            </w:r>
            <w:r>
              <w:rPr>
                <w:rFonts w:ascii="Times New Roman" w:hAnsi="Times New Roman" w:eastAsia="宋体" w:cs="Times New Roman"/>
                <w:color w:val="auto"/>
                <w:sz w:val="24"/>
                <w:szCs w:val="24"/>
                <w:lang w:eastAsia="zh-CN"/>
              </w:rPr>
              <w:t>-N：</w:t>
            </w:r>
            <w:r>
              <w:rPr>
                <w:rFonts w:hint="eastAsia" w:ascii="Times New Roman" w:hAnsi="Times New Roman" w:eastAsia="宋体" w:cs="Times New Roman"/>
                <w:color w:val="auto"/>
                <w:sz w:val="24"/>
                <w:szCs w:val="24"/>
                <w:lang w:eastAsia="zh-CN"/>
              </w:rPr>
              <w:t>0.0198</w:t>
            </w:r>
            <w:r>
              <w:rPr>
                <w:rFonts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，TP：0.0030</w:t>
            </w:r>
            <w:r>
              <w:rPr>
                <w:rFonts w:ascii="Times New Roman" w:hAnsi="Times New Roman" w:eastAsia="宋体" w:cs="Times New Roman"/>
                <w:color w:val="auto"/>
                <w:spacing w:val="8"/>
                <w:sz w:val="24"/>
                <w:szCs w:val="24"/>
                <w:lang w:eastAsia="zh-CN"/>
              </w:rPr>
              <w:t>t/a</w:t>
            </w:r>
            <w:r>
              <w:rPr>
                <w:rFonts w:hint="eastAsia" w:ascii="Times New Roman" w:hAnsi="Times New Roman" w:eastAsia="宋体" w:cs="Times New Roman"/>
                <w:color w:val="auto"/>
                <w:spacing w:val="8"/>
                <w:sz w:val="24"/>
                <w:szCs w:val="24"/>
                <w:lang w:eastAsia="zh-CN"/>
              </w:rPr>
              <w:t>，动植物油：0.0111</w:t>
            </w:r>
            <w:r>
              <w:rPr>
                <w:rFonts w:ascii="Times New Roman" w:hAnsi="Times New Roman" w:eastAsia="宋体" w:cs="Times New Roman"/>
                <w:color w:val="auto"/>
                <w:spacing w:val="8"/>
                <w:sz w:val="24"/>
                <w:szCs w:val="24"/>
                <w:lang w:eastAsia="zh-CN"/>
              </w:rPr>
              <w:t>t/a</w:t>
            </w:r>
            <w:r>
              <w:rPr>
                <w:rFonts w:hint="eastAsia" w:ascii="Times New Roman" w:hAnsi="Times New Roman" w:eastAsia="宋体" w:cs="Times New Roman"/>
                <w:color w:val="auto"/>
                <w:spacing w:val="8"/>
                <w:sz w:val="24"/>
                <w:szCs w:val="24"/>
                <w:lang w:eastAsia="zh-CN"/>
              </w:rPr>
              <w:t>，SS：0.0683</w:t>
            </w:r>
            <w:r>
              <w:rPr>
                <w:rFonts w:ascii="Times New Roman" w:hAnsi="Times New Roman" w:eastAsia="宋体" w:cs="Times New Roman"/>
                <w:color w:val="auto"/>
                <w:spacing w:val="8"/>
                <w:sz w:val="24"/>
                <w:szCs w:val="24"/>
                <w:lang w:eastAsia="zh-CN"/>
              </w:rPr>
              <w:t>t/a</w:t>
            </w:r>
            <w:bookmarkEnd w:id="22"/>
            <w:r>
              <w:rPr>
                <w:rFonts w:ascii="Times New Roman" w:hAnsi="Times New Roman" w:eastAsia="宋体" w:cs="Times New Roman"/>
                <w:color w:val="auto"/>
                <w:sz w:val="24"/>
                <w:szCs w:val="24"/>
                <w:lang w:eastAsia="zh-CN"/>
              </w:rPr>
              <w:t>。</w:t>
            </w:r>
          </w:p>
          <w:p>
            <w:pPr>
              <w:pStyle w:val="22"/>
              <w:kinsoku/>
              <w:spacing w:before="181" w:line="342" w:lineRule="auto"/>
              <w:ind w:left="107" w:right="163" w:firstLine="479"/>
              <w:rPr>
                <w:rFonts w:ascii="Times New Roman" w:hAnsi="Times New Roman" w:cs="Times New Roman"/>
                <w:color w:val="auto"/>
                <w:lang w:eastAsia="zh-CN"/>
              </w:rPr>
            </w:pPr>
            <w:r>
              <w:rPr>
                <w:rFonts w:ascii="Times New Roman" w:hAnsi="Times New Roman" w:cs="Times New Roman"/>
                <w:color w:val="auto"/>
                <w:spacing w:val="8"/>
                <w:lang w:eastAsia="zh-CN"/>
              </w:rPr>
              <w:t>废气：</w:t>
            </w:r>
            <w:r>
              <w:rPr>
                <w:rFonts w:hint="eastAsia" w:ascii="Times New Roman" w:hAnsi="Times New Roman" w:cs="Times New Roman"/>
                <w:color w:val="auto"/>
                <w:spacing w:val="8"/>
                <w:lang w:eastAsia="zh-CN"/>
              </w:rPr>
              <w:t>废气量：</w:t>
            </w:r>
            <w:bookmarkStart w:id="23" w:name="_Hlk203642985"/>
            <w:r>
              <w:rPr>
                <w:rFonts w:hint="eastAsia" w:ascii="Times New Roman" w:hAnsi="Times New Roman" w:cs="Times New Roman"/>
                <w:color w:val="auto"/>
                <w:spacing w:val="8"/>
                <w:lang w:eastAsia="zh-CN"/>
              </w:rPr>
              <w:t>2640万m</w:t>
            </w:r>
            <w:r>
              <w:rPr>
                <w:rFonts w:hint="eastAsia" w:ascii="Times New Roman" w:hAnsi="Times New Roman" w:cs="Times New Roman"/>
                <w:color w:val="auto"/>
                <w:spacing w:val="8"/>
                <w:vertAlign w:val="superscript"/>
                <w:lang w:eastAsia="zh-CN"/>
              </w:rPr>
              <w:t>3</w:t>
            </w:r>
            <w:r>
              <w:rPr>
                <w:rFonts w:hint="eastAsia" w:ascii="Times New Roman" w:hAnsi="Times New Roman" w:cs="Times New Roman"/>
                <w:color w:val="auto"/>
                <w:spacing w:val="8"/>
                <w:lang w:eastAsia="zh-CN"/>
              </w:rPr>
              <w:t>/a。有组织</w:t>
            </w:r>
            <w:r>
              <w:rPr>
                <w:rFonts w:ascii="Times New Roman" w:hAnsi="Times New Roman" w:cs="Times New Roman"/>
                <w:color w:val="auto"/>
                <w:spacing w:val="8"/>
                <w:lang w:eastAsia="zh-CN"/>
              </w:rPr>
              <w:t>挥发性有机物（以非甲烷总烃计）排放量：</w:t>
            </w:r>
            <w:r>
              <w:rPr>
                <w:rFonts w:hint="eastAsia" w:ascii="Times New Roman" w:hAnsi="Times New Roman" w:cs="Times New Roman"/>
                <w:color w:val="auto"/>
                <w:spacing w:val="8"/>
                <w:lang w:eastAsia="zh-CN"/>
              </w:rPr>
              <w:t>0.</w:t>
            </w:r>
            <w:r>
              <w:rPr>
                <w:rFonts w:hint="eastAsia" w:ascii="Times New Roman" w:hAnsi="Times New Roman" w:cs="Times New Roman"/>
                <w:color w:val="auto"/>
                <w:spacing w:val="8"/>
                <w:lang w:val="en-US" w:eastAsia="zh-CN"/>
              </w:rPr>
              <w:t>135</w:t>
            </w:r>
            <w:r>
              <w:rPr>
                <w:rFonts w:ascii="Times New Roman" w:hAnsi="Times New Roman" w:cs="Times New Roman"/>
                <w:color w:val="auto"/>
                <w:spacing w:val="8"/>
                <w:lang w:eastAsia="zh-CN"/>
              </w:rPr>
              <w:t>t/a、颗粒物：</w:t>
            </w:r>
            <w:r>
              <w:rPr>
                <w:rFonts w:hint="eastAsia" w:ascii="Times New Roman" w:hAnsi="Times New Roman" w:cs="Times New Roman"/>
                <w:color w:val="auto"/>
                <w:spacing w:val="8"/>
                <w:lang w:eastAsia="zh-CN"/>
              </w:rPr>
              <w:t>0.02295</w:t>
            </w:r>
            <w:r>
              <w:rPr>
                <w:rFonts w:ascii="Times New Roman" w:hAnsi="Times New Roman" w:cs="Times New Roman"/>
                <w:color w:val="auto"/>
                <w:spacing w:val="-1"/>
                <w:lang w:eastAsia="zh-CN"/>
              </w:rPr>
              <w:t>t/a</w:t>
            </w:r>
            <w:r>
              <w:rPr>
                <w:rFonts w:hint="eastAsia" w:ascii="Times New Roman" w:hAnsi="Times New Roman" w:cs="Times New Roman"/>
                <w:color w:val="auto"/>
                <w:spacing w:val="-1"/>
                <w:lang w:eastAsia="zh-CN"/>
              </w:rPr>
              <w:t>；无组织</w:t>
            </w:r>
            <w:r>
              <w:rPr>
                <w:rFonts w:ascii="Times New Roman" w:hAnsi="Times New Roman" w:cs="Times New Roman"/>
                <w:color w:val="auto"/>
                <w:spacing w:val="8"/>
                <w:lang w:eastAsia="zh-CN"/>
              </w:rPr>
              <w:t>挥发性有机物（以非甲烷总烃计）排放量：</w:t>
            </w:r>
            <w:r>
              <w:rPr>
                <w:rFonts w:hint="eastAsia" w:ascii="Times New Roman" w:hAnsi="Times New Roman" w:cs="Times New Roman"/>
                <w:color w:val="auto"/>
                <w:spacing w:val="8"/>
                <w:lang w:eastAsia="zh-CN"/>
              </w:rPr>
              <w:t>0.02</w:t>
            </w:r>
            <w:r>
              <w:rPr>
                <w:rFonts w:ascii="Times New Roman" w:hAnsi="Times New Roman" w:cs="Times New Roman"/>
                <w:color w:val="auto"/>
                <w:spacing w:val="8"/>
                <w:lang w:eastAsia="zh-CN"/>
              </w:rPr>
              <w:t>t/a、颗粒物：</w:t>
            </w:r>
            <w:r>
              <w:rPr>
                <w:rFonts w:hint="eastAsia" w:ascii="Times New Roman" w:hAnsi="Times New Roman" w:cs="Times New Roman"/>
                <w:color w:val="auto"/>
                <w:spacing w:val="8"/>
                <w:lang w:eastAsia="zh-CN"/>
              </w:rPr>
              <w:t>0.0255</w:t>
            </w:r>
            <w:r>
              <w:rPr>
                <w:rFonts w:ascii="Times New Roman" w:hAnsi="Times New Roman" w:cs="Times New Roman"/>
                <w:color w:val="auto"/>
                <w:spacing w:val="-1"/>
                <w:lang w:eastAsia="zh-CN"/>
              </w:rPr>
              <w:t>t/a</w:t>
            </w:r>
            <w:bookmarkEnd w:id="23"/>
            <w:r>
              <w:rPr>
                <w:rFonts w:hint="eastAsia" w:ascii="Times New Roman" w:hAnsi="Times New Roman" w:cs="Times New Roman"/>
                <w:color w:val="auto"/>
                <w:spacing w:val="-1"/>
                <w:lang w:eastAsia="zh-CN"/>
              </w:rPr>
              <w:t>。</w:t>
            </w:r>
          </w:p>
          <w:p>
            <w:pPr>
              <w:kinsoku/>
              <w:spacing w:line="360" w:lineRule="auto"/>
              <w:ind w:firstLine="512" w:firstLineChars="200"/>
              <w:rPr>
                <w:color w:val="auto"/>
                <w:lang w:eastAsia="zh-CN"/>
              </w:rPr>
            </w:pPr>
            <w:r>
              <w:rPr>
                <w:rFonts w:ascii="Times New Roman" w:hAnsi="Times New Roman" w:eastAsia="宋体" w:cs="Times New Roman"/>
                <w:color w:val="auto"/>
                <w:spacing w:val="8"/>
                <w:sz w:val="24"/>
                <w:szCs w:val="24"/>
                <w:lang w:eastAsia="zh-CN"/>
              </w:rPr>
              <w:t>固体废物：项目固体废物</w:t>
            </w:r>
            <w:r>
              <w:rPr>
                <w:rFonts w:hint="eastAsia" w:ascii="Times New Roman" w:hAnsi="Times New Roman" w:eastAsia="宋体" w:cs="Times New Roman"/>
                <w:color w:val="auto"/>
                <w:spacing w:val="8"/>
                <w:sz w:val="24"/>
                <w:szCs w:val="24"/>
                <w:lang w:eastAsia="zh-CN"/>
              </w:rPr>
              <w:t>主要有废边角料、不合格产品、中央除尘系统收尘、</w:t>
            </w:r>
            <w:r>
              <w:rPr>
                <w:rFonts w:hint="eastAsia" w:ascii="Times New Roman" w:hAnsi="Times New Roman" w:eastAsia="宋体" w:cs="Times New Roman"/>
                <w:color w:val="auto"/>
                <w:spacing w:val="8"/>
                <w:sz w:val="24"/>
                <w:szCs w:val="24"/>
                <w:lang w:val="en-US" w:eastAsia="zh-CN"/>
              </w:rPr>
              <w:t>废胶、</w:t>
            </w:r>
            <w:r>
              <w:rPr>
                <w:rFonts w:hint="eastAsia" w:ascii="Times New Roman" w:hAnsi="Times New Roman" w:eastAsia="宋体" w:cs="Times New Roman"/>
                <w:color w:val="auto"/>
                <w:spacing w:val="8"/>
                <w:sz w:val="24"/>
                <w:szCs w:val="24"/>
                <w:lang w:eastAsia="zh-CN"/>
              </w:rPr>
              <w:t>废包装、废胶桶、废活性炭、</w:t>
            </w:r>
            <w:r>
              <w:rPr>
                <w:rFonts w:ascii="Times New Roman" w:hAnsi="Times New Roman" w:eastAsia="宋体" w:cs="Times New Roman"/>
                <w:color w:val="auto"/>
                <w:sz w:val="24"/>
                <w:szCs w:val="24"/>
                <w:lang w:eastAsia="zh-CN"/>
              </w:rPr>
              <w:t>废含油棉纱、手套</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8"/>
                <w:sz w:val="24"/>
                <w:szCs w:val="24"/>
                <w:lang w:eastAsia="zh-CN"/>
              </w:rPr>
              <w:t>废润滑油。废边角料、不合格产品、</w:t>
            </w:r>
            <w:r>
              <w:rPr>
                <w:rFonts w:hint="eastAsia" w:ascii="Times New Roman" w:hAnsi="Times New Roman" w:eastAsia="宋体" w:cs="Times New Roman"/>
                <w:color w:val="auto"/>
                <w:spacing w:val="8"/>
                <w:sz w:val="24"/>
                <w:szCs w:val="24"/>
                <w:lang w:val="en-US" w:eastAsia="zh-CN"/>
              </w:rPr>
              <w:t>废胶、</w:t>
            </w:r>
            <w:r>
              <w:rPr>
                <w:rFonts w:hint="eastAsia" w:ascii="Times New Roman" w:hAnsi="Times New Roman" w:eastAsia="宋体" w:cs="Times New Roman"/>
                <w:color w:val="auto"/>
                <w:spacing w:val="8"/>
                <w:sz w:val="24"/>
                <w:szCs w:val="24"/>
                <w:lang w:eastAsia="zh-CN"/>
              </w:rPr>
              <w:t>废包装、废胶桶、中央除尘系统收尘灰收集后出售给废品回收公司；废活性炭、废润滑油、</w:t>
            </w:r>
            <w:r>
              <w:rPr>
                <w:rFonts w:ascii="Times New Roman" w:hAnsi="Times New Roman" w:eastAsia="宋体" w:cs="Times New Roman"/>
                <w:color w:val="auto"/>
                <w:sz w:val="24"/>
                <w:szCs w:val="24"/>
                <w:lang w:eastAsia="zh-CN"/>
              </w:rPr>
              <w:t>废含油棉纱、手套</w:t>
            </w:r>
            <w:r>
              <w:rPr>
                <w:rFonts w:hint="eastAsia" w:ascii="Times New Roman" w:hAnsi="Times New Roman" w:eastAsia="宋体" w:cs="Times New Roman"/>
                <w:color w:val="auto"/>
                <w:spacing w:val="8"/>
                <w:sz w:val="24"/>
                <w:szCs w:val="24"/>
                <w:lang w:eastAsia="zh-CN"/>
              </w:rPr>
              <w:t>分类收集后委托有危险废物处理资质的单位外运处置，固体废物</w:t>
            </w:r>
            <w:r>
              <w:rPr>
                <w:rFonts w:ascii="Times New Roman" w:hAnsi="Times New Roman" w:eastAsia="宋体" w:cs="Times New Roman"/>
                <w:color w:val="auto"/>
                <w:spacing w:val="8"/>
                <w:sz w:val="24"/>
                <w:szCs w:val="24"/>
                <w:lang w:eastAsia="zh-CN"/>
              </w:rPr>
              <w:t>处置率为100%。</w:t>
            </w:r>
          </w:p>
        </w:tc>
      </w:tr>
    </w:tbl>
    <w:p>
      <w:pPr>
        <w:pStyle w:val="8"/>
        <w:kinsoku/>
        <w:rPr>
          <w:color w:val="auto"/>
          <w:lang w:eastAsia="zh-CN"/>
        </w:rPr>
      </w:pPr>
    </w:p>
    <w:p>
      <w:pPr>
        <w:kinsoku/>
        <w:rPr>
          <w:color w:val="auto"/>
          <w:lang w:eastAsia="zh-CN"/>
        </w:rPr>
        <w:sectPr>
          <w:footerReference r:id="rId5" w:type="default"/>
          <w:pgSz w:w="11907" w:h="16840"/>
          <w:pgMar w:top="1404" w:right="1300" w:bottom="1014" w:left="1300" w:header="0" w:footer="852" w:gutter="0"/>
          <w:cols w:space="720" w:num="1"/>
        </w:sectPr>
      </w:pPr>
    </w:p>
    <w:p>
      <w:pPr>
        <w:kinsoku/>
        <w:spacing w:before="60" w:line="220" w:lineRule="auto"/>
        <w:ind w:left="2694"/>
        <w:outlineLvl w:val="0"/>
        <w:rPr>
          <w:rFonts w:hint="eastAsia" w:ascii="宋体" w:hAnsi="宋体" w:eastAsia="宋体" w:cs="宋体"/>
          <w:color w:val="auto"/>
          <w:sz w:val="30"/>
          <w:szCs w:val="30"/>
          <w:lang w:eastAsia="zh-CN"/>
        </w:rPr>
      </w:pPr>
      <w:bookmarkStart w:id="24" w:name="bookmark7"/>
      <w:bookmarkEnd w:id="24"/>
      <w:bookmarkStart w:id="25" w:name="_Toc27654"/>
      <w:r>
        <w:rPr>
          <w:rFonts w:ascii="宋体" w:hAnsi="宋体" w:eastAsia="宋体" w:cs="宋体"/>
          <w:b/>
          <w:bCs/>
          <w:color w:val="auto"/>
          <w:spacing w:val="-6"/>
          <w:sz w:val="30"/>
          <w:szCs w:val="30"/>
          <w:lang w:eastAsia="zh-CN"/>
        </w:rPr>
        <w:t>四、主要环境影响和保护措施</w:t>
      </w:r>
      <w:bookmarkEnd w:id="25"/>
    </w:p>
    <w:p>
      <w:pPr>
        <w:kinsoku/>
        <w:spacing w:line="180" w:lineRule="exact"/>
        <w:rPr>
          <w:color w:val="auto"/>
          <w:lang w:eastAsia="zh-CN"/>
        </w:rPr>
      </w:pPr>
    </w:p>
    <w:tbl>
      <w:tblPr>
        <w:tblStyle w:val="21"/>
        <w:tblW w:w="920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3"/>
        <w:gridCol w:w="88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9" w:hRule="atLeast"/>
        </w:trPr>
        <w:tc>
          <w:tcPr>
            <w:tcW w:w="373" w:type="dxa"/>
            <w:tcBorders>
              <w:right w:val="single" w:color="000000" w:sz="2" w:space="0"/>
            </w:tcBorders>
            <w:vAlign w:val="center"/>
          </w:tcPr>
          <w:p>
            <w:pPr>
              <w:kinsoku/>
              <w:jc w:val="center"/>
              <w:rPr>
                <w:color w:val="auto"/>
              </w:rPr>
            </w:pPr>
            <w:r>
              <w:rPr>
                <w:color w:val="auto"/>
              </w:rPr>
              <w:t>施工期环境保护措施</w:t>
            </w:r>
          </w:p>
        </w:tc>
        <w:tc>
          <w:tcPr>
            <w:tcW w:w="8836" w:type="dxa"/>
            <w:vMerge w:val="restart"/>
            <w:tcBorders>
              <w:left w:val="single" w:color="000000" w:sz="2" w:space="0"/>
            </w:tcBorders>
            <w:shd w:val="clear" w:color="auto" w:fill="auto"/>
          </w:tcPr>
          <w:p>
            <w:pPr>
              <w:pStyle w:val="22"/>
              <w:kinsoku/>
              <w:spacing w:before="38" w:line="347" w:lineRule="auto"/>
              <w:ind w:left="220" w:right="104" w:firstLine="418" w:firstLineChars="173"/>
              <w:rPr>
                <w:rFonts w:hint="eastAsia"/>
                <w:color w:val="auto"/>
                <w:lang w:eastAsia="zh-CN"/>
              </w:rPr>
            </w:pPr>
            <w:bookmarkStart w:id="26" w:name="_Hlk203584428"/>
            <w:r>
              <w:rPr>
                <w:color w:val="auto"/>
                <w:spacing w:val="1"/>
                <w:lang w:eastAsia="zh-CN"/>
              </w:rPr>
              <w:t>项目</w:t>
            </w:r>
            <w:r>
              <w:rPr>
                <w:rFonts w:hint="eastAsia"/>
                <w:color w:val="auto"/>
                <w:spacing w:val="1"/>
                <w:lang w:eastAsia="zh-CN"/>
              </w:rPr>
              <w:t>租赁现有厂房</w:t>
            </w:r>
            <w:r>
              <w:rPr>
                <w:color w:val="auto"/>
                <w:spacing w:val="1"/>
                <w:lang w:eastAsia="zh-CN"/>
              </w:rPr>
              <w:t>，不需要进行土建施工，仅为</w:t>
            </w:r>
            <w:r>
              <w:rPr>
                <w:rFonts w:hint="eastAsia"/>
                <w:color w:val="auto"/>
                <w:spacing w:val="1"/>
                <w:lang w:val="en-US" w:eastAsia="zh-CN"/>
              </w:rPr>
              <w:t>生产设备及环保设施</w:t>
            </w:r>
            <w:r>
              <w:rPr>
                <w:color w:val="auto"/>
                <w:spacing w:val="1"/>
                <w:lang w:eastAsia="zh-CN"/>
              </w:rPr>
              <w:t>安装</w:t>
            </w:r>
            <w:bookmarkEnd w:id="26"/>
            <w:r>
              <w:rPr>
                <w:color w:val="auto"/>
                <w:lang w:eastAsia="zh-CN"/>
              </w:rPr>
              <w:t>。施工工程量小，施工周期短，施工期的</w:t>
            </w:r>
            <w:r>
              <w:rPr>
                <w:color w:val="auto"/>
                <w:spacing w:val="-1"/>
                <w:lang w:eastAsia="zh-CN"/>
              </w:rPr>
              <w:t>环境影响相对较小。</w:t>
            </w:r>
          </w:p>
          <w:p>
            <w:pPr>
              <w:pStyle w:val="22"/>
              <w:kinsoku/>
              <w:spacing w:before="31" w:line="360" w:lineRule="auto"/>
              <w:ind w:left="595"/>
              <w:rPr>
                <w:rFonts w:hint="eastAsia"/>
                <w:color w:val="auto"/>
                <w:lang w:eastAsia="zh-CN"/>
              </w:rPr>
            </w:pPr>
            <w:r>
              <w:rPr>
                <w:rFonts w:hint="eastAsia" w:ascii="Times New Roman" w:hAnsi="Times New Roman" w:eastAsia="Times New Roman" w:cs="Times New Roman"/>
                <w:b/>
                <w:bCs/>
                <w:color w:val="auto"/>
                <w:spacing w:val="-5"/>
                <w:lang w:eastAsia="zh-CN"/>
              </w:rPr>
              <w:t>一</w:t>
            </w:r>
            <w:r>
              <w:rPr>
                <w:b/>
                <w:bCs/>
                <w:color w:val="auto"/>
                <w:spacing w:val="-5"/>
                <w:lang w:eastAsia="zh-CN"/>
              </w:rPr>
              <w:t>、施工期</w:t>
            </w:r>
            <w:r>
              <w:rPr>
                <w:rFonts w:hint="eastAsia"/>
                <w:b/>
                <w:bCs/>
                <w:color w:val="auto"/>
                <w:spacing w:val="-5"/>
                <w:lang w:eastAsia="zh-CN"/>
              </w:rPr>
              <w:t>大气污染防治措施</w:t>
            </w:r>
          </w:p>
          <w:p>
            <w:pPr>
              <w:pStyle w:val="6"/>
              <w:kinsoku/>
              <w:spacing w:line="360" w:lineRule="auto"/>
              <w:ind w:firstLine="638" w:firstLineChars="264"/>
              <w:rPr>
                <w:color w:val="auto"/>
                <w:lang w:eastAsia="zh-CN"/>
              </w:rPr>
            </w:pPr>
            <w:r>
              <w:rPr>
                <w:rFonts w:ascii="Times New Roman" w:hAnsi="Times New Roman" w:eastAsia="宋体" w:cs="Times New Roman"/>
                <w:color w:val="auto"/>
                <w:spacing w:val="1"/>
                <w:sz w:val="24"/>
                <w:szCs w:val="24"/>
                <w:lang w:eastAsia="zh-CN"/>
              </w:rPr>
              <w:t>项目施工废气主要为设备安装过程中产生</w:t>
            </w:r>
            <w:r>
              <w:rPr>
                <w:rFonts w:hint="eastAsia" w:ascii="Times New Roman" w:hAnsi="Times New Roman" w:eastAsia="宋体" w:cs="Times New Roman"/>
                <w:color w:val="auto"/>
                <w:spacing w:val="1"/>
                <w:sz w:val="24"/>
                <w:szCs w:val="24"/>
                <w:lang w:eastAsia="zh-CN"/>
              </w:rPr>
              <w:t>施工扬尘、施工机械废气、运输车辆尾气、</w:t>
            </w:r>
            <w:r>
              <w:rPr>
                <w:rFonts w:ascii="Times New Roman" w:hAnsi="Times New Roman" w:eastAsia="宋体" w:cs="Times New Roman"/>
                <w:color w:val="auto"/>
                <w:spacing w:val="1"/>
                <w:sz w:val="24"/>
                <w:szCs w:val="24"/>
                <w:lang w:eastAsia="zh-CN"/>
              </w:rPr>
              <w:t>焊接烟尘</w:t>
            </w:r>
            <w:r>
              <w:rPr>
                <w:color w:val="auto"/>
                <w:spacing w:val="-1"/>
                <w:lang w:eastAsia="zh-CN"/>
              </w:rPr>
              <w:t>。</w:t>
            </w:r>
          </w:p>
          <w:p>
            <w:pPr>
              <w:pStyle w:val="22"/>
              <w:kinsoku/>
              <w:spacing w:before="180" w:line="219" w:lineRule="auto"/>
              <w:ind w:left="600"/>
              <w:rPr>
                <w:rFonts w:ascii="Times New Roman" w:hAnsi="Times New Roman" w:cs="Times New Roman"/>
                <w:b/>
                <w:bCs/>
                <w:color w:val="auto"/>
                <w:lang w:eastAsia="zh-CN"/>
              </w:rPr>
            </w:pPr>
            <w:r>
              <w:rPr>
                <w:rFonts w:ascii="Times New Roman" w:hAnsi="Times New Roman" w:cs="Times New Roman"/>
                <w:b/>
                <w:bCs/>
                <w:color w:val="auto"/>
                <w:spacing w:val="-2"/>
                <w:lang w:eastAsia="zh-CN"/>
              </w:rPr>
              <w:t>1、施工</w:t>
            </w:r>
            <w:r>
              <w:rPr>
                <w:rFonts w:hint="eastAsia" w:ascii="Times New Roman" w:hAnsi="Times New Roman" w:cs="Times New Roman"/>
                <w:b/>
                <w:bCs/>
                <w:color w:val="auto"/>
                <w:spacing w:val="-2"/>
                <w:lang w:eastAsia="zh-CN"/>
              </w:rPr>
              <w:t>扬尘污染防治措施</w:t>
            </w:r>
          </w:p>
          <w:p>
            <w:pPr>
              <w:pStyle w:val="22"/>
              <w:kinsoku/>
              <w:spacing w:before="181" w:line="354" w:lineRule="auto"/>
              <w:ind w:left="107" w:right="101" w:firstLine="484"/>
              <w:rPr>
                <w:rFonts w:ascii="Times New Roman" w:hAnsi="Times New Roman" w:cs="Times New Roman"/>
                <w:color w:val="auto"/>
                <w:spacing w:val="1"/>
                <w:lang w:eastAsia="zh-CN"/>
              </w:rPr>
            </w:pPr>
            <w:r>
              <w:rPr>
                <w:rFonts w:ascii="Times New Roman" w:hAnsi="Times New Roman" w:cs="Times New Roman"/>
                <w:color w:val="auto"/>
                <w:spacing w:val="1"/>
                <w:lang w:eastAsia="zh-CN"/>
              </w:rPr>
              <w:t>项目施工期对环境空气影响的主要污染物为粉尘。由于本项目工程量较小，</w:t>
            </w:r>
            <w:r>
              <w:rPr>
                <w:rFonts w:ascii="Times New Roman" w:hAnsi="Times New Roman" w:cs="Times New Roman"/>
                <w:color w:val="auto"/>
                <w:spacing w:val="8"/>
                <w:lang w:eastAsia="zh-CN"/>
              </w:rPr>
              <w:t>施工期较短，设备安装过程中粉尘的排放量较小，</w:t>
            </w:r>
            <w:r>
              <w:rPr>
                <w:rFonts w:hint="eastAsia" w:ascii="Times New Roman" w:hAnsi="Times New Roman" w:cs="Times New Roman"/>
                <w:color w:val="auto"/>
                <w:spacing w:val="8"/>
                <w:lang w:eastAsia="zh-CN"/>
              </w:rPr>
              <w:t>通过</w:t>
            </w:r>
            <w:r>
              <w:rPr>
                <w:rFonts w:ascii="仿宋_GB2312" w:hAnsi="仿宋_GB2312" w:cs="仿宋_GB2312"/>
                <w:color w:val="auto"/>
                <w:szCs w:val="32"/>
                <w:lang w:eastAsia="zh-CN"/>
              </w:rPr>
              <w:t>施工粉状物料</w:t>
            </w:r>
            <w:bookmarkStart w:id="27" w:name="_Hlk203584480"/>
            <w:r>
              <w:rPr>
                <w:rFonts w:ascii="仿宋_GB2312" w:hAnsi="仿宋_GB2312" w:cs="仿宋_GB2312"/>
                <w:color w:val="auto"/>
                <w:szCs w:val="32"/>
                <w:lang w:eastAsia="zh-CN"/>
              </w:rPr>
              <w:t>运输车辆采取封闭措施</w:t>
            </w:r>
            <w:r>
              <w:rPr>
                <w:rFonts w:hint="eastAsia" w:ascii="仿宋_GB2312" w:hAnsi="仿宋_GB2312" w:cs="仿宋_GB2312"/>
                <w:color w:val="auto"/>
                <w:szCs w:val="32"/>
                <w:lang w:eastAsia="zh-CN"/>
              </w:rPr>
              <w:t>，</w:t>
            </w:r>
            <w:r>
              <w:rPr>
                <w:rFonts w:ascii="仿宋_GB2312" w:hAnsi="仿宋_GB2312" w:cs="仿宋_GB2312"/>
                <w:color w:val="auto"/>
                <w:szCs w:val="32"/>
                <w:lang w:eastAsia="zh-CN"/>
              </w:rPr>
              <w:t>施工物料堆放在室内，</w:t>
            </w:r>
            <w:r>
              <w:rPr>
                <w:rFonts w:hint="eastAsia" w:ascii="仿宋_GB2312" w:hAnsi="仿宋_GB2312" w:cs="仿宋_GB2312"/>
                <w:color w:val="auto"/>
                <w:szCs w:val="32"/>
                <w:lang w:eastAsia="zh-CN"/>
              </w:rPr>
              <w:t>必要时进行洒水降尘等措施</w:t>
            </w:r>
            <w:bookmarkEnd w:id="27"/>
            <w:r>
              <w:rPr>
                <w:rFonts w:hint="eastAsia" w:ascii="仿宋_GB2312" w:hAnsi="仿宋_GB2312" w:cs="仿宋_GB2312"/>
                <w:color w:val="auto"/>
                <w:szCs w:val="32"/>
                <w:lang w:eastAsia="zh-CN"/>
              </w:rPr>
              <w:t>，</w:t>
            </w:r>
            <w:r>
              <w:rPr>
                <w:rFonts w:ascii="Times New Roman" w:hAnsi="Times New Roman" w:cs="Times New Roman"/>
                <w:color w:val="auto"/>
                <w:spacing w:val="8"/>
                <w:lang w:eastAsia="zh-CN"/>
              </w:rPr>
              <w:t>对周围环境空气的影响范围很</w:t>
            </w:r>
            <w:r>
              <w:rPr>
                <w:rFonts w:ascii="Times New Roman" w:hAnsi="Times New Roman" w:cs="Times New Roman"/>
                <w:color w:val="auto"/>
                <w:spacing w:val="1"/>
                <w:lang w:eastAsia="zh-CN"/>
              </w:rPr>
              <w:t>小。</w:t>
            </w:r>
          </w:p>
          <w:p>
            <w:pPr>
              <w:pStyle w:val="22"/>
              <w:kinsoku/>
              <w:spacing w:before="181" w:line="354" w:lineRule="auto"/>
              <w:ind w:left="107" w:right="101" w:firstLine="484"/>
              <w:rPr>
                <w:rFonts w:ascii="Times New Roman" w:hAnsi="Times New Roman" w:cs="Times New Roman"/>
                <w:color w:val="auto"/>
                <w:spacing w:val="1"/>
                <w:lang w:eastAsia="zh-CN"/>
              </w:rPr>
            </w:pPr>
            <w:r>
              <w:rPr>
                <w:rFonts w:ascii="Times New Roman" w:hAnsi="Times New Roman" w:cs="Times New Roman"/>
                <w:b/>
                <w:bCs/>
                <w:color w:val="auto"/>
                <w:spacing w:val="-2"/>
                <w:lang w:eastAsia="zh-CN"/>
              </w:rPr>
              <w:t>2、施工</w:t>
            </w:r>
            <w:r>
              <w:rPr>
                <w:rFonts w:hint="eastAsia" w:ascii="Times New Roman" w:hAnsi="Times New Roman" w:cs="Times New Roman"/>
                <w:b/>
                <w:bCs/>
                <w:color w:val="auto"/>
                <w:spacing w:val="-2"/>
                <w:lang w:eastAsia="zh-CN"/>
              </w:rPr>
              <w:t>机械废气污染防治措施</w:t>
            </w:r>
          </w:p>
          <w:p>
            <w:pPr>
              <w:pStyle w:val="22"/>
              <w:kinsoku/>
              <w:spacing w:before="181" w:line="354" w:lineRule="auto"/>
              <w:ind w:left="107" w:right="101" w:firstLine="484"/>
              <w:rPr>
                <w:rFonts w:ascii="Times New Roman" w:hAnsi="Times New Roman" w:cs="Times New Roman"/>
                <w:color w:val="auto"/>
                <w:spacing w:val="-1"/>
                <w:lang w:eastAsia="zh-CN"/>
              </w:rPr>
            </w:pPr>
            <w:r>
              <w:rPr>
                <w:rFonts w:hint="eastAsia" w:ascii="Times New Roman" w:hAnsi="Times New Roman" w:cs="Times New Roman"/>
                <w:color w:val="auto"/>
                <w:spacing w:val="1"/>
                <w:lang w:eastAsia="zh-CN"/>
              </w:rPr>
              <w:t>施工</w:t>
            </w:r>
            <w:r>
              <w:rPr>
                <w:rFonts w:ascii="Times New Roman" w:hAnsi="Times New Roman" w:cs="Times New Roman"/>
                <w:color w:val="auto"/>
                <w:spacing w:val="1"/>
                <w:lang w:eastAsia="zh-CN"/>
              </w:rPr>
              <w:t>过程中</w:t>
            </w:r>
            <w:r>
              <w:rPr>
                <w:rFonts w:hint="eastAsia" w:ascii="Times New Roman" w:hAnsi="Times New Roman" w:cs="Times New Roman"/>
                <w:color w:val="auto"/>
                <w:spacing w:val="1"/>
                <w:lang w:eastAsia="zh-CN"/>
              </w:rPr>
              <w:t>会产生少量机械废气</w:t>
            </w:r>
            <w:r>
              <w:rPr>
                <w:rFonts w:ascii="Times New Roman" w:hAnsi="Times New Roman" w:cs="Times New Roman"/>
                <w:color w:val="auto"/>
                <w:spacing w:val="1"/>
                <w:lang w:eastAsia="zh-CN"/>
              </w:rPr>
              <w:t>，属无组织排放，由于工程量小，施工期较短，产生量很小。</w:t>
            </w:r>
            <w:r>
              <w:rPr>
                <w:rFonts w:hint="eastAsia" w:ascii="Times New Roman" w:hAnsi="Times New Roman" w:cs="Times New Roman"/>
                <w:color w:val="auto"/>
                <w:spacing w:val="1"/>
                <w:lang w:eastAsia="zh-CN"/>
              </w:rPr>
              <w:t>通过大气稀释扩散</w:t>
            </w:r>
            <w:r>
              <w:rPr>
                <w:rFonts w:ascii="Times New Roman" w:hAnsi="Times New Roman" w:cs="Times New Roman"/>
                <w:color w:val="auto"/>
                <w:lang w:eastAsia="zh-CN"/>
              </w:rPr>
              <w:t>，</w:t>
            </w:r>
            <w:r>
              <w:rPr>
                <w:rFonts w:hint="eastAsia" w:ascii="Times New Roman" w:hAnsi="Times New Roman" w:cs="Times New Roman"/>
                <w:color w:val="auto"/>
                <w:lang w:eastAsia="zh-CN"/>
              </w:rPr>
              <w:t>且</w:t>
            </w:r>
            <w:r>
              <w:rPr>
                <w:rFonts w:ascii="Times New Roman" w:hAnsi="Times New Roman" w:cs="Times New Roman"/>
                <w:color w:val="auto"/>
                <w:lang w:eastAsia="zh-CN"/>
              </w:rPr>
              <w:t>随着施工活动的结束，施工</w:t>
            </w:r>
            <w:r>
              <w:rPr>
                <w:rFonts w:hint="eastAsia" w:ascii="Times New Roman" w:hAnsi="Times New Roman" w:cs="Times New Roman"/>
                <w:color w:val="auto"/>
                <w:lang w:eastAsia="zh-CN"/>
              </w:rPr>
              <w:t>机械废气</w:t>
            </w:r>
            <w:r>
              <w:rPr>
                <w:rFonts w:ascii="Times New Roman" w:hAnsi="Times New Roman" w:cs="Times New Roman"/>
                <w:color w:val="auto"/>
                <w:lang w:eastAsia="zh-CN"/>
              </w:rPr>
              <w:t>对环境空</w:t>
            </w:r>
            <w:r>
              <w:rPr>
                <w:rFonts w:ascii="Times New Roman" w:hAnsi="Times New Roman" w:cs="Times New Roman"/>
                <w:color w:val="auto"/>
                <w:spacing w:val="-1"/>
                <w:lang w:eastAsia="zh-CN"/>
              </w:rPr>
              <w:t>气的影响也随之结束。</w:t>
            </w:r>
          </w:p>
          <w:p>
            <w:pPr>
              <w:pStyle w:val="22"/>
              <w:kinsoku/>
              <w:spacing w:before="181" w:line="354" w:lineRule="auto"/>
              <w:ind w:left="108" w:right="101" w:firstLine="533" w:firstLineChars="225"/>
              <w:rPr>
                <w:rFonts w:ascii="Times New Roman" w:hAnsi="Times New Roman" w:cs="Times New Roman"/>
                <w:b/>
                <w:bCs/>
                <w:color w:val="auto"/>
                <w:spacing w:val="-2"/>
                <w:lang w:eastAsia="zh-CN"/>
              </w:rPr>
            </w:pPr>
            <w:r>
              <w:rPr>
                <w:rFonts w:hint="eastAsia" w:ascii="Times New Roman" w:hAnsi="Times New Roman" w:cs="Times New Roman"/>
                <w:b/>
                <w:bCs/>
                <w:color w:val="auto"/>
                <w:spacing w:val="-2"/>
                <w:lang w:eastAsia="zh-CN"/>
              </w:rPr>
              <w:t>3、运输车辆污染防治措施</w:t>
            </w:r>
          </w:p>
          <w:p>
            <w:pPr>
              <w:kinsoku/>
              <w:spacing w:line="360" w:lineRule="auto"/>
              <w:ind w:firstLine="484" w:firstLineChars="200"/>
              <w:rPr>
                <w:rFonts w:ascii="Times New Roman" w:hAnsi="Times New Roman" w:cs="Times New Roman"/>
                <w:b/>
                <w:bCs/>
                <w:color w:val="auto"/>
                <w:spacing w:val="-2"/>
                <w:lang w:eastAsia="zh-CN"/>
              </w:rPr>
            </w:pPr>
            <w:r>
              <w:rPr>
                <w:rFonts w:hint="eastAsia" w:ascii="Times New Roman" w:hAnsi="Times New Roman" w:eastAsia="宋体" w:cs="Times New Roman"/>
                <w:color w:val="auto"/>
                <w:spacing w:val="1"/>
                <w:sz w:val="24"/>
                <w:szCs w:val="24"/>
                <w:lang w:eastAsia="zh-CN"/>
              </w:rPr>
              <w:t>施工过程中运输设备等会产生少量运输车辆尾气，施工车辆尾气等通过大气稀释扩散以无组织形式排放，且</w:t>
            </w:r>
            <w:r>
              <w:rPr>
                <w:rFonts w:ascii="Times New Roman" w:hAnsi="Times New Roman" w:eastAsia="宋体" w:cs="Times New Roman"/>
                <w:color w:val="auto"/>
                <w:spacing w:val="1"/>
                <w:sz w:val="24"/>
                <w:szCs w:val="24"/>
                <w:lang w:eastAsia="zh-CN"/>
              </w:rPr>
              <w:t>随着施工活动的结束，施工</w:t>
            </w:r>
            <w:r>
              <w:rPr>
                <w:rFonts w:hint="eastAsia" w:ascii="Times New Roman" w:hAnsi="Times New Roman" w:eastAsia="宋体" w:cs="Times New Roman"/>
                <w:color w:val="auto"/>
                <w:spacing w:val="1"/>
                <w:sz w:val="24"/>
                <w:szCs w:val="24"/>
                <w:lang w:eastAsia="zh-CN"/>
              </w:rPr>
              <w:t>机械废气</w:t>
            </w:r>
            <w:r>
              <w:rPr>
                <w:rFonts w:ascii="Times New Roman" w:hAnsi="Times New Roman" w:eastAsia="宋体" w:cs="Times New Roman"/>
                <w:color w:val="auto"/>
                <w:spacing w:val="1"/>
                <w:sz w:val="24"/>
                <w:szCs w:val="24"/>
                <w:lang w:eastAsia="zh-CN"/>
              </w:rPr>
              <w:t>对环境空气的影响也随之结束</w:t>
            </w:r>
            <w:r>
              <w:rPr>
                <w:rFonts w:hint="eastAsia" w:ascii="Times New Roman" w:hAnsi="Times New Roman" w:eastAsia="宋体" w:cs="Times New Roman"/>
                <w:color w:val="auto"/>
                <w:spacing w:val="1"/>
                <w:sz w:val="24"/>
                <w:szCs w:val="24"/>
                <w:lang w:eastAsia="zh-CN"/>
              </w:rPr>
              <w:t>。</w:t>
            </w:r>
          </w:p>
          <w:p>
            <w:pPr>
              <w:pStyle w:val="22"/>
              <w:kinsoku/>
              <w:spacing w:before="34" w:line="219" w:lineRule="auto"/>
              <w:ind w:left="600"/>
              <w:rPr>
                <w:rFonts w:ascii="Times New Roman" w:hAnsi="Times New Roman" w:cs="Times New Roman"/>
                <w:b/>
                <w:bCs/>
                <w:color w:val="auto"/>
                <w:lang w:eastAsia="zh-CN"/>
              </w:rPr>
            </w:pPr>
            <w:r>
              <w:rPr>
                <w:rFonts w:hint="eastAsia" w:ascii="Times New Roman" w:hAnsi="Times New Roman" w:cs="Times New Roman"/>
                <w:b/>
                <w:bCs/>
                <w:color w:val="auto"/>
                <w:spacing w:val="-2"/>
                <w:lang w:eastAsia="zh-CN"/>
              </w:rPr>
              <w:t>4</w:t>
            </w:r>
            <w:r>
              <w:rPr>
                <w:rFonts w:ascii="Times New Roman" w:hAnsi="Times New Roman" w:cs="Times New Roman"/>
                <w:b/>
                <w:bCs/>
                <w:color w:val="auto"/>
                <w:spacing w:val="-2"/>
                <w:lang w:eastAsia="zh-CN"/>
              </w:rPr>
              <w:t>、</w:t>
            </w:r>
            <w:r>
              <w:rPr>
                <w:rFonts w:hint="eastAsia" w:ascii="Times New Roman" w:hAnsi="Times New Roman" w:cs="Times New Roman"/>
                <w:b/>
                <w:bCs/>
                <w:color w:val="auto"/>
                <w:spacing w:val="-2"/>
                <w:lang w:eastAsia="zh-CN"/>
              </w:rPr>
              <w:t>施工</w:t>
            </w:r>
            <w:r>
              <w:rPr>
                <w:rFonts w:ascii="Times New Roman" w:hAnsi="Times New Roman" w:cs="Times New Roman"/>
                <w:b/>
                <w:bCs/>
                <w:color w:val="auto"/>
                <w:spacing w:val="-2"/>
                <w:lang w:eastAsia="zh-CN"/>
              </w:rPr>
              <w:t>焊接烟尘</w:t>
            </w:r>
            <w:r>
              <w:rPr>
                <w:rFonts w:hint="eastAsia" w:ascii="Times New Roman" w:hAnsi="Times New Roman" w:cs="Times New Roman"/>
                <w:b/>
                <w:bCs/>
                <w:color w:val="auto"/>
                <w:spacing w:val="-2"/>
                <w:lang w:eastAsia="zh-CN"/>
              </w:rPr>
              <w:t>污染防治措施</w:t>
            </w:r>
          </w:p>
          <w:p>
            <w:pPr>
              <w:pStyle w:val="22"/>
              <w:kinsoku/>
              <w:spacing w:before="184" w:line="350" w:lineRule="auto"/>
              <w:ind w:left="108" w:right="102" w:firstLine="483"/>
              <w:jc w:val="both"/>
              <w:rPr>
                <w:rFonts w:ascii="Times New Roman" w:hAnsi="Times New Roman" w:cs="Times New Roman"/>
                <w:color w:val="auto"/>
                <w:lang w:eastAsia="zh-CN"/>
              </w:rPr>
            </w:pPr>
            <w:r>
              <w:rPr>
                <w:rFonts w:ascii="Times New Roman" w:hAnsi="Times New Roman" w:cs="Times New Roman"/>
                <w:color w:val="auto"/>
                <w:spacing w:val="1"/>
                <w:lang w:eastAsia="zh-CN"/>
              </w:rPr>
              <w:t>项目在设备安装过程中使用电焊机等设备，</w:t>
            </w:r>
            <w:r>
              <w:rPr>
                <w:rFonts w:hint="eastAsia" w:ascii="Times New Roman" w:hAnsi="Times New Roman" w:cs="Times New Roman"/>
                <w:color w:val="auto"/>
                <w:spacing w:val="1"/>
                <w:lang w:eastAsia="zh-CN"/>
              </w:rPr>
              <w:t>在</w:t>
            </w:r>
            <w:r>
              <w:rPr>
                <w:rFonts w:ascii="Times New Roman" w:hAnsi="Times New Roman" w:cs="Times New Roman"/>
                <w:color w:val="auto"/>
                <w:spacing w:val="1"/>
                <w:lang w:eastAsia="zh-CN"/>
              </w:rPr>
              <w:t>设备使用过程中，会产生一定的焊接废气。焊接废气属无组织排放，产生量较小，其主要污染物为烟尘。对周围</w:t>
            </w:r>
            <w:r>
              <w:rPr>
                <w:rFonts w:ascii="Times New Roman" w:hAnsi="Times New Roman" w:cs="Times New Roman"/>
                <w:color w:val="auto"/>
                <w:spacing w:val="-1"/>
                <w:lang w:eastAsia="zh-CN"/>
              </w:rPr>
              <w:t>环境产生的影响较小。</w:t>
            </w:r>
          </w:p>
          <w:p>
            <w:pPr>
              <w:pStyle w:val="22"/>
              <w:kinsoku/>
              <w:spacing w:before="36" w:line="219" w:lineRule="auto"/>
              <w:ind w:left="589"/>
              <w:rPr>
                <w:rFonts w:ascii="Times New Roman" w:hAnsi="Times New Roman" w:cs="Times New Roman"/>
                <w:color w:val="auto"/>
                <w:lang w:eastAsia="zh-CN"/>
              </w:rPr>
            </w:pPr>
            <w:r>
              <w:rPr>
                <w:rFonts w:ascii="Times New Roman" w:hAnsi="Times New Roman" w:cs="Times New Roman"/>
                <w:b/>
                <w:bCs/>
                <w:color w:val="auto"/>
                <w:spacing w:val="-5"/>
                <w:lang w:eastAsia="zh-CN"/>
              </w:rPr>
              <w:t>二、施工期废水</w:t>
            </w:r>
            <w:r>
              <w:rPr>
                <w:rFonts w:hint="eastAsia" w:ascii="Times New Roman" w:hAnsi="Times New Roman" w:cs="Times New Roman"/>
                <w:b/>
                <w:bCs/>
                <w:color w:val="auto"/>
                <w:spacing w:val="-2"/>
                <w:lang w:eastAsia="zh-CN"/>
              </w:rPr>
              <w:t>污染防治措施</w:t>
            </w:r>
          </w:p>
          <w:p>
            <w:pPr>
              <w:pStyle w:val="22"/>
              <w:kinsoku/>
              <w:spacing w:before="182" w:line="333" w:lineRule="auto"/>
              <w:ind w:left="107" w:right="102" w:firstLine="480"/>
              <w:jc w:val="both"/>
              <w:rPr>
                <w:rFonts w:ascii="Times New Roman" w:hAnsi="Times New Roman" w:cs="Times New Roman"/>
                <w:color w:val="auto"/>
                <w:lang w:eastAsia="zh-CN"/>
              </w:rPr>
            </w:pPr>
            <w:r>
              <w:rPr>
                <w:rFonts w:ascii="Times New Roman" w:hAnsi="Times New Roman" w:cs="Times New Roman"/>
                <w:color w:val="auto"/>
                <w:spacing w:val="3"/>
                <w:lang w:eastAsia="zh-CN"/>
              </w:rPr>
              <w:t>项目施工期主要为设备安装，无施工废水产生；</w:t>
            </w:r>
            <w:r>
              <w:rPr>
                <w:rFonts w:ascii="Times New Roman" w:hAnsi="Times New Roman" w:cs="Times New Roman"/>
                <w:color w:val="auto"/>
                <w:lang w:eastAsia="zh-CN"/>
              </w:rPr>
              <w:t>施工人员不在项目区食宿，主要为清洗废水，</w:t>
            </w:r>
            <w:bookmarkStart w:id="28" w:name="_Hlk203584505"/>
            <w:r>
              <w:rPr>
                <w:rFonts w:ascii="Times New Roman" w:hAnsi="Times New Roman" w:cs="Times New Roman"/>
                <w:color w:val="auto"/>
                <w:lang w:eastAsia="zh-CN"/>
              </w:rPr>
              <w:t>依托现有化粪池处理后进入污水管网，最终进入嵩明县第二污水处理厂处理</w:t>
            </w:r>
            <w:bookmarkEnd w:id="28"/>
            <w:r>
              <w:rPr>
                <w:rFonts w:ascii="Times New Roman" w:hAnsi="Times New Roman" w:cs="Times New Roman"/>
                <w:color w:val="auto"/>
                <w:spacing w:val="-1"/>
                <w:lang w:eastAsia="zh-CN"/>
              </w:rPr>
              <w:t>。</w:t>
            </w:r>
          </w:p>
          <w:p>
            <w:pPr>
              <w:pStyle w:val="22"/>
              <w:kinsoku/>
              <w:spacing w:before="101" w:line="360" w:lineRule="auto"/>
              <w:ind w:left="589"/>
              <w:rPr>
                <w:rFonts w:ascii="Times New Roman" w:hAnsi="Times New Roman" w:cs="Times New Roman"/>
                <w:color w:val="auto"/>
                <w:lang w:eastAsia="zh-CN"/>
              </w:rPr>
            </w:pPr>
            <w:r>
              <w:rPr>
                <w:rFonts w:ascii="Times New Roman" w:hAnsi="Times New Roman" w:cs="Times New Roman"/>
                <w:b/>
                <w:bCs/>
                <w:color w:val="auto"/>
                <w:spacing w:val="-5"/>
                <w:lang w:eastAsia="zh-CN"/>
              </w:rPr>
              <w:t>三、施工期噪声</w:t>
            </w:r>
            <w:r>
              <w:rPr>
                <w:rFonts w:hint="eastAsia" w:ascii="Times New Roman" w:hAnsi="Times New Roman" w:cs="Times New Roman"/>
                <w:b/>
                <w:bCs/>
                <w:color w:val="auto"/>
                <w:spacing w:val="-2"/>
                <w:lang w:eastAsia="zh-CN"/>
              </w:rPr>
              <w:t>污染防治措施</w:t>
            </w:r>
          </w:p>
          <w:p>
            <w:pPr>
              <w:pStyle w:val="22"/>
              <w:kinsoku/>
              <w:spacing w:before="41" w:line="360" w:lineRule="auto"/>
              <w:ind w:left="109" w:right="101" w:firstLine="480" w:firstLineChars="200"/>
              <w:rPr>
                <w:rFonts w:ascii="Times New Roman" w:hAnsi="Times New Roman" w:cs="Times New Roman"/>
                <w:color w:val="auto"/>
                <w:lang w:eastAsia="zh-CN"/>
              </w:rPr>
            </w:pPr>
            <w:r>
              <w:rPr>
                <w:rFonts w:ascii="Times New Roman" w:hAnsi="Times New Roman" w:cs="Times New Roman"/>
                <w:bCs/>
                <w:color w:val="auto"/>
                <w:lang w:eastAsia="zh-CN"/>
              </w:rPr>
              <w:t>项目施工噪声主要来源于</w:t>
            </w:r>
            <w:r>
              <w:rPr>
                <w:rFonts w:hint="eastAsia" w:ascii="Times New Roman" w:hAnsi="Times New Roman" w:cs="Times New Roman"/>
                <w:bCs/>
                <w:color w:val="auto"/>
                <w:lang w:eastAsia="zh-CN"/>
              </w:rPr>
              <w:t>车辆运输、</w:t>
            </w:r>
            <w:r>
              <w:rPr>
                <w:rFonts w:ascii="Times New Roman" w:hAnsi="Times New Roman" w:cs="Times New Roman"/>
                <w:bCs/>
                <w:color w:val="auto"/>
                <w:lang w:eastAsia="zh-CN"/>
              </w:rPr>
              <w:t>施工焊接及安装，噪声源强一般在85~95dB（A）之间，其特点为随机性、不连续性和不规律性。项目夜间不施工，</w:t>
            </w:r>
            <w:r>
              <w:rPr>
                <w:rFonts w:hint="eastAsia" w:ascii="仿宋_GB2312" w:hAnsi="仿宋_GB2312" w:cs="仿宋_GB2312"/>
                <w:color w:val="auto"/>
                <w:szCs w:val="32"/>
                <w:lang w:eastAsia="zh-CN"/>
              </w:rPr>
              <w:t>施工期采取低噪声机械设备、合理安排施工时间、合理安排运输路线和运输时间、限制车辆车速、加强施工管理等措施。</w:t>
            </w:r>
            <w:r>
              <w:rPr>
                <w:rFonts w:ascii="Times New Roman" w:hAnsi="Times New Roman" w:cs="Times New Roman"/>
                <w:bCs/>
                <w:color w:val="auto"/>
                <w:lang w:eastAsia="zh-CN"/>
              </w:rPr>
              <w:t>施工场界可</w:t>
            </w:r>
            <w:r>
              <w:rPr>
                <w:rFonts w:hint="eastAsia" w:ascii="Times New Roman" w:hAnsi="Times New Roman" w:cs="Times New Roman"/>
                <w:bCs/>
                <w:color w:val="auto"/>
                <w:lang w:eastAsia="zh-CN"/>
              </w:rPr>
              <w:t>满足</w:t>
            </w:r>
            <w:r>
              <w:rPr>
                <w:rFonts w:ascii="Times New Roman" w:hAnsi="Times New Roman" w:cs="Times New Roman"/>
                <w:bCs/>
                <w:color w:val="auto"/>
                <w:lang w:eastAsia="zh-CN"/>
              </w:rPr>
              <w:t>《建筑施工场界噪声排放标准》（GB12523-2011），即昼间&lt;70dB(A)的限值要求。施工噪声对于区域噪声环境质量的影响是短暂的，其噪声影响随着施工期的结束而结束</w:t>
            </w:r>
            <w:r>
              <w:rPr>
                <w:rFonts w:ascii="Times New Roman" w:hAnsi="Times New Roman" w:cs="Times New Roman"/>
                <w:color w:val="auto"/>
                <w:spacing w:val="-1"/>
                <w:lang w:eastAsia="zh-CN"/>
              </w:rPr>
              <w:t>。</w:t>
            </w:r>
          </w:p>
          <w:p>
            <w:pPr>
              <w:pStyle w:val="22"/>
              <w:kinsoku/>
              <w:spacing w:before="34" w:line="220" w:lineRule="auto"/>
              <w:ind w:left="585"/>
              <w:rPr>
                <w:rFonts w:ascii="Times New Roman" w:hAnsi="Times New Roman" w:cs="Times New Roman"/>
                <w:color w:val="auto"/>
                <w:lang w:eastAsia="zh-CN"/>
              </w:rPr>
            </w:pPr>
            <w:r>
              <w:rPr>
                <w:rFonts w:ascii="Times New Roman" w:hAnsi="Times New Roman" w:cs="Times New Roman"/>
                <w:b/>
                <w:bCs/>
                <w:color w:val="auto"/>
                <w:spacing w:val="-5"/>
                <w:lang w:eastAsia="zh-CN"/>
              </w:rPr>
              <w:t>四、施工期固废</w:t>
            </w:r>
            <w:r>
              <w:rPr>
                <w:rFonts w:hint="eastAsia" w:ascii="Times New Roman" w:hAnsi="Times New Roman" w:cs="Times New Roman"/>
                <w:b/>
                <w:bCs/>
                <w:color w:val="auto"/>
                <w:spacing w:val="-5"/>
                <w:lang w:eastAsia="zh-CN"/>
              </w:rPr>
              <w:t>污染防治措施</w:t>
            </w:r>
          </w:p>
          <w:p>
            <w:pPr>
              <w:pStyle w:val="22"/>
              <w:kinsoku/>
              <w:spacing w:before="48" w:line="347" w:lineRule="auto"/>
              <w:ind w:left="107" w:right="101" w:firstLine="483"/>
              <w:rPr>
                <w:rFonts w:hint="eastAsia"/>
                <w:color w:val="auto"/>
                <w:lang w:eastAsia="zh-CN"/>
              </w:rPr>
            </w:pPr>
            <w:r>
              <w:rPr>
                <w:rFonts w:ascii="Times New Roman" w:hAnsi="Times New Roman" w:cs="Times New Roman"/>
                <w:bCs/>
                <w:color w:val="auto"/>
                <w:lang w:eastAsia="zh-CN"/>
              </w:rPr>
              <w:t>项目施工期</w:t>
            </w:r>
            <w:r>
              <w:rPr>
                <w:rFonts w:hint="eastAsia" w:ascii="Times New Roman" w:hAnsi="Times New Roman" w:cs="Times New Roman"/>
                <w:bCs/>
                <w:color w:val="auto"/>
                <w:lang w:eastAsia="zh-CN"/>
              </w:rPr>
              <w:t>主要内容为设备安装、危废暂存间、一般固废间隔断等</w:t>
            </w:r>
            <w:r>
              <w:rPr>
                <w:rFonts w:ascii="Times New Roman" w:hAnsi="Times New Roman" w:cs="Times New Roman"/>
                <w:bCs/>
                <w:color w:val="auto"/>
                <w:lang w:eastAsia="zh-CN"/>
              </w:rPr>
              <w:t>，</w:t>
            </w:r>
            <w:bookmarkStart w:id="53" w:name="_GoBack"/>
            <w:r>
              <w:rPr>
                <w:rFonts w:ascii="Times New Roman" w:hAnsi="Times New Roman" w:cs="Times New Roman"/>
                <w:bCs/>
                <w:color w:val="auto"/>
                <w:lang w:eastAsia="zh-CN"/>
              </w:rPr>
              <w:t>项目施工期建筑垃圾拟分类收集，能回用的优先回收利用，不可回收利用的则运至</w:t>
            </w:r>
            <w:bookmarkStart w:id="29" w:name="_Hlk203584575"/>
            <w:r>
              <w:rPr>
                <w:rFonts w:ascii="Times New Roman" w:hAnsi="Times New Roman" w:cs="Times New Roman"/>
                <w:bCs/>
                <w:color w:val="auto"/>
                <w:lang w:eastAsia="zh-CN"/>
              </w:rPr>
              <w:t>住建部门指定地点处置</w:t>
            </w:r>
            <w:bookmarkEnd w:id="29"/>
            <w:r>
              <w:rPr>
                <w:rFonts w:ascii="Times New Roman" w:hAnsi="Times New Roman" w:cs="Times New Roman"/>
                <w:bCs/>
                <w:color w:val="auto"/>
                <w:lang w:eastAsia="zh-CN"/>
              </w:rPr>
              <w:t>，禁止随意丢弃；施工期生活垃圾委托环卫部门清运处置。</w:t>
            </w:r>
            <w:bookmarkEnd w:id="53"/>
            <w:r>
              <w:rPr>
                <w:rFonts w:ascii="Times New Roman" w:hAnsi="Times New Roman" w:cs="Times New Roman"/>
                <w:bCs/>
                <w:color w:val="auto"/>
                <w:lang w:eastAsia="zh-CN"/>
              </w:rPr>
              <w:t>项目施工过程中产生的各类固度均可得到合理处置，处置率100%，对环境影响较小。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0" w:hRule="atLeast"/>
        </w:trPr>
        <w:tc>
          <w:tcPr>
            <w:tcW w:w="373" w:type="dxa"/>
          </w:tcPr>
          <w:p>
            <w:pPr>
              <w:pStyle w:val="22"/>
              <w:kinsoku/>
              <w:spacing w:line="206" w:lineRule="auto"/>
              <w:ind w:left="4473"/>
              <w:rPr>
                <w:rFonts w:hint="eastAsia"/>
                <w:color w:val="auto"/>
                <w:lang w:eastAsia="zh-CN"/>
              </w:rPr>
            </w:pPr>
          </w:p>
        </w:tc>
        <w:tc>
          <w:tcPr>
            <w:tcW w:w="8836" w:type="dxa"/>
            <w:vMerge w:val="continue"/>
            <w:tcBorders>
              <w:left w:val="single" w:color="000000" w:sz="2" w:space="0"/>
            </w:tcBorders>
            <w:shd w:val="clear" w:color="auto" w:fill="auto"/>
          </w:tcPr>
          <w:p>
            <w:pPr>
              <w:pStyle w:val="22"/>
              <w:kinsoku/>
              <w:spacing w:before="48" w:line="347" w:lineRule="auto"/>
              <w:ind w:left="107" w:right="101" w:firstLine="483"/>
              <w:rPr>
                <w:rFonts w:hint="eastAsia"/>
                <w:color w:val="auto"/>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373" w:type="dxa"/>
            <w:vAlign w:val="center"/>
          </w:tcPr>
          <w:p>
            <w:pPr>
              <w:kinsoku/>
              <w:jc w:val="center"/>
              <w:rPr>
                <w:color w:val="auto"/>
              </w:rPr>
            </w:pPr>
            <w:r>
              <w:rPr>
                <w:color w:val="auto"/>
              </w:rPr>
              <w:t>运营期环境保护措施</w:t>
            </w:r>
          </w:p>
        </w:tc>
        <w:tc>
          <w:tcPr>
            <w:tcW w:w="8836" w:type="dxa"/>
            <w:shd w:val="clear" w:color="auto" w:fill="auto"/>
          </w:tcPr>
          <w:p>
            <w:pPr>
              <w:numPr>
                <w:ilvl w:val="0"/>
                <w:numId w:val="5"/>
              </w:numPr>
              <w:kinsoku/>
              <w:spacing w:line="360" w:lineRule="auto"/>
              <w:ind w:firstLine="420" w:firstLineChars="18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废气</w:t>
            </w:r>
          </w:p>
          <w:p>
            <w:pPr>
              <w:kinsoku/>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项目生产过程中机加工（</w:t>
            </w:r>
            <w:r>
              <w:rPr>
                <w:rFonts w:hint="eastAsia" w:ascii="Times New Roman" w:hAnsi="Times New Roman" w:eastAsia="宋体" w:cs="Times New Roman"/>
                <w:color w:val="auto"/>
                <w:sz w:val="24"/>
                <w:szCs w:val="24"/>
                <w:lang w:val="en-US" w:eastAsia="zh-CN"/>
              </w:rPr>
              <w:t>雕刻</w:t>
            </w:r>
            <w:r>
              <w:rPr>
                <w:rFonts w:hint="eastAsia" w:ascii="Times New Roman" w:hAnsi="Times New Roman" w:eastAsia="宋体" w:cs="Times New Roman"/>
                <w:color w:val="auto"/>
                <w:sz w:val="24"/>
                <w:szCs w:val="24"/>
                <w:lang w:eastAsia="zh-CN"/>
              </w:rPr>
              <w:t>、打孔、清理）、封边等工序，</w:t>
            </w:r>
            <w:r>
              <w:rPr>
                <w:rFonts w:ascii="Times New Roman" w:hAnsi="Times New Roman" w:eastAsia="宋体" w:cs="Times New Roman"/>
                <w:color w:val="auto"/>
                <w:sz w:val="24"/>
                <w:szCs w:val="24"/>
                <w:lang w:eastAsia="zh-CN"/>
              </w:rPr>
              <w:t>项目运营期产生的大气污染物主要为生产过程中产生的</w:t>
            </w:r>
            <w:bookmarkStart w:id="30" w:name="_Hlk203584618"/>
            <w:r>
              <w:rPr>
                <w:rFonts w:hint="eastAsia" w:ascii="Times New Roman" w:hAnsi="Times New Roman" w:eastAsia="宋体" w:cs="Times New Roman"/>
                <w:color w:val="auto"/>
                <w:sz w:val="24"/>
                <w:szCs w:val="24"/>
                <w:lang w:eastAsia="zh-CN"/>
              </w:rPr>
              <w:t>机加工（</w:t>
            </w:r>
            <w:r>
              <w:rPr>
                <w:rFonts w:hint="eastAsia" w:ascii="Times New Roman" w:hAnsi="Times New Roman" w:eastAsia="宋体" w:cs="Times New Roman"/>
                <w:color w:val="auto"/>
                <w:sz w:val="24"/>
                <w:szCs w:val="24"/>
                <w:lang w:val="en-US" w:eastAsia="zh-CN"/>
              </w:rPr>
              <w:t>雕刻</w:t>
            </w:r>
            <w:r>
              <w:rPr>
                <w:rFonts w:hint="eastAsia" w:ascii="Times New Roman" w:hAnsi="Times New Roman" w:eastAsia="宋体" w:cs="Times New Roman"/>
                <w:color w:val="auto"/>
                <w:sz w:val="24"/>
                <w:szCs w:val="24"/>
                <w:lang w:eastAsia="zh-CN"/>
              </w:rPr>
              <w:t>、打孔、清理）</w:t>
            </w:r>
            <w:r>
              <w:rPr>
                <w:rFonts w:ascii="Times New Roman" w:hAnsi="Times New Roman" w:eastAsia="宋体" w:cs="Times New Roman"/>
                <w:color w:val="auto"/>
                <w:sz w:val="24"/>
                <w:szCs w:val="24"/>
                <w:lang w:eastAsia="zh-CN"/>
              </w:rPr>
              <w:t>粉尘</w:t>
            </w:r>
            <w:r>
              <w:rPr>
                <w:rFonts w:hint="eastAsia" w:ascii="Times New Roman" w:hAnsi="Times New Roman" w:eastAsia="宋体" w:cs="Times New Roman"/>
                <w:color w:val="auto"/>
                <w:sz w:val="24"/>
                <w:szCs w:val="24"/>
                <w:lang w:eastAsia="zh-CN"/>
              </w:rPr>
              <w:t>及封边产生挥发性有机废气(以非甲烷总烃计)</w:t>
            </w:r>
            <w:bookmarkEnd w:id="30"/>
            <w:r>
              <w:rPr>
                <w:rFonts w:ascii="Times New Roman" w:hAnsi="Times New Roman" w:eastAsia="宋体" w:cs="Times New Roman"/>
                <w:color w:val="auto"/>
                <w:sz w:val="24"/>
                <w:szCs w:val="24"/>
                <w:lang w:eastAsia="zh-CN"/>
              </w:rPr>
              <w:t>等</w:t>
            </w:r>
            <w:r>
              <w:rPr>
                <w:rFonts w:hint="eastAsia" w:ascii="Times New Roman" w:hAnsi="Times New Roman" w:eastAsia="宋体" w:cs="Times New Roman"/>
                <w:color w:val="auto"/>
                <w:sz w:val="24"/>
                <w:szCs w:val="24"/>
                <w:lang w:eastAsia="zh-CN"/>
              </w:rPr>
              <w:t>。废气污染物产排情况见表4-1。</w:t>
            </w:r>
          </w:p>
          <w:p>
            <w:pPr>
              <w:kinsoku/>
              <w:spacing w:line="360" w:lineRule="auto"/>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表4-1 项目废气污染物产排情况表</w:t>
            </w:r>
          </w:p>
          <w:tbl>
            <w:tblPr>
              <w:tblStyle w:val="17"/>
              <w:tblW w:w="8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543"/>
              <w:gridCol w:w="618"/>
              <w:gridCol w:w="594"/>
              <w:gridCol w:w="711"/>
              <w:gridCol w:w="507"/>
              <w:gridCol w:w="581"/>
              <w:gridCol w:w="410"/>
              <w:gridCol w:w="538"/>
              <w:gridCol w:w="617"/>
              <w:gridCol w:w="466"/>
              <w:gridCol w:w="500"/>
              <w:gridCol w:w="964"/>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restart"/>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产污位置</w:t>
                  </w:r>
                </w:p>
              </w:tc>
              <w:tc>
                <w:tcPr>
                  <w:tcW w:w="543" w:type="dxa"/>
                  <w:vMerge w:val="restart"/>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污染物产生量</w:t>
                  </w:r>
                  <w:r>
                    <w:rPr>
                      <w:rFonts w:ascii="Times New Roman" w:hAnsi="Times New Roman" w:eastAsia="宋体" w:cs="Times New Roman"/>
                      <w:b/>
                      <w:bCs/>
                      <w:color w:val="auto"/>
                      <w:lang w:eastAsia="zh-CN"/>
                    </w:rPr>
                    <w:t>t/a</w:t>
                  </w:r>
                </w:p>
              </w:tc>
              <w:tc>
                <w:tcPr>
                  <w:tcW w:w="618" w:type="dxa"/>
                  <w:vMerge w:val="restart"/>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机器管道收集率</w:t>
                  </w:r>
                </w:p>
              </w:tc>
              <w:tc>
                <w:tcPr>
                  <w:tcW w:w="2803" w:type="dxa"/>
                  <w:gridSpan w:val="5"/>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有组织颗粒物</w:t>
                  </w:r>
                </w:p>
              </w:tc>
              <w:tc>
                <w:tcPr>
                  <w:tcW w:w="2121" w:type="dxa"/>
                  <w:gridSpan w:val="4"/>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无组织颗粒物</w:t>
                  </w:r>
                </w:p>
              </w:tc>
              <w:tc>
                <w:tcPr>
                  <w:tcW w:w="2230" w:type="dxa"/>
                  <w:gridSpan w:val="2"/>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continue"/>
                  <w:vAlign w:val="center"/>
                </w:tcPr>
                <w:p>
                  <w:pPr>
                    <w:widowControl w:val="0"/>
                    <w:kinsoku/>
                    <w:adjustRightInd/>
                    <w:snapToGrid/>
                    <w:jc w:val="center"/>
                    <w:textAlignment w:val="auto"/>
                    <w:rPr>
                      <w:rFonts w:ascii="Times New Roman" w:hAnsi="Times New Roman" w:eastAsia="宋体" w:cs="Times New Roman"/>
                      <w:b/>
                      <w:bCs/>
                      <w:color w:val="auto"/>
                      <w:lang w:eastAsia="zh-CN"/>
                    </w:rPr>
                  </w:pPr>
                </w:p>
              </w:tc>
              <w:tc>
                <w:tcPr>
                  <w:tcW w:w="543" w:type="dxa"/>
                  <w:vMerge w:val="continue"/>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p>
              </w:tc>
              <w:tc>
                <w:tcPr>
                  <w:tcW w:w="618" w:type="dxa"/>
                  <w:vMerge w:val="continue"/>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p>
              </w:tc>
              <w:tc>
                <w:tcPr>
                  <w:tcW w:w="594" w:type="dxa"/>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产生量t/a</w:t>
                  </w:r>
                </w:p>
              </w:tc>
              <w:tc>
                <w:tcPr>
                  <w:tcW w:w="711" w:type="dxa"/>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处理措施</w:t>
                  </w:r>
                </w:p>
              </w:tc>
              <w:tc>
                <w:tcPr>
                  <w:tcW w:w="507" w:type="dxa"/>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处理效率</w:t>
                  </w:r>
                </w:p>
              </w:tc>
              <w:tc>
                <w:tcPr>
                  <w:tcW w:w="581" w:type="dxa"/>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排放量t/a</w:t>
                  </w:r>
                </w:p>
              </w:tc>
              <w:tc>
                <w:tcPr>
                  <w:tcW w:w="410" w:type="dxa"/>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去向</w:t>
                  </w:r>
                </w:p>
              </w:tc>
              <w:tc>
                <w:tcPr>
                  <w:tcW w:w="538"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产生量t/a</w:t>
                  </w:r>
                </w:p>
              </w:tc>
              <w:tc>
                <w:tcPr>
                  <w:tcW w:w="617"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处理措施</w:t>
                  </w:r>
                </w:p>
              </w:tc>
              <w:tc>
                <w:tcPr>
                  <w:tcW w:w="466"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排放量t/a</w:t>
                  </w:r>
                </w:p>
              </w:tc>
              <w:tc>
                <w:tcPr>
                  <w:tcW w:w="500"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去向</w:t>
                  </w:r>
                </w:p>
              </w:tc>
              <w:tc>
                <w:tcPr>
                  <w:tcW w:w="964"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标准名称</w:t>
                  </w:r>
                </w:p>
              </w:tc>
              <w:tc>
                <w:tcPr>
                  <w:tcW w:w="1266" w:type="dxa"/>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378"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机加工</w:t>
                  </w:r>
                </w:p>
              </w:tc>
              <w:tc>
                <w:tcPr>
                  <w:tcW w:w="543"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0.255</w:t>
                  </w:r>
                </w:p>
              </w:tc>
              <w:tc>
                <w:tcPr>
                  <w:tcW w:w="618"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594"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0.229</w:t>
                  </w:r>
                  <w:r>
                    <w:rPr>
                      <w:rFonts w:hint="eastAsia" w:ascii="Times New Roman" w:hAnsi="Times New Roman" w:eastAsia="宋体" w:cs="Times New Roman"/>
                      <w:color w:val="auto"/>
                      <w:lang w:eastAsia="zh-CN"/>
                    </w:rPr>
                    <w:t>5</w:t>
                  </w:r>
                </w:p>
              </w:tc>
              <w:tc>
                <w:tcPr>
                  <w:tcW w:w="711"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snapToGrid/>
                      <w:color w:val="auto"/>
                      <w:kern w:val="2"/>
                      <w:lang w:eastAsia="zh-CN"/>
                    </w:rPr>
                    <w:t>中央除尘系统</w:t>
                  </w:r>
                </w:p>
              </w:tc>
              <w:tc>
                <w:tcPr>
                  <w:tcW w:w="507"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90%</w:t>
                  </w:r>
                </w:p>
              </w:tc>
              <w:tc>
                <w:tcPr>
                  <w:tcW w:w="581"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0.0229</w:t>
                  </w:r>
                </w:p>
              </w:tc>
              <w:tc>
                <w:tcPr>
                  <w:tcW w:w="410"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大气环境</w:t>
                  </w:r>
                </w:p>
              </w:tc>
              <w:tc>
                <w:tcPr>
                  <w:tcW w:w="538"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0.025</w:t>
                  </w:r>
                  <w:r>
                    <w:rPr>
                      <w:rFonts w:hint="eastAsia" w:ascii="Times New Roman" w:hAnsi="Times New Roman" w:eastAsia="宋体" w:cs="Times New Roman"/>
                      <w:color w:val="auto"/>
                      <w:lang w:eastAsia="zh-CN"/>
                    </w:rPr>
                    <w:t>5</w:t>
                  </w:r>
                </w:p>
              </w:tc>
              <w:tc>
                <w:tcPr>
                  <w:tcW w:w="617"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snapToGrid/>
                      <w:color w:val="auto"/>
                      <w:kern w:val="2"/>
                      <w:lang w:eastAsia="zh-CN"/>
                    </w:rPr>
                    <w:t>加强车间通风换气</w:t>
                  </w:r>
                </w:p>
              </w:tc>
              <w:tc>
                <w:tcPr>
                  <w:tcW w:w="466"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0.025</w:t>
                  </w:r>
                  <w:r>
                    <w:rPr>
                      <w:rFonts w:hint="eastAsia" w:ascii="Times New Roman" w:hAnsi="Times New Roman" w:eastAsia="宋体" w:cs="Times New Roman"/>
                      <w:color w:val="auto"/>
                      <w:lang w:eastAsia="zh-CN"/>
                    </w:rPr>
                    <w:t>5</w:t>
                  </w:r>
                </w:p>
              </w:tc>
              <w:tc>
                <w:tcPr>
                  <w:tcW w:w="500"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大气环境</w:t>
                  </w:r>
                </w:p>
              </w:tc>
              <w:tc>
                <w:tcPr>
                  <w:tcW w:w="964"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《大气污染物综合排放标准》（GB16297-1996）</w:t>
                  </w:r>
                </w:p>
              </w:tc>
              <w:tc>
                <w:tcPr>
                  <w:tcW w:w="1266"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有组织</w:t>
                  </w:r>
                  <w:r>
                    <w:rPr>
                      <w:rFonts w:ascii="Times New Roman" w:hAnsi="Times New Roman" w:eastAsia="宋体" w:cs="Times New Roman"/>
                      <w:color w:val="auto"/>
                      <w:lang w:eastAsia="zh-CN"/>
                    </w:rPr>
                    <w:t>颗粒物：120mg/m</w:t>
                  </w:r>
                  <w:r>
                    <w:rPr>
                      <w:rFonts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，排放速率1.75kg/h；无组织颗粒物：1.0mg/m</w:t>
                  </w:r>
                  <w:r>
                    <w:rPr>
                      <w:rFonts w:hint="eastAsia" w:ascii="Times New Roman" w:hAnsi="Times New Roman" w:eastAsia="宋体" w:cs="Times New Roman"/>
                      <w:color w:val="auto"/>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restart"/>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snapToGrid/>
                      <w:color w:val="auto"/>
                      <w:kern w:val="2"/>
                      <w:lang w:eastAsia="zh-CN"/>
                    </w:rPr>
                    <w:t>封边</w:t>
                  </w:r>
                </w:p>
              </w:tc>
              <w:tc>
                <w:tcPr>
                  <w:tcW w:w="543" w:type="dxa"/>
                  <w:shd w:val="clear" w:color="auto" w:fill="auto"/>
                  <w:vAlign w:val="center"/>
                </w:tcPr>
                <w:p>
                  <w:pPr>
                    <w:widowControl w:val="0"/>
                    <w:kinsoku/>
                    <w:adjustRightInd/>
                    <w:snapToGrid/>
                    <w:jc w:val="center"/>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b/>
                      <w:bCs/>
                      <w:color w:val="auto"/>
                      <w:lang w:eastAsia="zh-CN"/>
                    </w:rPr>
                    <w:t>污染物产生量</w:t>
                  </w:r>
                  <w:r>
                    <w:rPr>
                      <w:rFonts w:ascii="Times New Roman" w:hAnsi="Times New Roman" w:eastAsia="宋体" w:cs="Times New Roman"/>
                      <w:b/>
                      <w:bCs/>
                      <w:color w:val="auto"/>
                      <w:lang w:eastAsia="zh-CN"/>
                    </w:rPr>
                    <w:t>t/a</w:t>
                  </w:r>
                </w:p>
              </w:tc>
              <w:tc>
                <w:tcPr>
                  <w:tcW w:w="618" w:type="dxa"/>
                  <w:shd w:val="clear" w:color="auto" w:fill="auto"/>
                  <w:vAlign w:val="center"/>
                </w:tcPr>
                <w:p>
                  <w:pPr>
                    <w:widowControl w:val="0"/>
                    <w:kinsoku/>
                    <w:adjustRightInd/>
                    <w:snapToGrid/>
                    <w:jc w:val="center"/>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b/>
                      <w:bCs/>
                      <w:color w:val="auto"/>
                      <w:lang w:eastAsia="zh-CN"/>
                    </w:rPr>
                    <w:t>机器管道收集率</w:t>
                  </w:r>
                </w:p>
              </w:tc>
              <w:tc>
                <w:tcPr>
                  <w:tcW w:w="2803" w:type="dxa"/>
                  <w:gridSpan w:val="5"/>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有组织挥发性有机物（以非甲烷总烃计）</w:t>
                  </w:r>
                </w:p>
              </w:tc>
              <w:tc>
                <w:tcPr>
                  <w:tcW w:w="2121" w:type="dxa"/>
                  <w:gridSpan w:val="4"/>
                  <w:shd w:val="clear" w:color="auto" w:fill="auto"/>
                  <w:vAlign w:val="center"/>
                </w:tcPr>
                <w:p>
                  <w:pPr>
                    <w:widowControl w:val="0"/>
                    <w:kinsoku/>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无组织挥发性有机物（以非甲烷总烃计）</w:t>
                  </w:r>
                </w:p>
              </w:tc>
              <w:tc>
                <w:tcPr>
                  <w:tcW w:w="964"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标准名称</w:t>
                  </w:r>
                </w:p>
              </w:tc>
              <w:tc>
                <w:tcPr>
                  <w:tcW w:w="1266"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378" w:type="dxa"/>
                  <w:vMerge w:val="continue"/>
                  <w:vAlign w:val="center"/>
                </w:tcPr>
                <w:p>
                  <w:pPr>
                    <w:widowControl w:val="0"/>
                    <w:kinsoku/>
                    <w:adjustRightInd/>
                    <w:snapToGrid/>
                    <w:jc w:val="center"/>
                    <w:textAlignment w:val="auto"/>
                    <w:rPr>
                      <w:rFonts w:ascii="Times New Roman" w:hAnsi="Times New Roman" w:eastAsia="宋体" w:cs="Times New Roman"/>
                      <w:color w:val="auto"/>
                      <w:lang w:eastAsia="zh-CN"/>
                    </w:rPr>
                  </w:pPr>
                </w:p>
              </w:tc>
              <w:tc>
                <w:tcPr>
                  <w:tcW w:w="543"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c>
                <w:tcPr>
                  <w:tcW w:w="618"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594"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0.18</w:t>
                  </w:r>
                </w:p>
              </w:tc>
              <w:tc>
                <w:tcPr>
                  <w:tcW w:w="711"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snapToGrid/>
                      <w:color w:val="auto"/>
                      <w:kern w:val="2"/>
                      <w:lang w:eastAsia="zh-CN"/>
                    </w:rPr>
                    <w:t>二级活性炭吸附</w:t>
                  </w:r>
                </w:p>
              </w:tc>
              <w:tc>
                <w:tcPr>
                  <w:tcW w:w="507"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25</w:t>
                  </w:r>
                  <w:r>
                    <w:rPr>
                      <w:rFonts w:ascii="Times New Roman" w:hAnsi="Times New Roman" w:eastAsia="宋体" w:cs="Times New Roman"/>
                      <w:color w:val="auto"/>
                      <w:lang w:eastAsia="zh-CN"/>
                    </w:rPr>
                    <w:t>%</w:t>
                  </w:r>
                </w:p>
              </w:tc>
              <w:tc>
                <w:tcPr>
                  <w:tcW w:w="581" w:type="dxa"/>
                  <w:vAlign w:val="center"/>
                </w:tcPr>
                <w:p>
                  <w:pPr>
                    <w:widowControl w:val="0"/>
                    <w:kinsoku/>
                    <w:adjustRightInd/>
                    <w:snapToGrid/>
                    <w:jc w:val="center"/>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rPr>
                    <w:t>0.</w:t>
                  </w:r>
                  <w:r>
                    <w:rPr>
                      <w:rFonts w:hint="eastAsia" w:ascii="Times New Roman" w:hAnsi="Times New Roman" w:eastAsia="宋体" w:cs="Times New Roman"/>
                      <w:color w:val="auto"/>
                      <w:lang w:val="en-US" w:eastAsia="zh-CN"/>
                    </w:rPr>
                    <w:t>135</w:t>
                  </w:r>
                </w:p>
              </w:tc>
              <w:tc>
                <w:tcPr>
                  <w:tcW w:w="410"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大气环境</w:t>
                  </w:r>
                </w:p>
              </w:tc>
              <w:tc>
                <w:tcPr>
                  <w:tcW w:w="538"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0.02</w:t>
                  </w:r>
                </w:p>
              </w:tc>
              <w:tc>
                <w:tcPr>
                  <w:tcW w:w="617"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snapToGrid/>
                      <w:color w:val="auto"/>
                      <w:kern w:val="2"/>
                      <w:lang w:eastAsia="zh-CN"/>
                    </w:rPr>
                    <w:t>加强车间通风换气</w:t>
                  </w:r>
                </w:p>
              </w:tc>
              <w:tc>
                <w:tcPr>
                  <w:tcW w:w="466"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0.02</w:t>
                  </w:r>
                </w:p>
              </w:tc>
              <w:tc>
                <w:tcPr>
                  <w:tcW w:w="500"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大气环境</w:t>
                  </w:r>
                </w:p>
              </w:tc>
              <w:tc>
                <w:tcPr>
                  <w:tcW w:w="964"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《大气污染物综合排放标准》（GB16297-1996）</w:t>
                  </w:r>
                </w:p>
              </w:tc>
              <w:tc>
                <w:tcPr>
                  <w:tcW w:w="1266" w:type="dxa"/>
                  <w:vAlign w:val="center"/>
                </w:tcPr>
                <w:p>
                  <w:pPr>
                    <w:widowControl w:val="0"/>
                    <w:kinsoku/>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有组织</w:t>
                  </w:r>
                  <w:r>
                    <w:rPr>
                      <w:rFonts w:ascii="Times New Roman" w:hAnsi="Times New Roman" w:eastAsia="宋体" w:cs="Times New Roman"/>
                      <w:color w:val="auto"/>
                      <w:lang w:eastAsia="zh-CN"/>
                    </w:rPr>
                    <w:t>非甲烷总烃：120mg/m</w:t>
                  </w:r>
                  <w:r>
                    <w:rPr>
                      <w:rFonts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排放速率5kg/h</w:t>
                  </w:r>
                  <w:r>
                    <w:rPr>
                      <w:rStyle w:val="20"/>
                      <w:rFonts w:hint="eastAsia" w:eastAsia="宋体"/>
                      <w:color w:val="auto"/>
                      <w:lang w:eastAsia="zh-CN"/>
                    </w:rPr>
                    <w:t>；无组织非甲烷那总烃：5.0</w:t>
                  </w:r>
                  <w:r>
                    <w:rPr>
                      <w:rFonts w:hint="eastAsia" w:ascii="Times New Roman" w:hAnsi="Times New Roman" w:eastAsia="宋体" w:cs="Times New Roman"/>
                      <w:color w:val="auto"/>
                      <w:lang w:eastAsia="zh-CN"/>
                    </w:rPr>
                    <w:t>mg/m</w:t>
                  </w:r>
                  <w:r>
                    <w:rPr>
                      <w:rFonts w:hint="eastAsia" w:ascii="Times New Roman" w:hAnsi="Times New Roman" w:eastAsia="宋体" w:cs="Times New Roman"/>
                      <w:color w:val="auto"/>
                      <w:vertAlign w:val="superscript"/>
                      <w:lang w:eastAsia="zh-CN"/>
                    </w:rPr>
                    <w:t>3</w:t>
                  </w:r>
                </w:p>
              </w:tc>
            </w:tr>
          </w:tbl>
          <w:p>
            <w:pPr>
              <w:pStyle w:val="12"/>
              <w:kinsoku/>
              <w:rPr>
                <w:color w:val="auto"/>
                <w:lang w:eastAsia="zh-CN"/>
              </w:rPr>
            </w:pPr>
          </w:p>
          <w:p>
            <w:pPr>
              <w:kinsoku/>
              <w:spacing w:line="360" w:lineRule="auto"/>
              <w:ind w:firstLine="481" w:firstLineChars="200"/>
              <w:rPr>
                <w:rFonts w:ascii="Times New Roman" w:hAnsi="Times New Roman" w:eastAsia="宋体" w:cs="Times New Roman"/>
                <w:b/>
                <w:bCs/>
                <w:color w:val="auto"/>
                <w:kern w:val="2"/>
                <w:sz w:val="24"/>
                <w:szCs w:val="24"/>
                <w:lang w:eastAsia="zh-CN"/>
              </w:rPr>
            </w:pPr>
            <w:r>
              <w:rPr>
                <w:rFonts w:hint="eastAsia" w:ascii="Times New Roman" w:hAnsi="Times New Roman" w:eastAsia="宋体" w:cs="Times New Roman"/>
                <w:b/>
                <w:bCs/>
                <w:color w:val="auto"/>
                <w:kern w:val="2"/>
                <w:sz w:val="24"/>
                <w:szCs w:val="24"/>
                <w:lang w:eastAsia="zh-CN"/>
              </w:rPr>
              <w:t>1、排放口基本情况</w:t>
            </w:r>
          </w:p>
          <w:p>
            <w:pPr>
              <w:pStyle w:val="24"/>
              <w:spacing w:line="360" w:lineRule="auto"/>
              <w:ind w:firstLine="480" w:firstLineChars="200"/>
              <w:rPr>
                <w:sz w:val="24"/>
              </w:rPr>
            </w:pPr>
            <w:r>
              <w:rPr>
                <w:sz w:val="24"/>
              </w:rPr>
              <w:t>生产工序</w:t>
            </w:r>
            <w:r>
              <w:rPr>
                <w:rFonts w:hint="eastAsia"/>
                <w:sz w:val="24"/>
              </w:rPr>
              <w:t>有组织</w:t>
            </w:r>
            <w:r>
              <w:rPr>
                <w:sz w:val="24"/>
              </w:rPr>
              <w:t>废气主要</w:t>
            </w:r>
            <w:r>
              <w:rPr>
                <w:rFonts w:hint="eastAsia"/>
                <w:sz w:val="24"/>
              </w:rPr>
              <w:t>为生产过程中的颗粒物和VOC</w:t>
            </w:r>
            <w:r>
              <w:rPr>
                <w:rFonts w:hint="eastAsia"/>
                <w:sz w:val="24"/>
                <w:vertAlign w:val="subscript"/>
              </w:rPr>
              <w:t>S</w:t>
            </w:r>
            <w:r>
              <w:rPr>
                <w:rFonts w:hint="eastAsia"/>
                <w:sz w:val="24"/>
              </w:rPr>
              <w:t>（以非甲烷总烃计）。颗粒物生产粉尘经设备自带吸尘管及设备上方集气罩收集后通过废气收集管至中央除尘系统处理后</w:t>
            </w:r>
            <w:r>
              <w:rPr>
                <w:rFonts w:hint="eastAsia"/>
                <w:sz w:val="24"/>
                <w:lang w:val="en-US" w:eastAsia="zh-CN"/>
              </w:rPr>
              <w:t>达标</w:t>
            </w:r>
            <w:r>
              <w:rPr>
                <w:rFonts w:hint="eastAsia"/>
                <w:sz w:val="24"/>
              </w:rPr>
              <w:t>排放，项目VOC</w:t>
            </w:r>
            <w:r>
              <w:rPr>
                <w:rFonts w:hint="eastAsia"/>
                <w:sz w:val="24"/>
                <w:vertAlign w:val="subscript"/>
              </w:rPr>
              <w:t>S</w:t>
            </w:r>
            <w:r>
              <w:rPr>
                <w:rFonts w:hint="eastAsia"/>
                <w:sz w:val="24"/>
              </w:rPr>
              <w:t>（以非甲烷总烃计）</w:t>
            </w:r>
            <w:r>
              <w:rPr>
                <w:sz w:val="24"/>
              </w:rPr>
              <w:t>由</w:t>
            </w:r>
            <w:r>
              <w:rPr>
                <w:rFonts w:hint="eastAsia"/>
                <w:sz w:val="24"/>
              </w:rPr>
              <w:t>与设备紧密相连的集气管道</w:t>
            </w:r>
            <w:r>
              <w:rPr>
                <w:sz w:val="24"/>
              </w:rPr>
              <w:t>收集</w:t>
            </w:r>
            <w:r>
              <w:rPr>
                <w:rFonts w:hint="eastAsia"/>
                <w:sz w:val="24"/>
              </w:rPr>
              <w:t>后经“活性炭吸附”</w:t>
            </w:r>
            <w:r>
              <w:rPr>
                <w:sz w:val="24"/>
              </w:rPr>
              <w:t>处理达标排放。排放口基本情况见表4-</w:t>
            </w:r>
            <w:r>
              <w:rPr>
                <w:rFonts w:hint="eastAsia"/>
                <w:sz w:val="24"/>
              </w:rPr>
              <w:t>2</w:t>
            </w:r>
            <w:r>
              <w:rPr>
                <w:sz w:val="24"/>
              </w:rPr>
              <w:t>。</w:t>
            </w:r>
          </w:p>
          <w:p>
            <w:pPr>
              <w:pStyle w:val="4"/>
              <w:kinsoku/>
              <w:ind w:firstLine="0" w:firstLineChars="0"/>
              <w:jc w:val="center"/>
              <w:rPr>
                <w:rFonts w:ascii="Times New Roman" w:hAnsi="Times New Roman" w:cs="Times New Roman"/>
                <w:color w:val="auto"/>
                <w:lang w:eastAsia="zh-CN"/>
              </w:rPr>
            </w:pPr>
            <w:r>
              <w:rPr>
                <w:rFonts w:ascii="Times New Roman" w:hAnsi="Times New Roman" w:cs="Times New Roman"/>
                <w:b/>
                <w:bCs/>
                <w:color w:val="auto"/>
                <w:sz w:val="21"/>
                <w:lang w:eastAsia="zh-CN"/>
              </w:rPr>
              <w:t>表4-</w:t>
            </w:r>
            <w:r>
              <w:rPr>
                <w:rFonts w:hint="eastAsia" w:ascii="Times New Roman" w:hAnsi="Times New Roman" w:cs="Times New Roman"/>
                <w:b/>
                <w:bCs/>
                <w:color w:val="auto"/>
                <w:sz w:val="21"/>
                <w:lang w:eastAsia="zh-CN"/>
              </w:rPr>
              <w:t>2</w:t>
            </w:r>
            <w:r>
              <w:rPr>
                <w:rFonts w:ascii="Times New Roman" w:hAnsi="Times New Roman" w:cs="Times New Roman"/>
                <w:b/>
                <w:bCs/>
                <w:color w:val="auto"/>
                <w:sz w:val="21"/>
                <w:lang w:eastAsia="zh-CN"/>
              </w:rPr>
              <w:t xml:space="preserve">  排放口基本情况一览表</w:t>
            </w:r>
          </w:p>
          <w:tbl>
            <w:tblPr>
              <w:tblStyle w:val="17"/>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295"/>
              <w:gridCol w:w="1891"/>
              <w:gridCol w:w="834"/>
              <w:gridCol w:w="818"/>
              <w:gridCol w:w="925"/>
              <w:gridCol w:w="1264"/>
              <w:gridCol w:w="80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752" w:type="pct"/>
                  <w:vMerge w:val="restart"/>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名称</w:t>
                  </w:r>
                </w:p>
              </w:tc>
              <w:tc>
                <w:tcPr>
                  <w:tcW w:w="1098" w:type="pct"/>
                  <w:vMerge w:val="restart"/>
                  <w:vAlign w:val="center"/>
                </w:tcPr>
                <w:p>
                  <w:pPr>
                    <w:pStyle w:val="25"/>
                    <w:rPr>
                      <w:bCs/>
                      <w:szCs w:val="21"/>
                    </w:rPr>
                  </w:pPr>
                  <w:r>
                    <w:rPr>
                      <w:rFonts w:hint="eastAsia"/>
                      <w:bCs/>
                    </w:rPr>
                    <w:t>排气筒坐标</w:t>
                  </w:r>
                </w:p>
              </w:tc>
              <w:tc>
                <w:tcPr>
                  <w:tcW w:w="959" w:type="pct"/>
                  <w:gridSpan w:val="2"/>
                  <w:vAlign w:val="center"/>
                </w:tcPr>
                <w:p>
                  <w:pPr>
                    <w:pStyle w:val="25"/>
                    <w:rPr>
                      <w:bCs/>
                      <w:szCs w:val="21"/>
                    </w:rPr>
                  </w:pPr>
                  <w:r>
                    <w:rPr>
                      <w:rFonts w:hint="eastAsia"/>
                      <w:bCs/>
                    </w:rPr>
                    <w:t>排气筒</w:t>
                  </w:r>
                </w:p>
              </w:tc>
              <w:tc>
                <w:tcPr>
                  <w:tcW w:w="1273" w:type="pct"/>
                  <w:gridSpan w:val="2"/>
                  <w:vAlign w:val="center"/>
                </w:tcPr>
                <w:p>
                  <w:pPr>
                    <w:pStyle w:val="25"/>
                    <w:rPr>
                      <w:bCs/>
                      <w:szCs w:val="21"/>
                    </w:rPr>
                  </w:pPr>
                  <w:r>
                    <w:rPr>
                      <w:rFonts w:hint="eastAsia"/>
                      <w:bCs/>
                    </w:rPr>
                    <w:t>烟气</w:t>
                  </w:r>
                </w:p>
              </w:tc>
              <w:tc>
                <w:tcPr>
                  <w:tcW w:w="466" w:type="pct"/>
                  <w:vMerge w:val="restart"/>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年排放小时数</w:t>
                  </w:r>
                </w:p>
              </w:tc>
              <w:tc>
                <w:tcPr>
                  <w:tcW w:w="449" w:type="pct"/>
                  <w:vMerge w:val="restart"/>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752" w:type="pct"/>
                  <w:vMerge w:val="continue"/>
                  <w:vAlign w:val="center"/>
                </w:tcPr>
                <w:p>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1098" w:type="pct"/>
                  <w:vMerge w:val="continue"/>
                  <w:vAlign w:val="center"/>
                </w:tcPr>
                <w:p>
                  <w:pPr>
                    <w:pStyle w:val="25"/>
                  </w:pPr>
                </w:p>
              </w:tc>
              <w:tc>
                <w:tcPr>
                  <w:tcW w:w="484" w:type="pct"/>
                  <w:vAlign w:val="center"/>
                </w:tcPr>
                <w:p>
                  <w:pPr>
                    <w:pStyle w:val="25"/>
                    <w:rPr>
                      <w:szCs w:val="21"/>
                    </w:rPr>
                  </w:pPr>
                  <w:r>
                    <w:rPr>
                      <w:rFonts w:hint="eastAsia"/>
                      <w:bCs/>
                    </w:rPr>
                    <w:t>高度[m]</w:t>
                  </w:r>
                </w:p>
              </w:tc>
              <w:tc>
                <w:tcPr>
                  <w:tcW w:w="475" w:type="pct"/>
                  <w:vAlign w:val="center"/>
                </w:tcPr>
                <w:p>
                  <w:pPr>
                    <w:pStyle w:val="25"/>
                  </w:pPr>
                  <w:r>
                    <w:rPr>
                      <w:rFonts w:hint="eastAsia"/>
                      <w:bCs/>
                    </w:rPr>
                    <w:t>内径[m]</w:t>
                  </w:r>
                </w:p>
              </w:tc>
              <w:tc>
                <w:tcPr>
                  <w:tcW w:w="538" w:type="pct"/>
                  <w:vAlign w:val="center"/>
                </w:tcPr>
                <w:p>
                  <w:pPr>
                    <w:pStyle w:val="25"/>
                    <w:rPr>
                      <w:szCs w:val="21"/>
                    </w:rPr>
                  </w:pPr>
                  <w:r>
                    <w:rPr>
                      <w:bCs/>
                    </w:rPr>
                    <w:t>温度[℃]</w:t>
                  </w:r>
                </w:p>
              </w:tc>
              <w:tc>
                <w:tcPr>
                  <w:tcW w:w="735" w:type="pct"/>
                  <w:vAlign w:val="center"/>
                </w:tcPr>
                <w:p>
                  <w:pPr>
                    <w:pStyle w:val="25"/>
                  </w:pPr>
                  <w:r>
                    <w:rPr>
                      <w:rFonts w:hint="eastAsia"/>
                      <w:bCs/>
                    </w:rPr>
                    <w:t>排气量[m/s]</w:t>
                  </w:r>
                </w:p>
              </w:tc>
              <w:tc>
                <w:tcPr>
                  <w:tcW w:w="466" w:type="pct"/>
                  <w:vMerge w:val="continue"/>
                  <w:vAlign w:val="center"/>
                </w:tcPr>
                <w:p>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449" w:type="pct"/>
                  <w:vMerge w:val="continue"/>
                  <w:vAlign w:val="center"/>
                </w:tcPr>
                <w:p>
                  <w:pPr>
                    <w:widowControl w:val="0"/>
                    <w:kinsoku/>
                    <w:autoSpaceDE/>
                    <w:autoSpaceDN/>
                    <w:adjustRightInd/>
                    <w:snapToGrid/>
                    <w:jc w:val="center"/>
                    <w:textAlignment w:val="auto"/>
                    <w:rPr>
                      <w:rFonts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752" w:type="pct"/>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机加工</w:t>
                  </w:r>
                  <w:r>
                    <w:rPr>
                      <w:rFonts w:ascii="Times New Roman" w:hAnsi="Times New Roman" w:eastAsia="宋体" w:cs="Times New Roman"/>
                      <w:b/>
                      <w:bCs/>
                      <w:color w:val="auto"/>
                      <w:lang w:eastAsia="zh-CN"/>
                    </w:rPr>
                    <w:t>废气排放口DA001</w:t>
                  </w:r>
                </w:p>
              </w:tc>
              <w:tc>
                <w:tcPr>
                  <w:tcW w:w="1098" w:type="pct"/>
                  <w:vAlign w:val="center"/>
                </w:tcPr>
                <w:p>
                  <w:pPr>
                    <w:pStyle w:val="25"/>
                    <w:spacing w:line="240" w:lineRule="auto"/>
                    <w:rPr>
                      <w:b w:val="0"/>
                      <w:bCs/>
                    </w:rPr>
                  </w:pPr>
                  <w:r>
                    <w:rPr>
                      <w:b w:val="0"/>
                      <w:bCs/>
                    </w:rPr>
                    <w:t>103°2′33.27508″E,25°14′45.00943″N</w:t>
                  </w:r>
                </w:p>
              </w:tc>
              <w:tc>
                <w:tcPr>
                  <w:tcW w:w="484" w:type="pct"/>
                  <w:vAlign w:val="center"/>
                </w:tcPr>
                <w:p>
                  <w:pPr>
                    <w:pStyle w:val="25"/>
                    <w:spacing w:line="240" w:lineRule="auto"/>
                    <w:rPr>
                      <w:b w:val="0"/>
                      <w:bCs/>
                    </w:rPr>
                  </w:pPr>
                  <w:r>
                    <w:rPr>
                      <w:b w:val="0"/>
                      <w:bCs/>
                    </w:rPr>
                    <w:t>15</w:t>
                  </w:r>
                </w:p>
              </w:tc>
              <w:tc>
                <w:tcPr>
                  <w:tcW w:w="475" w:type="pct"/>
                  <w:vAlign w:val="center"/>
                </w:tcPr>
                <w:p>
                  <w:pPr>
                    <w:pStyle w:val="25"/>
                    <w:spacing w:line="240" w:lineRule="auto"/>
                    <w:rPr>
                      <w:b w:val="0"/>
                      <w:bCs/>
                    </w:rPr>
                  </w:pPr>
                  <w:r>
                    <w:rPr>
                      <w:rFonts w:hint="eastAsia"/>
                      <w:b w:val="0"/>
                      <w:bCs/>
                    </w:rPr>
                    <w:t>0.4</w:t>
                  </w:r>
                </w:p>
              </w:tc>
              <w:tc>
                <w:tcPr>
                  <w:tcW w:w="538" w:type="pct"/>
                  <w:vAlign w:val="center"/>
                </w:tcPr>
                <w:p>
                  <w:pPr>
                    <w:pStyle w:val="25"/>
                    <w:spacing w:line="240" w:lineRule="auto"/>
                    <w:rPr>
                      <w:b w:val="0"/>
                      <w:bCs/>
                    </w:rPr>
                  </w:pPr>
                  <w:r>
                    <w:rPr>
                      <w:b w:val="0"/>
                      <w:bCs/>
                    </w:rPr>
                    <w:t>25</w:t>
                  </w:r>
                </w:p>
              </w:tc>
              <w:tc>
                <w:tcPr>
                  <w:tcW w:w="735" w:type="pct"/>
                  <w:vAlign w:val="center"/>
                </w:tcPr>
                <w:p>
                  <w:pPr>
                    <w:pStyle w:val="25"/>
                    <w:spacing w:line="240" w:lineRule="auto"/>
                    <w:rPr>
                      <w:b w:val="0"/>
                      <w:bCs/>
                    </w:rPr>
                  </w:pPr>
                  <w:r>
                    <w:rPr>
                      <w:rFonts w:hint="eastAsia"/>
                      <w:b w:val="0"/>
                      <w:bCs/>
                    </w:rPr>
                    <w:t>11.06</w:t>
                  </w:r>
                </w:p>
              </w:tc>
              <w:tc>
                <w:tcPr>
                  <w:tcW w:w="466" w:type="pct"/>
                  <w:vAlign w:val="center"/>
                </w:tcPr>
                <w:p>
                  <w:pPr>
                    <w:widowControl w:val="0"/>
                    <w:kinsoku/>
                    <w:autoSpaceDE/>
                    <w:autoSpaceDN/>
                    <w:adjustRightInd/>
                    <w:snapToGrid/>
                    <w:jc w:val="center"/>
                    <w:textAlignment w:val="auto"/>
                    <w:rPr>
                      <w:rFonts w:ascii="Times New Roman" w:hAnsi="Times New Roman" w:cs="Times New Roman"/>
                      <w:color w:val="auto"/>
                      <w:lang w:eastAsia="zh-CN"/>
                    </w:rPr>
                  </w:pPr>
                  <w:r>
                    <w:rPr>
                      <w:rFonts w:hint="eastAsia" w:ascii="Times New Roman" w:hAnsi="Times New Roman" w:cs="Times New Roman"/>
                      <w:color w:val="auto"/>
                      <w:lang w:eastAsia="zh-CN"/>
                    </w:rPr>
                    <w:t>2640</w:t>
                  </w:r>
                </w:p>
              </w:tc>
              <w:tc>
                <w:tcPr>
                  <w:tcW w:w="449" w:type="pct"/>
                  <w:vAlign w:val="center"/>
                </w:tcPr>
                <w:p>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2" w:type="pct"/>
                  <w:vAlign w:val="center"/>
                </w:tcPr>
                <w:p>
                  <w:pPr>
                    <w:widowControl w:val="0"/>
                    <w:kinsoku/>
                    <w:autoSpaceDE/>
                    <w:autoSpaceDN/>
                    <w:adjustRightInd/>
                    <w:snapToGrid/>
                    <w:jc w:val="center"/>
                    <w:textAlignment w:val="auto"/>
                    <w:rPr>
                      <w:rFonts w:eastAsia="宋体" w:cs="Times New Roman"/>
                      <w:b/>
                      <w:bCs/>
                      <w:color w:val="auto"/>
                      <w:lang w:eastAsia="zh-CN"/>
                    </w:rPr>
                  </w:pPr>
                  <w:r>
                    <w:rPr>
                      <w:rFonts w:hint="eastAsia" w:eastAsia="宋体" w:cs="Times New Roman"/>
                      <w:b/>
                      <w:bCs/>
                      <w:color w:val="auto"/>
                      <w:lang w:eastAsia="zh-CN"/>
                    </w:rPr>
                    <w:t>封边废气排放口DA002</w:t>
                  </w:r>
                </w:p>
              </w:tc>
              <w:tc>
                <w:tcPr>
                  <w:tcW w:w="1098" w:type="pct"/>
                  <w:vAlign w:val="center"/>
                </w:tcPr>
                <w:p>
                  <w:pPr>
                    <w:pStyle w:val="25"/>
                    <w:spacing w:line="240" w:lineRule="auto"/>
                    <w:rPr>
                      <w:b w:val="0"/>
                      <w:bCs/>
                    </w:rPr>
                  </w:pPr>
                  <w:r>
                    <w:rPr>
                      <w:b w:val="0"/>
                      <w:bCs/>
                    </w:rPr>
                    <w:t>103°2′34.58829″E,25°14′44.93219″N</w:t>
                  </w:r>
                </w:p>
              </w:tc>
              <w:tc>
                <w:tcPr>
                  <w:tcW w:w="484" w:type="pct"/>
                  <w:vAlign w:val="center"/>
                </w:tcPr>
                <w:p>
                  <w:pPr>
                    <w:pStyle w:val="25"/>
                    <w:spacing w:line="240" w:lineRule="auto"/>
                    <w:rPr>
                      <w:b w:val="0"/>
                      <w:bCs/>
                    </w:rPr>
                  </w:pPr>
                  <w:r>
                    <w:rPr>
                      <w:b w:val="0"/>
                      <w:bCs/>
                    </w:rPr>
                    <w:t>15</w:t>
                  </w:r>
                </w:p>
              </w:tc>
              <w:tc>
                <w:tcPr>
                  <w:tcW w:w="475" w:type="pct"/>
                  <w:vAlign w:val="center"/>
                </w:tcPr>
                <w:p>
                  <w:pPr>
                    <w:pStyle w:val="25"/>
                    <w:spacing w:line="240" w:lineRule="auto"/>
                    <w:rPr>
                      <w:b w:val="0"/>
                      <w:bCs/>
                    </w:rPr>
                  </w:pPr>
                  <w:r>
                    <w:rPr>
                      <w:rFonts w:hint="eastAsia"/>
                      <w:b w:val="0"/>
                      <w:bCs/>
                    </w:rPr>
                    <w:t>0.4</w:t>
                  </w:r>
                </w:p>
              </w:tc>
              <w:tc>
                <w:tcPr>
                  <w:tcW w:w="538" w:type="pct"/>
                  <w:vAlign w:val="center"/>
                </w:tcPr>
                <w:p>
                  <w:pPr>
                    <w:pStyle w:val="25"/>
                    <w:spacing w:line="240" w:lineRule="auto"/>
                    <w:rPr>
                      <w:b w:val="0"/>
                      <w:bCs/>
                    </w:rPr>
                  </w:pPr>
                  <w:r>
                    <w:rPr>
                      <w:b w:val="0"/>
                      <w:bCs/>
                    </w:rPr>
                    <w:t>25</w:t>
                  </w:r>
                </w:p>
              </w:tc>
              <w:tc>
                <w:tcPr>
                  <w:tcW w:w="735" w:type="pct"/>
                  <w:vAlign w:val="center"/>
                </w:tcPr>
                <w:p>
                  <w:pPr>
                    <w:pStyle w:val="25"/>
                    <w:spacing w:line="240" w:lineRule="auto"/>
                    <w:rPr>
                      <w:b w:val="0"/>
                      <w:bCs/>
                    </w:rPr>
                  </w:pPr>
                  <w:r>
                    <w:rPr>
                      <w:rFonts w:hint="eastAsia"/>
                      <w:b w:val="0"/>
                      <w:bCs/>
                    </w:rPr>
                    <w:t>11.06</w:t>
                  </w:r>
                </w:p>
              </w:tc>
              <w:tc>
                <w:tcPr>
                  <w:tcW w:w="466" w:type="pct"/>
                  <w:vAlign w:val="center"/>
                </w:tcPr>
                <w:p>
                  <w:pPr>
                    <w:widowControl w:val="0"/>
                    <w:kinsoku/>
                    <w:autoSpaceDE/>
                    <w:autoSpaceDN/>
                    <w:adjustRightInd/>
                    <w:snapToGrid/>
                    <w:jc w:val="center"/>
                    <w:textAlignment w:val="auto"/>
                    <w:rPr>
                      <w:rFonts w:cs="Times New Roman"/>
                      <w:color w:val="auto"/>
                      <w:lang w:eastAsia="zh-CN"/>
                    </w:rPr>
                  </w:pPr>
                  <w:r>
                    <w:rPr>
                      <w:rFonts w:hint="eastAsia" w:cs="Times New Roman"/>
                      <w:color w:val="auto"/>
                      <w:lang w:eastAsia="zh-CN"/>
                    </w:rPr>
                    <w:t>2640</w:t>
                  </w:r>
                </w:p>
              </w:tc>
              <w:tc>
                <w:tcPr>
                  <w:tcW w:w="449" w:type="pct"/>
                  <w:vAlign w:val="center"/>
                </w:tcPr>
                <w:p>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一般排放口</w:t>
                  </w:r>
                </w:p>
              </w:tc>
            </w:tr>
          </w:tbl>
          <w:p>
            <w:pPr>
              <w:kinsoku/>
              <w:spacing w:line="360" w:lineRule="auto"/>
              <w:ind w:firstLine="481" w:firstLineChars="200"/>
              <w:rPr>
                <w:color w:val="auto"/>
                <w:lang w:eastAsia="zh-CN"/>
              </w:rPr>
            </w:pPr>
            <w:r>
              <w:rPr>
                <w:rFonts w:hint="eastAsia" w:ascii="Times New Roman" w:hAnsi="Times New Roman" w:eastAsia="宋体" w:cs="Times New Roman"/>
                <w:b/>
                <w:bCs/>
                <w:color w:val="auto"/>
                <w:kern w:val="2"/>
                <w:sz w:val="24"/>
                <w:szCs w:val="24"/>
                <w:lang w:eastAsia="zh-CN"/>
              </w:rPr>
              <w:t>2、污染物产排情况</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（1）机加工颗粒物(排气筒DA001)</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color w:val="auto"/>
                <w:sz w:val="24"/>
                <w:szCs w:val="24"/>
                <w:lang w:eastAsia="zh-CN"/>
              </w:rPr>
              <w:t>①产生情况</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本项目</w:t>
            </w:r>
            <w:r>
              <w:rPr>
                <w:rFonts w:hint="eastAsia" w:ascii="Times New Roman" w:hAnsi="Times New Roman" w:eastAsia="宋体" w:cs="Times New Roman"/>
                <w:color w:val="auto"/>
                <w:sz w:val="24"/>
                <w:szCs w:val="24"/>
                <w:lang w:eastAsia="zh-CN"/>
              </w:rPr>
              <w:t>机加工（</w:t>
            </w:r>
            <w:r>
              <w:rPr>
                <w:rFonts w:hint="eastAsia" w:ascii="Times New Roman" w:hAnsi="Times New Roman" w:eastAsia="宋体" w:cs="Times New Roman"/>
                <w:color w:val="auto"/>
                <w:sz w:val="24"/>
                <w:szCs w:val="24"/>
                <w:lang w:val="en-US" w:eastAsia="zh-CN"/>
              </w:rPr>
              <w:t>雕刻</w:t>
            </w:r>
            <w:r>
              <w:rPr>
                <w:rFonts w:hint="eastAsia" w:ascii="Times New Roman" w:hAnsi="Times New Roman" w:eastAsia="宋体" w:cs="Times New Roman"/>
                <w:color w:val="auto"/>
                <w:sz w:val="24"/>
                <w:szCs w:val="24"/>
                <w:lang w:eastAsia="zh-CN"/>
              </w:rPr>
              <w:t>、打孔、清理）</w:t>
            </w:r>
            <w:r>
              <w:rPr>
                <w:rFonts w:hint="eastAsia" w:ascii="Times New Roman" w:hAnsi="Times New Roman" w:eastAsia="宋体" w:cs="Times New Roman"/>
                <w:snapToGrid/>
                <w:color w:val="auto"/>
                <w:kern w:val="2"/>
                <w:sz w:val="24"/>
                <w:lang w:eastAsia="zh-CN"/>
              </w:rPr>
              <w:t>产生木屑颗粒物，参考《排放源统计调查产排污核算方法和系数手册》(生态环境部)中211木制家具制造行业系数表下料-机加工颗粒物产生系数0.15kg/m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-原料。本项目木质板材原料约1698.6m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/a（原料92900m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×0.018m+1200m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×0.022m=1698.6m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），则产生颗粒物为0.255t/a。</w:t>
            </w:r>
          </w:p>
          <w:p>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②治理措施</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本次环评提出，在机加工生产</w:t>
            </w:r>
            <w:bookmarkStart w:id="31" w:name="_Hlk203636789"/>
            <w:r>
              <w:rPr>
                <w:rFonts w:hint="eastAsia" w:ascii="Times New Roman" w:hAnsi="Times New Roman" w:eastAsia="宋体" w:cs="Times New Roman"/>
                <w:snapToGrid/>
                <w:color w:val="auto"/>
                <w:kern w:val="2"/>
                <w:sz w:val="24"/>
                <w:lang w:eastAsia="zh-CN"/>
              </w:rPr>
              <w:t>设备上设置集气罩和吸尘管</w:t>
            </w:r>
            <w:bookmarkEnd w:id="31"/>
            <w:r>
              <w:rPr>
                <w:rFonts w:hint="eastAsia" w:ascii="Times New Roman" w:hAnsi="Times New Roman" w:eastAsia="宋体" w:cs="Times New Roman"/>
                <w:snapToGrid/>
                <w:color w:val="auto"/>
                <w:kern w:val="2"/>
                <w:sz w:val="24"/>
                <w:lang w:eastAsia="zh-CN"/>
              </w:rPr>
              <w:t>，产生的颗粒物经收集后，</w:t>
            </w:r>
            <w:bookmarkStart w:id="32" w:name="_Hlk203636835"/>
            <w:r>
              <w:rPr>
                <w:rFonts w:hint="eastAsia" w:ascii="Times New Roman" w:hAnsi="Times New Roman" w:eastAsia="宋体" w:cs="Times New Roman"/>
                <w:snapToGrid/>
                <w:color w:val="auto"/>
                <w:kern w:val="2"/>
                <w:sz w:val="24"/>
                <w:lang w:eastAsia="zh-CN"/>
              </w:rPr>
              <w:t>进入中央除尘系统处理</w:t>
            </w:r>
            <w:bookmarkEnd w:id="32"/>
            <w:r>
              <w:rPr>
                <w:rFonts w:hint="eastAsia" w:ascii="Times New Roman" w:hAnsi="Times New Roman" w:eastAsia="宋体" w:cs="Times New Roman"/>
                <w:snapToGrid/>
                <w:color w:val="auto"/>
                <w:kern w:val="2"/>
                <w:sz w:val="24"/>
                <w:lang w:eastAsia="zh-CN"/>
              </w:rPr>
              <w:t>，由1根15m高排气筒DA001排放。根据《袋式除尘工程通用技术规范》(HJ 2020-2012)中“6.2.8集气罩应能实现对烟气(尘)的捕集效果，捕集率不低于：a)密闭罩100%；b)半密闭罩95%；c)吹吸罩90%；d)屋顶排烟罩90%；e)含有毒有害、易燃易爆污染源控制装置100%”，本项目生产粉尘经设备自带吸尘管及设备上方集气罩收集后通过废气收集管至中央除尘系统处理后通过1根15m高排气筒（DA001）排放，属于吹吸罩，收集效率按照90%计算，引风机风量5000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/h，设备年工作约2640小时。参考《排放源统计调查产排污核算方法和系数手册》(生态环境部)中211木制家具制造行业系数表袋式除尘末端治理技术效率为90%。</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则项目无组织颗粒物排放量为0.0255t/a，排放速率为0.0097kg/h；通过加强车间通风换气以无组织形式排放。有组织颗粒物产生量为0.2295t/a。排放量为0.02295t/a，排放速率为0.0087kg/h，排放浓度1.74mg/m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（2）封边挥发性有机物（排气筒DA002）</w:t>
            </w:r>
          </w:p>
          <w:p>
            <w:pPr>
              <w:kinsoku/>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①产生情况</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封边使用的封边胶是一种无需额外添加水或溶剂的胶黏剂，属于本体型胶黏剂。根据建设单位提供检测报告均低于检出限，满足《胶黏剂挥发性有机化合物限值》（GB33372-2020）中本体型胶黏剂聚氨酯类VOC</w:t>
            </w:r>
            <w:r>
              <w:rPr>
                <w:rFonts w:hint="eastAsia" w:ascii="Times New Roman" w:hAnsi="Times New Roman" w:eastAsia="宋体" w:cs="Times New Roman"/>
                <w:snapToGrid/>
                <w:color w:val="auto"/>
                <w:kern w:val="2"/>
                <w:sz w:val="24"/>
                <w:vertAlign w:val="subscript"/>
                <w:lang w:eastAsia="zh-CN"/>
              </w:rPr>
              <w:t>S</w:t>
            </w:r>
            <w:r>
              <w:rPr>
                <w:rFonts w:hint="eastAsia" w:ascii="Times New Roman" w:hAnsi="Times New Roman" w:eastAsia="宋体" w:cs="Times New Roman"/>
                <w:snapToGrid/>
                <w:color w:val="auto"/>
                <w:kern w:val="2"/>
                <w:sz w:val="24"/>
                <w:lang w:eastAsia="zh-CN"/>
              </w:rPr>
              <w:t>含量限值要求，考虑最不利影响，</w:t>
            </w:r>
            <w:r>
              <w:rPr>
                <w:rFonts w:ascii="Times New Roman" w:hAnsi="Times New Roman" w:eastAsia="宋体" w:cs="Times New Roman"/>
                <w:snapToGrid/>
                <w:color w:val="auto"/>
                <w:kern w:val="2"/>
                <w:sz w:val="24"/>
                <w:lang w:eastAsia="zh-CN"/>
              </w:rPr>
              <w:t>本项目封边胶中挥发性有机物(以非甲烷总烃表征)</w:t>
            </w:r>
            <w:r>
              <w:rPr>
                <w:rFonts w:hint="eastAsia" w:ascii="Times New Roman" w:hAnsi="Times New Roman" w:eastAsia="宋体" w:cs="Times New Roman"/>
                <w:snapToGrid/>
                <w:color w:val="auto"/>
                <w:kern w:val="2"/>
                <w:sz w:val="24"/>
                <w:lang w:eastAsia="zh-CN"/>
              </w:rPr>
              <w:t>产生量参考GB33372-2020《胶黏剂挥发性有机化合物限值》中</w:t>
            </w:r>
            <w:bookmarkStart w:id="33" w:name="OLE_LINK2"/>
            <w:r>
              <w:rPr>
                <w:rFonts w:hint="eastAsia" w:ascii="Times New Roman" w:hAnsi="Times New Roman" w:eastAsia="宋体" w:cs="Times New Roman"/>
                <w:snapToGrid/>
                <w:color w:val="auto"/>
                <w:kern w:val="2"/>
                <w:sz w:val="24"/>
                <w:lang w:eastAsia="zh-CN"/>
              </w:rPr>
              <w:t>本体型胶黏剂</w:t>
            </w:r>
            <w:bookmarkEnd w:id="33"/>
            <w:r>
              <w:rPr>
                <w:rFonts w:hint="eastAsia" w:ascii="Times New Roman" w:hAnsi="Times New Roman" w:eastAsia="宋体" w:cs="Times New Roman"/>
                <w:snapToGrid/>
                <w:color w:val="auto"/>
                <w:kern w:val="2"/>
                <w:sz w:val="24"/>
                <w:lang w:eastAsia="zh-CN"/>
              </w:rPr>
              <w:t>聚氨酯类VOC</w:t>
            </w:r>
            <w:r>
              <w:rPr>
                <w:rFonts w:hint="eastAsia" w:ascii="Times New Roman" w:hAnsi="Times New Roman" w:eastAsia="宋体" w:cs="Times New Roman"/>
                <w:snapToGrid/>
                <w:color w:val="auto"/>
                <w:kern w:val="2"/>
                <w:sz w:val="24"/>
                <w:vertAlign w:val="subscript"/>
                <w:lang w:eastAsia="zh-CN"/>
              </w:rPr>
              <w:t>S</w:t>
            </w:r>
            <w:r>
              <w:rPr>
                <w:rFonts w:hint="eastAsia" w:ascii="Times New Roman" w:hAnsi="Times New Roman" w:eastAsia="宋体" w:cs="Times New Roman"/>
                <w:snapToGrid/>
                <w:color w:val="auto"/>
                <w:kern w:val="2"/>
                <w:sz w:val="24"/>
                <w:lang w:eastAsia="zh-CN"/>
              </w:rPr>
              <w:t>含量限值应≤50g/kg。则本项目封边胶中挥发性有机物(以非甲烷总烃表征)以50 g/kg计算得封边工段挥发性有机物含量为0.2t/a，</w:t>
            </w:r>
            <w:r>
              <w:rPr>
                <w:rFonts w:hint="eastAsia" w:ascii="Times New Roman" w:hAnsi="Times New Roman" w:eastAsia="宋体" w:cs="Times New Roman"/>
                <w:snapToGrid/>
                <w:color w:val="auto"/>
                <w:kern w:val="2"/>
                <w:sz w:val="24"/>
                <w:szCs w:val="24"/>
                <w:lang w:eastAsia="zh-CN"/>
              </w:rPr>
              <w:t>本环评考虑</w:t>
            </w:r>
            <w:r>
              <w:rPr>
                <w:rFonts w:hint="eastAsia" w:ascii="宋体" w:hAnsi="宋体" w:eastAsia="宋体" w:cs="宋体"/>
                <w:color w:val="auto"/>
                <w:sz w:val="24"/>
                <w:szCs w:val="24"/>
                <w:lang w:eastAsia="zh-CN"/>
              </w:rPr>
              <w:t>最不利情况，即所有挥发性有机物全部释放出来，故本项目封边过程有机物的产生量按0.2t/a进行分析。</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ascii="Times New Roman" w:hAnsi="Times New Roman" w:eastAsia="宋体" w:cs="Times New Roman"/>
                <w:color w:val="auto"/>
                <w:sz w:val="24"/>
                <w:szCs w:val="24"/>
                <w:lang w:eastAsia="zh-CN"/>
              </w:rPr>
              <w:t>②治理措施</w:t>
            </w:r>
          </w:p>
          <w:p>
            <w:pPr>
              <w:kinsoku/>
              <w:spacing w:line="360" w:lineRule="auto"/>
              <w:ind w:firstLine="480" w:firstLineChars="200"/>
              <w:rPr>
                <w:rFonts w:ascii="Times New Roman" w:hAnsi="Times New Roman" w:eastAsia="宋体" w:cs="Times New Roman"/>
                <w:snapToGrid/>
                <w:color w:val="auto"/>
                <w:kern w:val="2"/>
                <w:sz w:val="24"/>
                <w:lang w:eastAsia="zh-CN"/>
              </w:rPr>
            </w:pPr>
            <w:r>
              <w:rPr>
                <w:rFonts w:hint="eastAsia" w:ascii="Times New Roman" w:hAnsi="Times New Roman" w:eastAsia="宋体" w:cs="Times New Roman"/>
                <w:snapToGrid/>
                <w:color w:val="auto"/>
                <w:kern w:val="2"/>
                <w:sz w:val="24"/>
                <w:lang w:eastAsia="zh-CN"/>
              </w:rPr>
              <w:t>在封边工段</w:t>
            </w:r>
            <w:r>
              <w:rPr>
                <w:rFonts w:hint="eastAsia" w:ascii="Times New Roman" w:hAnsi="Times New Roman" w:eastAsia="宋体" w:cs="Times New Roman"/>
                <w:snapToGrid/>
                <w:color w:val="auto"/>
                <w:kern w:val="2"/>
                <w:sz w:val="24"/>
                <w:lang w:val="en-US" w:eastAsia="zh-CN"/>
              </w:rPr>
              <w:t>采用盖板式封边机</w:t>
            </w:r>
            <w:r>
              <w:rPr>
                <w:rFonts w:hint="eastAsia" w:ascii="Times New Roman" w:hAnsi="Times New Roman" w:eastAsia="宋体" w:cs="Times New Roman"/>
                <w:snapToGrid/>
                <w:color w:val="auto"/>
                <w:kern w:val="2"/>
                <w:sz w:val="24"/>
                <w:lang w:eastAsia="zh-CN"/>
              </w:rPr>
              <w:t>，</w:t>
            </w:r>
            <w:r>
              <w:rPr>
                <w:rFonts w:hint="eastAsia" w:ascii="Times New Roman" w:hAnsi="Times New Roman" w:eastAsia="宋体" w:cs="Times New Roman"/>
                <w:snapToGrid/>
                <w:color w:val="auto"/>
                <w:kern w:val="2"/>
                <w:sz w:val="24"/>
                <w:lang w:val="en-US" w:eastAsia="zh-CN"/>
              </w:rPr>
              <w:t>关闭盖板时密闭封边机相当于小型集气罩，</w:t>
            </w:r>
            <w:r>
              <w:rPr>
                <w:rFonts w:hint="eastAsia" w:ascii="宋体" w:hAnsi="宋体" w:eastAsia="宋体" w:cs="宋体"/>
                <w:color w:val="auto"/>
                <w:spacing w:val="4"/>
                <w:sz w:val="24"/>
                <w:szCs w:val="24"/>
                <w:lang w:eastAsia="zh-CN"/>
              </w:rPr>
              <w:t>集气管道</w:t>
            </w:r>
            <w:r>
              <w:rPr>
                <w:rFonts w:hint="eastAsia" w:ascii="宋体" w:hAnsi="宋体" w:eastAsia="宋体" w:cs="宋体"/>
                <w:color w:val="auto"/>
                <w:spacing w:val="4"/>
                <w:sz w:val="24"/>
                <w:szCs w:val="24"/>
                <w:lang w:val="en-US" w:eastAsia="zh-CN"/>
              </w:rPr>
              <w:t>与封边设备紧密相连，在设备工作的情况下，风机持续运转，可保证操作空间持续处于微负压状态，</w:t>
            </w:r>
            <w:r>
              <w:rPr>
                <w:rFonts w:ascii="Times New Roman" w:hAnsi="Times New Roman" w:eastAsia="宋体" w:cs="Times New Roman"/>
                <w:color w:val="auto"/>
                <w:spacing w:val="4"/>
                <w:sz w:val="24"/>
                <w:szCs w:val="24"/>
                <w:lang w:eastAsia="zh-CN"/>
              </w:rPr>
              <w:t>封胶结束后开启盖板取出成品</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4"/>
                <w:sz w:val="24"/>
                <w:szCs w:val="24"/>
                <w:lang w:eastAsia="zh-CN"/>
              </w:rPr>
              <w:t>生产全过程</w:t>
            </w:r>
            <w:r>
              <w:rPr>
                <w:rFonts w:hint="eastAsia" w:ascii="宋体" w:hAnsi="宋体" w:eastAsia="宋体" w:cs="宋体"/>
                <w:color w:val="auto"/>
                <w:spacing w:val="4"/>
                <w:sz w:val="24"/>
                <w:szCs w:val="24"/>
                <w:lang w:eastAsia="zh-CN"/>
              </w:rPr>
              <w:t>与设备紧密相连的集气管道</w:t>
            </w:r>
            <w:r>
              <w:rPr>
                <w:rFonts w:ascii="Times New Roman" w:hAnsi="Times New Roman" w:eastAsia="宋体" w:cs="Times New Roman"/>
                <w:color w:val="auto"/>
                <w:spacing w:val="4"/>
                <w:sz w:val="24"/>
                <w:szCs w:val="24"/>
                <w:lang w:eastAsia="zh-CN"/>
              </w:rPr>
              <w:t>对挥发性有机物进行收集，</w:t>
            </w:r>
            <w:r>
              <w:rPr>
                <w:rFonts w:hint="eastAsia" w:ascii="Times New Roman" w:hAnsi="Times New Roman" w:eastAsia="宋体" w:cs="Times New Roman"/>
                <w:color w:val="auto"/>
                <w:spacing w:val="4"/>
                <w:sz w:val="24"/>
                <w:szCs w:val="24"/>
                <w:lang w:val="en-US" w:eastAsia="zh-CN"/>
              </w:rPr>
              <w:t>车间上方不额外设置集气罩，有机废气</w:t>
            </w:r>
            <w:r>
              <w:rPr>
                <w:rFonts w:ascii="Times New Roman" w:hAnsi="Times New Roman" w:eastAsia="宋体" w:cs="Times New Roman"/>
                <w:snapToGrid/>
                <w:color w:val="auto"/>
                <w:kern w:val="2"/>
                <w:sz w:val="24"/>
                <w:lang w:eastAsia="zh-CN"/>
              </w:rPr>
              <w:t>收集后接入一套二级活性炭吸附设备处理</w:t>
            </w:r>
            <w:r>
              <w:rPr>
                <w:rFonts w:hint="eastAsia" w:ascii="Times New Roman" w:hAnsi="Times New Roman" w:eastAsia="宋体" w:cs="Times New Roman"/>
                <w:snapToGrid/>
                <w:color w:val="auto"/>
                <w:kern w:val="2"/>
                <w:sz w:val="24"/>
                <w:lang w:eastAsia="zh-CN"/>
              </w:rPr>
              <w:t>，最终由一根15m高排气筒DA002排放。</w:t>
            </w:r>
            <w:r>
              <w:rPr>
                <w:rFonts w:ascii="Times New Roman" w:hAnsi="Times New Roman" w:eastAsia="宋体" w:cs="Times New Roman"/>
                <w:snapToGrid/>
                <w:color w:val="auto"/>
                <w:kern w:val="2"/>
                <w:sz w:val="24"/>
                <w:lang w:eastAsia="zh-CN"/>
              </w:rPr>
              <w:t>根据《关于印发〈主要污染物总量减排核算技术指南（2022年修订）〉的通知》表2-</w:t>
            </w:r>
            <w:r>
              <w:rPr>
                <w:rFonts w:hint="eastAsia" w:ascii="Times New Roman" w:hAnsi="Times New Roman" w:eastAsia="宋体" w:cs="Times New Roman"/>
                <w:snapToGrid/>
                <w:color w:val="auto"/>
                <w:kern w:val="2"/>
                <w:sz w:val="24"/>
                <w:lang w:val="en-US" w:eastAsia="zh-CN"/>
              </w:rPr>
              <w:t>3</w:t>
            </w:r>
            <w:r>
              <w:rPr>
                <w:rFonts w:ascii="Times New Roman" w:hAnsi="Times New Roman" w:eastAsia="宋体" w:cs="Times New Roman"/>
                <w:snapToGrid/>
                <w:color w:val="auto"/>
                <w:kern w:val="2"/>
                <w:sz w:val="24"/>
                <w:lang w:eastAsia="zh-CN" w:bidi="ar"/>
              </w:rPr>
              <w:t>VOCs 废气收集率和治理设施去除率通用系数</w:t>
            </w:r>
            <w:r>
              <w:rPr>
                <w:rFonts w:ascii="Times New Roman" w:hAnsi="Times New Roman" w:eastAsia="宋体" w:cs="Times New Roman"/>
                <w:snapToGrid/>
                <w:color w:val="auto"/>
                <w:kern w:val="2"/>
                <w:sz w:val="24"/>
                <w:lang w:eastAsia="zh-CN"/>
              </w:rPr>
              <w:t>，</w:t>
            </w:r>
            <w:r>
              <w:rPr>
                <w:rFonts w:hint="eastAsia" w:ascii="Times New Roman" w:hAnsi="Times New Roman" w:eastAsia="宋体" w:cs="Times New Roman"/>
                <w:snapToGrid/>
                <w:color w:val="auto"/>
                <w:kern w:val="2"/>
                <w:sz w:val="24"/>
                <w:lang w:val="en-US" w:eastAsia="zh-CN"/>
              </w:rPr>
              <w:t>密闭空间负压废气收集率为90%，</w:t>
            </w:r>
            <w:r>
              <w:rPr>
                <w:rFonts w:ascii="Times New Roman" w:hAnsi="Times New Roman" w:eastAsia="宋体" w:cs="Times New Roman"/>
                <w:snapToGrid/>
                <w:color w:val="auto"/>
                <w:kern w:val="2"/>
                <w:sz w:val="24"/>
                <w:lang w:eastAsia="zh-CN"/>
              </w:rPr>
              <w:t>单级</w:t>
            </w:r>
            <w:r>
              <w:rPr>
                <w:rFonts w:hint="eastAsia" w:ascii="Times New Roman" w:hAnsi="Times New Roman" w:eastAsia="宋体" w:cs="Times New Roman"/>
                <w:snapToGrid/>
                <w:color w:val="auto"/>
                <w:kern w:val="2"/>
                <w:sz w:val="24"/>
                <w:lang w:val="en-US" w:eastAsia="zh-CN"/>
              </w:rPr>
              <w:t>不再生</w:t>
            </w:r>
            <w:r>
              <w:rPr>
                <w:rFonts w:ascii="Times New Roman" w:hAnsi="Times New Roman" w:eastAsia="宋体" w:cs="Times New Roman"/>
                <w:snapToGrid/>
                <w:color w:val="auto"/>
                <w:kern w:val="2"/>
                <w:sz w:val="24"/>
                <w:lang w:eastAsia="zh-CN"/>
              </w:rPr>
              <w:t>活性炭吸附</w:t>
            </w:r>
            <w:r>
              <w:rPr>
                <w:rFonts w:hint="eastAsia" w:ascii="Times New Roman" w:hAnsi="Times New Roman" w:eastAsia="宋体" w:cs="Times New Roman"/>
                <w:snapToGrid/>
                <w:color w:val="auto"/>
                <w:kern w:val="2"/>
                <w:sz w:val="24"/>
                <w:lang w:val="en-US" w:eastAsia="zh-CN"/>
              </w:rPr>
              <w:t>率</w:t>
            </w:r>
            <w:r>
              <w:rPr>
                <w:rFonts w:ascii="Times New Roman" w:hAnsi="Times New Roman" w:eastAsia="宋体" w:cs="Times New Roman"/>
                <w:snapToGrid/>
                <w:color w:val="auto"/>
                <w:kern w:val="2"/>
                <w:sz w:val="24"/>
                <w:lang w:eastAsia="zh-CN"/>
              </w:rPr>
              <w:t>为</w:t>
            </w:r>
            <w:r>
              <w:rPr>
                <w:rFonts w:hint="eastAsia" w:ascii="Times New Roman" w:hAnsi="Times New Roman" w:eastAsia="宋体" w:cs="Times New Roman"/>
                <w:snapToGrid/>
                <w:color w:val="auto"/>
                <w:kern w:val="2"/>
                <w:sz w:val="24"/>
                <w:lang w:val="en-US" w:eastAsia="zh-CN"/>
              </w:rPr>
              <w:t>15</w:t>
            </w:r>
            <w:r>
              <w:rPr>
                <w:rFonts w:ascii="Times New Roman" w:hAnsi="Times New Roman" w:eastAsia="宋体" w:cs="Times New Roman"/>
                <w:snapToGrid/>
                <w:color w:val="auto"/>
                <w:kern w:val="2"/>
                <w:sz w:val="24"/>
                <w:lang w:eastAsia="zh-CN"/>
              </w:rPr>
              <w:t>%，则本项目二级活性炭吸附效率为</w:t>
            </w:r>
            <w:r>
              <w:rPr>
                <w:rFonts w:hint="eastAsia" w:ascii="Times New Roman" w:hAnsi="Times New Roman" w:eastAsia="宋体" w:cs="Times New Roman"/>
                <w:snapToGrid/>
                <w:color w:val="auto"/>
                <w:kern w:val="2"/>
                <w:sz w:val="24"/>
                <w:lang w:val="en-US" w:eastAsia="zh-CN"/>
              </w:rPr>
              <w:t>27.75</w:t>
            </w:r>
            <w:r>
              <w:rPr>
                <w:rFonts w:ascii="Times New Roman" w:hAnsi="Times New Roman" w:eastAsia="宋体" w:cs="Times New Roman"/>
                <w:snapToGrid/>
                <w:color w:val="auto"/>
                <w:kern w:val="2"/>
                <w:sz w:val="24"/>
                <w:lang w:eastAsia="zh-CN"/>
              </w:rPr>
              <w:t>%</w:t>
            </w:r>
            <w:r>
              <w:rPr>
                <w:rFonts w:hint="eastAsia" w:ascii="Times New Roman" w:hAnsi="Times New Roman" w:eastAsia="宋体" w:cs="Times New Roman"/>
                <w:snapToGrid/>
                <w:color w:val="auto"/>
                <w:kern w:val="2"/>
                <w:sz w:val="24"/>
                <w:lang w:eastAsia="zh-CN"/>
              </w:rPr>
              <w:t>，</w:t>
            </w:r>
            <w:r>
              <w:rPr>
                <w:rFonts w:hint="eastAsia" w:ascii="Times New Roman" w:hAnsi="Times New Roman" w:eastAsia="宋体" w:cs="Times New Roman"/>
                <w:snapToGrid/>
                <w:color w:val="auto"/>
                <w:kern w:val="2"/>
                <w:sz w:val="24"/>
                <w:lang w:val="en-US" w:eastAsia="zh-CN"/>
              </w:rPr>
              <w:t>本次按照25%计</w:t>
            </w:r>
            <w:r>
              <w:rPr>
                <w:rFonts w:ascii="Times New Roman" w:hAnsi="Times New Roman" w:eastAsia="宋体" w:cs="Times New Roman"/>
                <w:snapToGrid/>
                <w:color w:val="auto"/>
                <w:kern w:val="2"/>
                <w:sz w:val="24"/>
                <w:lang w:eastAsia="zh-CN"/>
              </w:rPr>
              <w:t>。风机风量为5000m</w:t>
            </w:r>
            <w:r>
              <w:rPr>
                <w:rFonts w:ascii="Times New Roman" w:hAnsi="Times New Roman" w:eastAsia="宋体" w:cs="Times New Roman"/>
                <w:snapToGrid/>
                <w:color w:val="auto"/>
                <w:kern w:val="2"/>
                <w:sz w:val="24"/>
                <w:vertAlign w:val="superscript"/>
                <w:lang w:eastAsia="zh-CN"/>
              </w:rPr>
              <w:t>3</w:t>
            </w:r>
            <w:r>
              <w:rPr>
                <w:rFonts w:ascii="Times New Roman" w:hAnsi="Times New Roman" w:eastAsia="宋体" w:cs="Times New Roman"/>
                <w:snapToGrid/>
                <w:color w:val="auto"/>
                <w:kern w:val="2"/>
                <w:sz w:val="24"/>
                <w:lang w:eastAsia="zh-CN"/>
              </w:rPr>
              <w:t>/h，年工作时长以2640小时计。</w:t>
            </w:r>
            <w:r>
              <w:rPr>
                <w:rFonts w:hint="eastAsia" w:ascii="Times New Roman" w:hAnsi="Times New Roman" w:eastAsia="宋体" w:cs="Times New Roman"/>
                <w:snapToGrid/>
                <w:color w:val="auto"/>
                <w:kern w:val="2"/>
                <w:sz w:val="24"/>
                <w:lang w:eastAsia="zh-CN"/>
              </w:rPr>
              <w:t>则挥发性有机物(以非甲烷总烃表征)无组织排放量为0.02t/a，排放速率为0.0076kg/h。有组织非甲烷总烃产生量为0.18t/a，排放量为</w:t>
            </w:r>
            <w:r>
              <w:rPr>
                <w:rFonts w:hint="eastAsia" w:ascii="Times New Roman" w:hAnsi="Times New Roman" w:eastAsia="宋体" w:cs="Times New Roman"/>
                <w:snapToGrid/>
                <w:color w:val="auto"/>
                <w:kern w:val="2"/>
                <w:sz w:val="24"/>
                <w:lang w:val="en-US" w:eastAsia="zh-CN"/>
              </w:rPr>
              <w:t>0.135</w:t>
            </w:r>
            <w:r>
              <w:rPr>
                <w:rFonts w:hint="eastAsia" w:ascii="Times New Roman" w:hAnsi="Times New Roman" w:eastAsia="宋体" w:cs="Times New Roman"/>
                <w:snapToGrid/>
                <w:color w:val="auto"/>
                <w:kern w:val="2"/>
                <w:sz w:val="24"/>
                <w:lang w:eastAsia="zh-CN"/>
              </w:rPr>
              <w:t>t//a，排放速率为0.0</w:t>
            </w:r>
            <w:r>
              <w:rPr>
                <w:rFonts w:hint="eastAsia" w:ascii="Times New Roman" w:hAnsi="Times New Roman" w:eastAsia="宋体" w:cs="Times New Roman"/>
                <w:snapToGrid/>
                <w:color w:val="auto"/>
                <w:kern w:val="2"/>
                <w:sz w:val="24"/>
                <w:lang w:val="en-US" w:eastAsia="zh-CN"/>
              </w:rPr>
              <w:t>511</w:t>
            </w:r>
            <w:r>
              <w:rPr>
                <w:rFonts w:hint="eastAsia" w:ascii="Times New Roman" w:hAnsi="Times New Roman" w:eastAsia="宋体" w:cs="Times New Roman"/>
                <w:snapToGrid/>
                <w:color w:val="auto"/>
                <w:kern w:val="2"/>
                <w:sz w:val="24"/>
                <w:lang w:eastAsia="zh-CN"/>
              </w:rPr>
              <w:t>kg/h，排放浓度</w:t>
            </w:r>
            <w:r>
              <w:rPr>
                <w:rFonts w:hint="eastAsia" w:ascii="Times New Roman" w:hAnsi="Times New Roman" w:eastAsia="宋体" w:cs="Times New Roman"/>
                <w:snapToGrid/>
                <w:color w:val="auto"/>
                <w:kern w:val="2"/>
                <w:sz w:val="24"/>
                <w:lang w:val="en-US" w:eastAsia="zh-CN"/>
              </w:rPr>
              <w:t>10.2</w:t>
            </w:r>
            <w:r>
              <w:rPr>
                <w:rFonts w:hint="eastAsia" w:ascii="Times New Roman" w:hAnsi="Times New Roman" w:eastAsia="宋体" w:cs="Times New Roman"/>
                <w:snapToGrid/>
                <w:color w:val="auto"/>
                <w:kern w:val="2"/>
                <w:sz w:val="24"/>
                <w:lang w:eastAsia="zh-CN"/>
              </w:rPr>
              <w:t>mg/m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w:t>
            </w:r>
          </w:p>
          <w:p>
            <w:pPr>
              <w:kinsoku/>
              <w:autoSpaceDE/>
              <w:autoSpaceDN/>
              <w:adjustRightInd/>
              <w:snapToGrid/>
              <w:spacing w:line="360" w:lineRule="auto"/>
              <w:ind w:firstLine="481" w:firstLineChars="200"/>
              <w:rPr>
                <w:rFonts w:ascii="Times New Roman" w:hAnsi="Times New Roman" w:eastAsia="宋体" w:cs="Times New Roman"/>
                <w:color w:val="auto"/>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、废气治理措施及可行性分析</w:t>
            </w:r>
          </w:p>
          <w:p>
            <w:pPr>
              <w:kinsoku/>
              <w:autoSpaceDE/>
              <w:autoSpaceDN/>
              <w:adjustRightInd/>
              <w:snapToGrid/>
              <w:spacing w:line="360" w:lineRule="auto"/>
              <w:ind w:firstLine="480" w:firstLineChars="200"/>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（1）废气治理措施</w:t>
            </w:r>
          </w:p>
          <w:p>
            <w:pPr>
              <w:kinsoku/>
              <w:autoSpaceDE/>
              <w:autoSpaceDN/>
              <w:adjustRightInd/>
              <w:snapToGrid/>
              <w:spacing w:line="360" w:lineRule="auto"/>
              <w:jc w:val="center"/>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表4-</w:t>
            </w:r>
            <w:r>
              <w:rPr>
                <w:rFonts w:hint="eastAsia" w:ascii="Times New Roman" w:hAnsi="Times New Roman" w:eastAsia="宋体" w:cs="Times New Roman"/>
                <w:b/>
                <w:bCs/>
                <w:color w:val="auto"/>
                <w:lang w:eastAsia="zh-CN"/>
              </w:rPr>
              <w:t>3</w:t>
            </w:r>
            <w:r>
              <w:rPr>
                <w:rFonts w:ascii="Times New Roman" w:hAnsi="Times New Roman" w:eastAsia="宋体" w:cs="Times New Roman"/>
                <w:b/>
                <w:bCs/>
                <w:color w:val="auto"/>
                <w:lang w:eastAsia="zh-CN"/>
              </w:rPr>
              <w:t>项目营运期废气产生量及治理措施一览表</w:t>
            </w:r>
          </w:p>
          <w:tbl>
            <w:tblPr>
              <w:tblStyle w:val="16"/>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1777"/>
              <w:gridCol w:w="235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80" w:type="dxa"/>
                  <w:shd w:val="clear" w:color="auto" w:fill="auto"/>
                  <w:vAlign w:val="center"/>
                </w:tcPr>
                <w:p>
                  <w:pPr>
                    <w:kinsoku/>
                    <w:jc w:val="center"/>
                    <w:rPr>
                      <w:color w:val="auto"/>
                    </w:rPr>
                  </w:pPr>
                  <w:r>
                    <w:rPr>
                      <w:color w:val="auto"/>
                      <w:lang w:eastAsia="zh-CN"/>
                    </w:rPr>
                    <w:t>产生部位</w:t>
                  </w:r>
                </w:p>
              </w:tc>
              <w:tc>
                <w:tcPr>
                  <w:tcW w:w="1777" w:type="dxa"/>
                  <w:shd w:val="clear" w:color="auto" w:fill="auto"/>
                  <w:vAlign w:val="center"/>
                </w:tcPr>
                <w:p>
                  <w:pPr>
                    <w:kinsoku/>
                    <w:jc w:val="center"/>
                    <w:rPr>
                      <w:color w:val="auto"/>
                    </w:rPr>
                  </w:pPr>
                  <w:r>
                    <w:rPr>
                      <w:color w:val="auto"/>
                      <w:lang w:eastAsia="zh-CN"/>
                    </w:rPr>
                    <w:t>废气种类</w:t>
                  </w:r>
                </w:p>
              </w:tc>
              <w:tc>
                <w:tcPr>
                  <w:tcW w:w="2356" w:type="dxa"/>
                  <w:shd w:val="clear" w:color="auto" w:fill="auto"/>
                  <w:vAlign w:val="center"/>
                </w:tcPr>
                <w:p>
                  <w:pPr>
                    <w:kinsoku/>
                    <w:jc w:val="center"/>
                    <w:rPr>
                      <w:color w:val="auto"/>
                    </w:rPr>
                  </w:pPr>
                  <w:r>
                    <w:rPr>
                      <w:rFonts w:hint="eastAsia"/>
                      <w:color w:val="auto"/>
                      <w:lang w:eastAsia="zh-CN"/>
                    </w:rPr>
                    <w:t>治理</w:t>
                  </w:r>
                  <w:r>
                    <w:rPr>
                      <w:color w:val="auto"/>
                      <w:lang w:eastAsia="zh-CN"/>
                    </w:rPr>
                    <w:t>措施</w:t>
                  </w:r>
                </w:p>
              </w:tc>
              <w:tc>
                <w:tcPr>
                  <w:tcW w:w="1746" w:type="dxa"/>
                  <w:shd w:val="clear" w:color="auto" w:fill="auto"/>
                  <w:vAlign w:val="center"/>
                </w:tcPr>
                <w:p>
                  <w:pPr>
                    <w:kinsoku/>
                    <w:jc w:val="center"/>
                    <w:rPr>
                      <w:color w:val="auto"/>
                    </w:rPr>
                  </w:pPr>
                  <w:r>
                    <w:rPr>
                      <w:color w:val="auto"/>
                      <w:lang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80" w:type="dxa"/>
                  <w:shd w:val="clear" w:color="auto" w:fill="auto"/>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机加工</w:t>
                  </w:r>
                  <w:r>
                    <w:rPr>
                      <w:rFonts w:ascii="Times New Roman" w:hAnsi="Times New Roman" w:eastAsia="宋体" w:cs="Times New Roman"/>
                      <w:b/>
                      <w:bCs/>
                      <w:color w:val="auto"/>
                      <w:lang w:eastAsia="zh-CN"/>
                    </w:rPr>
                    <w:t>废气排放口DA001</w:t>
                  </w:r>
                </w:p>
              </w:tc>
              <w:tc>
                <w:tcPr>
                  <w:tcW w:w="1777" w:type="dxa"/>
                  <w:shd w:val="clear" w:color="auto" w:fill="auto"/>
                  <w:vAlign w:val="center"/>
                </w:tcPr>
                <w:p>
                  <w:pPr>
                    <w:kinsoku/>
                    <w:jc w:val="center"/>
                    <w:rPr>
                      <w:color w:val="auto"/>
                    </w:rPr>
                  </w:pPr>
                  <w:r>
                    <w:rPr>
                      <w:color w:val="auto"/>
                      <w:lang w:eastAsia="zh-CN"/>
                    </w:rPr>
                    <w:t>颗粒物</w:t>
                  </w:r>
                </w:p>
              </w:tc>
              <w:tc>
                <w:tcPr>
                  <w:tcW w:w="2356" w:type="dxa"/>
                  <w:shd w:val="clear" w:color="auto" w:fill="auto"/>
                  <w:vAlign w:val="center"/>
                </w:tcPr>
                <w:p>
                  <w:pPr>
                    <w:kinsoku/>
                    <w:jc w:val="center"/>
                    <w:rPr>
                      <w:color w:val="auto"/>
                      <w:lang w:eastAsia="zh-CN"/>
                    </w:rPr>
                  </w:pPr>
                  <w:r>
                    <w:rPr>
                      <w:rFonts w:hint="eastAsia"/>
                      <w:color w:val="auto"/>
                      <w:lang w:eastAsia="zh-CN"/>
                    </w:rPr>
                    <w:t>设备自带吸尘管及设备上方集气罩</w:t>
                  </w:r>
                  <w:r>
                    <w:rPr>
                      <w:rFonts w:hint="eastAsia"/>
                      <w:color w:val="auto"/>
                      <w:lang w:val="en-US" w:eastAsia="zh-CN"/>
                    </w:rPr>
                    <w:t>+</w:t>
                  </w:r>
                  <w:r>
                    <w:rPr>
                      <w:rFonts w:hint="eastAsia"/>
                      <w:color w:val="auto"/>
                      <w:lang w:eastAsia="zh-CN"/>
                    </w:rPr>
                    <w:t>收集管</w:t>
                  </w:r>
                  <w:r>
                    <w:rPr>
                      <w:rFonts w:hint="eastAsia"/>
                      <w:color w:val="auto"/>
                      <w:lang w:val="en-US" w:eastAsia="zh-CN"/>
                    </w:rPr>
                    <w:t>+</w:t>
                  </w:r>
                  <w:r>
                    <w:rPr>
                      <w:rFonts w:hint="eastAsia"/>
                      <w:color w:val="auto"/>
                      <w:lang w:eastAsia="zh-CN"/>
                    </w:rPr>
                    <w:t>中央除尘系统</w:t>
                  </w:r>
                  <w:r>
                    <w:rPr>
                      <w:rFonts w:hint="eastAsia"/>
                      <w:color w:val="auto"/>
                      <w:lang w:val="en-US" w:eastAsia="zh-CN"/>
                    </w:rPr>
                    <w:t>+</w:t>
                  </w:r>
                  <w:r>
                    <w:rPr>
                      <w:rFonts w:hint="eastAsia"/>
                      <w:color w:val="auto"/>
                      <w:lang w:eastAsia="zh-CN"/>
                    </w:rPr>
                    <w:t>15m高排气筒</w:t>
                  </w:r>
                </w:p>
              </w:tc>
              <w:tc>
                <w:tcPr>
                  <w:tcW w:w="1746" w:type="dxa"/>
                  <w:shd w:val="clear" w:color="auto" w:fill="auto"/>
                  <w:vAlign w:val="center"/>
                </w:tcPr>
                <w:p>
                  <w:pPr>
                    <w:kinsoku/>
                    <w:jc w:val="center"/>
                    <w:rPr>
                      <w:color w:val="auto"/>
                      <w:lang w:eastAsia="zh-CN"/>
                    </w:rPr>
                  </w:pPr>
                  <w:r>
                    <w:rPr>
                      <w:color w:val="auto"/>
                      <w:lang w:eastAsia="zh-CN"/>
                    </w:rPr>
                    <w:t>有组织排放</w:t>
                  </w:r>
                </w:p>
                <w:p>
                  <w:pPr>
                    <w:kinsoku/>
                    <w:jc w:val="center"/>
                    <w:rPr>
                      <w:color w:val="auto"/>
                    </w:rPr>
                  </w:pPr>
                  <w:r>
                    <w:rPr>
                      <w:color w:val="auto"/>
                      <w:lang w:eastAsia="zh-CN"/>
                    </w:rPr>
                    <w:t>(DA00</w:t>
                  </w:r>
                  <w:r>
                    <w:rPr>
                      <w:rFonts w:hint="eastAsia"/>
                      <w:color w:val="auto"/>
                      <w:lang w:eastAsia="zh-CN"/>
                    </w:rPr>
                    <w:t>1</w:t>
                  </w:r>
                  <w:r>
                    <w:rPr>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80" w:type="dxa"/>
                  <w:shd w:val="clear" w:color="auto" w:fill="auto"/>
                  <w:vAlign w:val="center"/>
                </w:tcPr>
                <w:p>
                  <w:pPr>
                    <w:widowControl w:val="0"/>
                    <w:kinsoku/>
                    <w:autoSpaceDE/>
                    <w:autoSpaceDN/>
                    <w:adjustRightInd/>
                    <w:snapToGrid/>
                    <w:jc w:val="center"/>
                    <w:textAlignment w:val="auto"/>
                    <w:rPr>
                      <w:rFonts w:eastAsia="宋体" w:cs="Times New Roman"/>
                      <w:b/>
                      <w:bCs/>
                      <w:color w:val="auto"/>
                      <w:lang w:eastAsia="zh-CN"/>
                    </w:rPr>
                  </w:pPr>
                  <w:r>
                    <w:rPr>
                      <w:rFonts w:hint="eastAsia" w:eastAsia="宋体" w:cs="Times New Roman"/>
                      <w:b/>
                      <w:bCs/>
                      <w:color w:val="auto"/>
                      <w:lang w:eastAsia="zh-CN"/>
                    </w:rPr>
                    <w:t>封边废气排放口DA002</w:t>
                  </w:r>
                </w:p>
              </w:tc>
              <w:tc>
                <w:tcPr>
                  <w:tcW w:w="1777" w:type="dxa"/>
                  <w:shd w:val="clear" w:color="auto" w:fill="auto"/>
                  <w:vAlign w:val="center"/>
                </w:tcPr>
                <w:p>
                  <w:pPr>
                    <w:kinsoku/>
                    <w:jc w:val="center"/>
                    <w:rPr>
                      <w:color w:val="auto"/>
                      <w:lang w:eastAsia="zh-CN"/>
                    </w:rPr>
                  </w:pPr>
                  <w:r>
                    <w:rPr>
                      <w:color w:val="auto"/>
                      <w:lang w:eastAsia="zh-CN"/>
                    </w:rPr>
                    <w:t>VOCs</w:t>
                  </w:r>
                </w:p>
              </w:tc>
              <w:tc>
                <w:tcPr>
                  <w:tcW w:w="2356" w:type="dxa"/>
                  <w:shd w:val="clear" w:color="auto" w:fill="auto"/>
                  <w:vAlign w:val="center"/>
                </w:tcPr>
                <w:p>
                  <w:pPr>
                    <w:kinsoku/>
                    <w:jc w:val="center"/>
                    <w:rPr>
                      <w:color w:val="auto"/>
                      <w:lang w:eastAsia="zh-CN"/>
                    </w:rPr>
                  </w:pPr>
                  <w:r>
                    <w:rPr>
                      <w:rFonts w:hint="eastAsia" w:ascii="宋体" w:hAnsi="宋体" w:eastAsia="宋体" w:cs="宋体"/>
                      <w:color w:val="auto"/>
                      <w:spacing w:val="4"/>
                      <w:lang w:eastAsia="zh-CN"/>
                    </w:rPr>
                    <w:t>与</w:t>
                  </w:r>
                  <w:r>
                    <w:rPr>
                      <w:rFonts w:hint="eastAsia" w:ascii="宋体" w:hAnsi="宋体" w:eastAsia="宋体" w:cs="宋体"/>
                      <w:color w:val="auto"/>
                      <w:spacing w:val="4"/>
                      <w:lang w:val="en-US" w:eastAsia="zh-CN"/>
                    </w:rPr>
                    <w:t>盖板式</w:t>
                  </w:r>
                  <w:r>
                    <w:rPr>
                      <w:rFonts w:hint="eastAsia" w:ascii="宋体" w:hAnsi="宋体" w:eastAsia="宋体" w:cs="宋体"/>
                      <w:color w:val="auto"/>
                      <w:spacing w:val="4"/>
                      <w:lang w:eastAsia="zh-CN"/>
                    </w:rPr>
                    <w:t>设备紧密相连的集气管道</w:t>
                  </w:r>
                  <w:r>
                    <w:rPr>
                      <w:color w:val="auto"/>
                      <w:lang w:eastAsia="zh-CN"/>
                    </w:rPr>
                    <w:t>+</w:t>
                  </w:r>
                  <w:r>
                    <w:rPr>
                      <w:rFonts w:hint="eastAsia"/>
                      <w:color w:val="auto"/>
                      <w:lang w:eastAsia="zh-CN"/>
                    </w:rPr>
                    <w:t>“二级活性炭吸附”</w:t>
                  </w:r>
                  <w:r>
                    <w:rPr>
                      <w:color w:val="auto"/>
                      <w:lang w:eastAsia="zh-CN"/>
                    </w:rPr>
                    <w:t>+15m高排气筒</w:t>
                  </w:r>
                </w:p>
              </w:tc>
              <w:tc>
                <w:tcPr>
                  <w:tcW w:w="1746" w:type="dxa"/>
                  <w:shd w:val="clear" w:color="auto" w:fill="auto"/>
                  <w:vAlign w:val="center"/>
                </w:tcPr>
                <w:p>
                  <w:pPr>
                    <w:kinsoku/>
                    <w:jc w:val="center"/>
                    <w:rPr>
                      <w:color w:val="auto"/>
                      <w:lang w:eastAsia="zh-CN"/>
                    </w:rPr>
                  </w:pPr>
                  <w:r>
                    <w:rPr>
                      <w:color w:val="auto"/>
                      <w:lang w:eastAsia="zh-CN"/>
                    </w:rPr>
                    <w:t>有组织排放</w:t>
                  </w:r>
                </w:p>
                <w:p>
                  <w:pPr>
                    <w:kinsoku/>
                    <w:jc w:val="center"/>
                    <w:rPr>
                      <w:color w:val="auto"/>
                      <w:lang w:eastAsia="zh-CN"/>
                    </w:rPr>
                  </w:pPr>
                  <w:r>
                    <w:rPr>
                      <w:color w:val="auto"/>
                      <w:lang w:eastAsia="zh-CN"/>
                    </w:rPr>
                    <w:t>(DA00</w:t>
                  </w:r>
                  <w:r>
                    <w:rPr>
                      <w:rFonts w:hint="eastAsia"/>
                      <w:color w:val="auto"/>
                      <w:lang w:eastAsia="zh-CN"/>
                    </w:rPr>
                    <w:t>2</w:t>
                  </w:r>
                  <w:r>
                    <w:rPr>
                      <w:color w:val="auto"/>
                      <w:lang w:eastAsia="zh-CN"/>
                    </w:rPr>
                    <w:t>)</w:t>
                  </w:r>
                </w:p>
              </w:tc>
            </w:tr>
          </w:tbl>
          <w:p>
            <w:pPr>
              <w:pStyle w:val="22"/>
              <w:kinsoku/>
              <w:spacing w:before="27" w:line="353" w:lineRule="auto"/>
              <w:ind w:left="109" w:right="101" w:firstLine="482"/>
              <w:jc w:val="both"/>
              <w:rPr>
                <w:rFonts w:hint="eastAsia"/>
                <w:color w:val="auto"/>
                <w:lang w:eastAsia="zh-CN"/>
              </w:rPr>
            </w:pPr>
            <w:r>
              <w:rPr>
                <w:rFonts w:hint="eastAsia"/>
                <w:color w:val="auto"/>
                <w:lang w:eastAsia="zh-CN"/>
              </w:rPr>
              <w:t>（2）可行性分析</w:t>
            </w:r>
          </w:p>
          <w:p>
            <w:pPr>
              <w:pStyle w:val="22"/>
              <w:kinsoku/>
              <w:spacing w:before="34" w:line="347" w:lineRule="auto"/>
              <w:ind w:left="112" w:right="102" w:firstLine="479"/>
              <w:rPr>
                <w:rFonts w:hint="eastAsia"/>
                <w:color w:val="auto"/>
                <w:spacing w:val="1"/>
                <w:lang w:eastAsia="zh-CN"/>
              </w:rPr>
            </w:pPr>
            <w:r>
              <w:rPr>
                <w:rFonts w:hint="eastAsia"/>
                <w:color w:val="auto"/>
                <w:spacing w:val="1"/>
                <w:lang w:eastAsia="zh-CN"/>
              </w:rPr>
              <w:t>根据《排污许可证申请与核发技术规范 家具制造工业》</w:t>
            </w:r>
            <w:r>
              <w:rPr>
                <w:rFonts w:ascii="Times New Roman" w:hAnsi="Times New Roman" w:cs="Times New Roman"/>
                <w:color w:val="auto"/>
                <w:spacing w:val="1"/>
                <w:lang w:eastAsia="zh-CN"/>
              </w:rPr>
              <w:t>(HJ1027-2019)</w:t>
            </w:r>
            <w:r>
              <w:rPr>
                <w:rFonts w:hint="eastAsia"/>
                <w:color w:val="auto"/>
                <w:spacing w:val="1"/>
                <w:lang w:eastAsia="zh-CN"/>
              </w:rPr>
              <w:t>工业排污单位废气污染防治可行技术参考表中，颗粒物采用中央除尘系统处理及非甲烷总烃使用活性炭吸附处理是可行的，见下表4-4。</w:t>
            </w:r>
          </w:p>
          <w:p>
            <w:pPr>
              <w:pStyle w:val="22"/>
              <w:kinsoku/>
              <w:spacing w:before="34" w:line="347" w:lineRule="auto"/>
              <w:ind w:left="112" w:right="102" w:firstLine="479"/>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表4-4《排污许可证申请与核发技术规范 家具制造工业》(HJ1027-2019)工业排污单位废气污染防治可行技术一览表</w:t>
            </w:r>
          </w:p>
          <w:tbl>
            <w:tblPr>
              <w:tblStyle w:val="16"/>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80"/>
              <w:gridCol w:w="1050"/>
              <w:gridCol w:w="1213"/>
              <w:gridCol w:w="915"/>
              <w:gridCol w:w="1605"/>
              <w:gridCol w:w="1125"/>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88" w:type="dxa"/>
                  <w:vMerge w:val="restart"/>
                  <w:shd w:val="clear" w:color="auto" w:fill="auto"/>
                  <w:vAlign w:val="center"/>
                </w:tcPr>
                <w:p>
                  <w:pPr>
                    <w:kinsoku/>
                    <w:jc w:val="center"/>
                    <w:rPr>
                      <w:rFonts w:eastAsia="宋体"/>
                      <w:color w:val="auto"/>
                      <w:lang w:eastAsia="zh-CN"/>
                    </w:rPr>
                  </w:pPr>
                  <w:r>
                    <w:rPr>
                      <w:rFonts w:hint="eastAsia" w:eastAsia="宋体"/>
                      <w:color w:val="auto"/>
                      <w:lang w:eastAsia="zh-CN"/>
                    </w:rPr>
                    <w:t>生产单元</w:t>
                  </w:r>
                </w:p>
              </w:tc>
              <w:tc>
                <w:tcPr>
                  <w:tcW w:w="1080" w:type="dxa"/>
                  <w:vMerge w:val="restart"/>
                  <w:shd w:val="clear" w:color="auto" w:fill="auto"/>
                  <w:vAlign w:val="center"/>
                </w:tcPr>
                <w:p>
                  <w:pPr>
                    <w:kinsoku/>
                    <w:jc w:val="center"/>
                    <w:rPr>
                      <w:rFonts w:eastAsia="宋体"/>
                      <w:color w:val="auto"/>
                      <w:lang w:eastAsia="zh-CN"/>
                    </w:rPr>
                  </w:pPr>
                  <w:r>
                    <w:rPr>
                      <w:rFonts w:hint="eastAsia" w:eastAsia="宋体"/>
                      <w:color w:val="auto"/>
                      <w:lang w:eastAsia="zh-CN"/>
                    </w:rPr>
                    <w:t>生产设施</w:t>
                  </w:r>
                </w:p>
              </w:tc>
              <w:tc>
                <w:tcPr>
                  <w:tcW w:w="1050" w:type="dxa"/>
                  <w:vMerge w:val="restart"/>
                  <w:shd w:val="clear" w:color="auto" w:fill="auto"/>
                  <w:vAlign w:val="center"/>
                </w:tcPr>
                <w:p>
                  <w:pPr>
                    <w:kinsoku/>
                    <w:jc w:val="center"/>
                    <w:rPr>
                      <w:rFonts w:eastAsia="宋体"/>
                      <w:color w:val="auto"/>
                      <w:lang w:eastAsia="zh-CN"/>
                    </w:rPr>
                  </w:pPr>
                  <w:r>
                    <w:rPr>
                      <w:rFonts w:hint="eastAsia" w:eastAsia="宋体"/>
                      <w:color w:val="auto"/>
                      <w:lang w:eastAsia="zh-CN"/>
                    </w:rPr>
                    <w:t>废气产污环节</w:t>
                  </w:r>
                </w:p>
              </w:tc>
              <w:tc>
                <w:tcPr>
                  <w:tcW w:w="1213" w:type="dxa"/>
                  <w:vMerge w:val="restart"/>
                  <w:shd w:val="clear" w:color="auto" w:fill="auto"/>
                  <w:vAlign w:val="center"/>
                </w:tcPr>
                <w:p>
                  <w:pPr>
                    <w:kinsoku/>
                    <w:jc w:val="center"/>
                    <w:rPr>
                      <w:rFonts w:eastAsia="宋体"/>
                      <w:color w:val="auto"/>
                      <w:lang w:eastAsia="zh-CN"/>
                    </w:rPr>
                  </w:pPr>
                  <w:r>
                    <w:rPr>
                      <w:rFonts w:hint="eastAsia" w:eastAsia="宋体"/>
                      <w:color w:val="auto"/>
                      <w:lang w:eastAsia="zh-CN"/>
                    </w:rPr>
                    <w:t>污染物种类</w:t>
                  </w:r>
                </w:p>
              </w:tc>
              <w:tc>
                <w:tcPr>
                  <w:tcW w:w="915" w:type="dxa"/>
                  <w:vMerge w:val="restart"/>
                  <w:shd w:val="clear" w:color="auto" w:fill="auto"/>
                  <w:vAlign w:val="center"/>
                </w:tcPr>
                <w:p>
                  <w:pPr>
                    <w:kinsoku/>
                    <w:jc w:val="center"/>
                    <w:rPr>
                      <w:color w:val="auto"/>
                      <w:lang w:eastAsia="zh-CN"/>
                    </w:rPr>
                  </w:pPr>
                  <w:r>
                    <w:rPr>
                      <w:rFonts w:hint="eastAsia"/>
                      <w:color w:val="auto"/>
                      <w:lang w:eastAsia="zh-CN"/>
                    </w:rPr>
                    <w:t>排放方式</w:t>
                  </w:r>
                </w:p>
              </w:tc>
              <w:tc>
                <w:tcPr>
                  <w:tcW w:w="2730" w:type="dxa"/>
                  <w:gridSpan w:val="2"/>
                  <w:shd w:val="clear" w:color="auto" w:fill="auto"/>
                  <w:vAlign w:val="center"/>
                </w:tcPr>
                <w:p>
                  <w:pPr>
                    <w:kinsoku/>
                    <w:jc w:val="center"/>
                    <w:rPr>
                      <w:color w:val="auto"/>
                      <w:lang w:eastAsia="zh-CN"/>
                    </w:rPr>
                  </w:pPr>
                  <w:r>
                    <w:rPr>
                      <w:rFonts w:hint="eastAsia"/>
                      <w:color w:val="auto"/>
                      <w:lang w:eastAsia="zh-CN"/>
                    </w:rPr>
                    <w:t>污染防治措施</w:t>
                  </w:r>
                </w:p>
              </w:tc>
              <w:tc>
                <w:tcPr>
                  <w:tcW w:w="967" w:type="dxa"/>
                  <w:vMerge w:val="restart"/>
                  <w:shd w:val="clear" w:color="auto" w:fill="auto"/>
                  <w:vAlign w:val="center"/>
                </w:tcPr>
                <w:p>
                  <w:pPr>
                    <w:kinsoku/>
                    <w:jc w:val="center"/>
                    <w:rPr>
                      <w:color w:val="auto"/>
                      <w:lang w:eastAsia="zh-CN"/>
                    </w:rPr>
                  </w:pPr>
                  <w:r>
                    <w:rPr>
                      <w:rFonts w:hint="eastAsia"/>
                      <w:color w:val="auto"/>
                      <w:lang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8" w:type="dxa"/>
                  <w:vMerge w:val="continue"/>
                  <w:shd w:val="clear" w:color="auto" w:fill="auto"/>
                  <w:vAlign w:val="center"/>
                </w:tcPr>
                <w:p>
                  <w:pPr>
                    <w:kinsoku/>
                    <w:jc w:val="center"/>
                    <w:rPr>
                      <w:rFonts w:eastAsia="宋体"/>
                      <w:color w:val="auto"/>
                      <w:lang w:eastAsia="zh-CN"/>
                    </w:rPr>
                  </w:pPr>
                </w:p>
              </w:tc>
              <w:tc>
                <w:tcPr>
                  <w:tcW w:w="1080" w:type="dxa"/>
                  <w:vMerge w:val="continue"/>
                  <w:shd w:val="clear" w:color="auto" w:fill="auto"/>
                  <w:vAlign w:val="center"/>
                </w:tcPr>
                <w:p>
                  <w:pPr>
                    <w:kinsoku/>
                    <w:jc w:val="center"/>
                    <w:rPr>
                      <w:rFonts w:eastAsia="宋体"/>
                      <w:color w:val="auto"/>
                      <w:lang w:eastAsia="zh-CN"/>
                    </w:rPr>
                  </w:pPr>
                </w:p>
              </w:tc>
              <w:tc>
                <w:tcPr>
                  <w:tcW w:w="1050" w:type="dxa"/>
                  <w:vMerge w:val="continue"/>
                  <w:shd w:val="clear" w:color="auto" w:fill="auto"/>
                  <w:vAlign w:val="center"/>
                </w:tcPr>
                <w:p>
                  <w:pPr>
                    <w:kinsoku/>
                    <w:jc w:val="center"/>
                    <w:rPr>
                      <w:rFonts w:eastAsia="宋体"/>
                      <w:color w:val="auto"/>
                      <w:lang w:eastAsia="zh-CN"/>
                    </w:rPr>
                  </w:pPr>
                </w:p>
              </w:tc>
              <w:tc>
                <w:tcPr>
                  <w:tcW w:w="1213" w:type="dxa"/>
                  <w:vMerge w:val="continue"/>
                  <w:shd w:val="clear" w:color="auto" w:fill="auto"/>
                  <w:vAlign w:val="center"/>
                </w:tcPr>
                <w:p>
                  <w:pPr>
                    <w:kinsoku/>
                    <w:jc w:val="center"/>
                    <w:rPr>
                      <w:rFonts w:eastAsia="宋体"/>
                      <w:color w:val="auto"/>
                      <w:lang w:eastAsia="zh-CN"/>
                    </w:rPr>
                  </w:pPr>
                </w:p>
              </w:tc>
              <w:tc>
                <w:tcPr>
                  <w:tcW w:w="915" w:type="dxa"/>
                  <w:vMerge w:val="continue"/>
                  <w:shd w:val="clear" w:color="auto" w:fill="auto"/>
                  <w:vAlign w:val="center"/>
                </w:tcPr>
                <w:p>
                  <w:pPr>
                    <w:kinsoku/>
                    <w:jc w:val="center"/>
                    <w:rPr>
                      <w:color w:val="auto"/>
                      <w:lang w:eastAsia="zh-CN"/>
                    </w:rPr>
                  </w:pPr>
                </w:p>
              </w:tc>
              <w:tc>
                <w:tcPr>
                  <w:tcW w:w="1605" w:type="dxa"/>
                  <w:shd w:val="clear" w:color="auto" w:fill="auto"/>
                  <w:vAlign w:val="center"/>
                </w:tcPr>
                <w:p>
                  <w:pPr>
                    <w:kinsoku/>
                    <w:jc w:val="center"/>
                    <w:rPr>
                      <w:color w:val="auto"/>
                      <w:lang w:eastAsia="zh-CN"/>
                    </w:rPr>
                  </w:pPr>
                  <w:r>
                    <w:rPr>
                      <w:rFonts w:hint="eastAsia"/>
                      <w:color w:val="auto"/>
                      <w:lang w:eastAsia="zh-CN"/>
                    </w:rPr>
                    <w:t>污染防治措施名称及工艺</w:t>
                  </w:r>
                </w:p>
              </w:tc>
              <w:tc>
                <w:tcPr>
                  <w:tcW w:w="1125" w:type="dxa"/>
                  <w:shd w:val="clear" w:color="auto" w:fill="auto"/>
                  <w:vAlign w:val="center"/>
                </w:tcPr>
                <w:p>
                  <w:pPr>
                    <w:kinsoku/>
                    <w:jc w:val="center"/>
                    <w:rPr>
                      <w:color w:val="auto"/>
                      <w:lang w:eastAsia="zh-CN"/>
                    </w:rPr>
                  </w:pPr>
                  <w:r>
                    <w:rPr>
                      <w:rFonts w:hint="eastAsia"/>
                      <w:color w:val="auto"/>
                      <w:lang w:eastAsia="zh-CN"/>
                    </w:rPr>
                    <w:t>是否为技术可行</w:t>
                  </w:r>
                </w:p>
              </w:tc>
              <w:tc>
                <w:tcPr>
                  <w:tcW w:w="967" w:type="dxa"/>
                  <w:vMerge w:val="continue"/>
                  <w:shd w:val="clear" w:color="auto" w:fill="auto"/>
                  <w:vAlign w:val="center"/>
                </w:tcPr>
                <w:p>
                  <w:pPr>
                    <w:kinsoku/>
                    <w:jc w:val="center"/>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88" w:type="dxa"/>
                  <w:vMerge w:val="restart"/>
                  <w:shd w:val="clear" w:color="auto" w:fill="auto"/>
                  <w:vAlign w:val="center"/>
                </w:tcPr>
                <w:p>
                  <w:pPr>
                    <w:widowControl w:val="0"/>
                    <w:kinsoku/>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rPr>
                    <w:t>木工车间</w:t>
                  </w:r>
                </w:p>
              </w:tc>
              <w:tc>
                <w:tcPr>
                  <w:tcW w:w="1080" w:type="dxa"/>
                  <w:shd w:val="clear" w:color="auto" w:fill="auto"/>
                  <w:vAlign w:val="center"/>
                </w:tcPr>
                <w:p>
                  <w:pPr>
                    <w:kinsoku/>
                    <w:jc w:val="center"/>
                    <w:rPr>
                      <w:rFonts w:eastAsia="宋体"/>
                      <w:color w:val="auto"/>
                      <w:lang w:eastAsia="zh-CN"/>
                    </w:rPr>
                  </w:pPr>
                  <w:r>
                    <w:rPr>
                      <w:rFonts w:hint="eastAsia" w:eastAsia="宋体"/>
                      <w:color w:val="auto"/>
                      <w:lang w:eastAsia="zh-CN"/>
                    </w:rPr>
                    <w:t>开料机、齐边机、锯床、刨床、镂铣机、雕刻机、砂光机、其他</w:t>
                  </w:r>
                </w:p>
              </w:tc>
              <w:tc>
                <w:tcPr>
                  <w:tcW w:w="1050" w:type="dxa"/>
                  <w:vMerge w:val="restart"/>
                  <w:shd w:val="clear" w:color="auto" w:fill="auto"/>
                  <w:vAlign w:val="center"/>
                </w:tcPr>
                <w:p>
                  <w:pPr>
                    <w:kinsoku/>
                    <w:jc w:val="center"/>
                    <w:rPr>
                      <w:color w:val="auto"/>
                      <w:lang w:eastAsia="zh-CN"/>
                    </w:rPr>
                  </w:pPr>
                  <w:r>
                    <w:rPr>
                      <w:rFonts w:hint="eastAsia"/>
                      <w:color w:val="auto"/>
                      <w:lang w:eastAsia="zh-CN"/>
                    </w:rPr>
                    <w:t>木工车间废气</w:t>
                  </w:r>
                </w:p>
              </w:tc>
              <w:tc>
                <w:tcPr>
                  <w:tcW w:w="1213" w:type="dxa"/>
                  <w:shd w:val="clear" w:color="auto" w:fill="auto"/>
                  <w:vAlign w:val="center"/>
                </w:tcPr>
                <w:p>
                  <w:pPr>
                    <w:kinsoku/>
                    <w:jc w:val="center"/>
                    <w:rPr>
                      <w:rFonts w:eastAsia="宋体"/>
                      <w:color w:val="auto"/>
                      <w:lang w:eastAsia="zh-CN"/>
                    </w:rPr>
                  </w:pPr>
                  <w:r>
                    <w:rPr>
                      <w:rFonts w:hint="eastAsia" w:eastAsia="宋体"/>
                      <w:color w:val="auto"/>
                      <w:lang w:eastAsia="zh-CN"/>
                    </w:rPr>
                    <w:t>颗粒物</w:t>
                  </w:r>
                </w:p>
              </w:tc>
              <w:tc>
                <w:tcPr>
                  <w:tcW w:w="915" w:type="dxa"/>
                  <w:shd w:val="clear" w:color="auto" w:fill="auto"/>
                  <w:vAlign w:val="center"/>
                </w:tcPr>
                <w:p>
                  <w:pPr>
                    <w:kinsoku/>
                    <w:jc w:val="center"/>
                    <w:rPr>
                      <w:color w:val="auto"/>
                      <w:lang w:eastAsia="zh-CN"/>
                    </w:rPr>
                  </w:pPr>
                  <w:r>
                    <w:rPr>
                      <w:rFonts w:hint="eastAsia"/>
                      <w:color w:val="auto"/>
                      <w:lang w:eastAsia="zh-CN"/>
                    </w:rPr>
                    <w:t>有组织</w:t>
                  </w:r>
                </w:p>
                <w:p>
                  <w:pPr>
                    <w:kinsoku/>
                    <w:jc w:val="center"/>
                    <w:rPr>
                      <w:color w:val="auto"/>
                      <w:lang w:eastAsia="zh-CN"/>
                    </w:rPr>
                  </w:pPr>
                  <w:r>
                    <w:rPr>
                      <w:rFonts w:hint="eastAsia"/>
                      <w:color w:val="auto"/>
                      <w:lang w:eastAsia="zh-CN"/>
                    </w:rPr>
                    <w:t>无组织</w:t>
                  </w:r>
                </w:p>
              </w:tc>
              <w:tc>
                <w:tcPr>
                  <w:tcW w:w="1605" w:type="dxa"/>
                  <w:shd w:val="clear" w:color="auto" w:fill="auto"/>
                  <w:vAlign w:val="center"/>
                </w:tcPr>
                <w:p>
                  <w:pPr>
                    <w:kinsoku/>
                    <w:jc w:val="center"/>
                    <w:rPr>
                      <w:color w:val="auto"/>
                      <w:lang w:eastAsia="zh-CN"/>
                    </w:rPr>
                  </w:pPr>
                  <w:r>
                    <w:rPr>
                      <w:rFonts w:hint="eastAsia"/>
                      <w:color w:val="auto"/>
                      <w:lang w:eastAsia="zh-CN"/>
                    </w:rPr>
                    <w:t>袋式除尘</w:t>
                  </w:r>
                </w:p>
                <w:p>
                  <w:pPr>
                    <w:kinsoku/>
                    <w:jc w:val="center"/>
                    <w:rPr>
                      <w:color w:val="auto"/>
                      <w:lang w:eastAsia="zh-CN"/>
                    </w:rPr>
                  </w:pPr>
                  <w:r>
                    <w:rPr>
                      <w:rFonts w:hint="eastAsia"/>
                      <w:color w:val="auto"/>
                      <w:lang w:eastAsia="zh-CN"/>
                    </w:rPr>
                    <w:t>中央除尘系统</w:t>
                  </w:r>
                </w:p>
                <w:p>
                  <w:pPr>
                    <w:kinsoku/>
                    <w:jc w:val="center"/>
                    <w:rPr>
                      <w:color w:val="auto"/>
                      <w:lang w:eastAsia="zh-CN"/>
                    </w:rPr>
                  </w:pPr>
                  <w:r>
                    <w:rPr>
                      <w:rFonts w:hint="eastAsia"/>
                      <w:color w:val="auto"/>
                      <w:lang w:eastAsia="zh-CN"/>
                    </w:rPr>
                    <w:t>负压舱</w:t>
                  </w:r>
                </w:p>
                <w:p>
                  <w:pPr>
                    <w:kinsoku/>
                    <w:jc w:val="center"/>
                    <w:rPr>
                      <w:color w:val="auto"/>
                      <w:lang w:eastAsia="zh-CN"/>
                    </w:rPr>
                  </w:pPr>
                  <w:r>
                    <w:rPr>
                      <w:rFonts w:hint="eastAsia"/>
                      <w:color w:val="auto"/>
                      <w:lang w:eastAsia="zh-CN"/>
                    </w:rPr>
                    <w:t>其他</w:t>
                  </w:r>
                </w:p>
              </w:tc>
              <w:tc>
                <w:tcPr>
                  <w:tcW w:w="1125" w:type="dxa"/>
                  <w:shd w:val="clear" w:color="auto" w:fill="auto"/>
                  <w:vAlign w:val="center"/>
                </w:tcPr>
                <w:p>
                  <w:pPr>
                    <w:kinsoku/>
                    <w:jc w:val="center"/>
                    <w:rPr>
                      <w:color w:val="auto"/>
                      <w:lang w:eastAsia="zh-CN"/>
                    </w:rPr>
                  </w:pPr>
                  <w:r>
                    <w:rPr>
                      <w:rFonts w:hint="eastAsia"/>
                      <w:color w:val="auto"/>
                      <w:lang w:eastAsia="zh-CN"/>
                    </w:rPr>
                    <w:t>是</w:t>
                  </w:r>
                </w:p>
              </w:tc>
              <w:tc>
                <w:tcPr>
                  <w:tcW w:w="967" w:type="dxa"/>
                  <w:shd w:val="clear" w:color="auto" w:fill="auto"/>
                  <w:vAlign w:val="center"/>
                </w:tcPr>
                <w:p>
                  <w:pPr>
                    <w:kinsoku/>
                    <w:jc w:val="center"/>
                    <w:rPr>
                      <w:color w:val="auto"/>
                      <w:lang w:eastAsia="zh-CN"/>
                    </w:rPr>
                  </w:pPr>
                  <w:r>
                    <w:rPr>
                      <w:rFonts w:hint="eastAsia"/>
                      <w:color w:val="auto"/>
                      <w:lang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88" w:type="dxa"/>
                  <w:vMerge w:val="continue"/>
                  <w:shd w:val="clear" w:color="auto" w:fill="auto"/>
                  <w:vAlign w:val="center"/>
                </w:tcPr>
                <w:p>
                  <w:pPr>
                    <w:widowControl w:val="0"/>
                    <w:kinsoku/>
                    <w:autoSpaceDE/>
                    <w:autoSpaceDN/>
                    <w:adjustRightInd/>
                    <w:snapToGrid/>
                    <w:jc w:val="center"/>
                    <w:textAlignment w:val="auto"/>
                    <w:rPr>
                      <w:rFonts w:eastAsia="宋体" w:cs="Times New Roman"/>
                      <w:b/>
                      <w:bCs/>
                      <w:color w:val="auto"/>
                      <w:lang w:eastAsia="zh-CN"/>
                    </w:rPr>
                  </w:pPr>
                </w:p>
              </w:tc>
              <w:tc>
                <w:tcPr>
                  <w:tcW w:w="1080" w:type="dxa"/>
                  <w:shd w:val="clear" w:color="auto" w:fill="auto"/>
                  <w:vAlign w:val="center"/>
                </w:tcPr>
                <w:p>
                  <w:pPr>
                    <w:kinsoku/>
                    <w:jc w:val="center"/>
                    <w:rPr>
                      <w:color w:val="auto"/>
                      <w:lang w:eastAsia="zh-CN"/>
                    </w:rPr>
                  </w:pPr>
                  <w:r>
                    <w:rPr>
                      <w:rFonts w:hint="eastAsia"/>
                      <w:color w:val="auto"/>
                      <w:lang w:eastAsia="zh-CN"/>
                    </w:rPr>
                    <w:t>封边机、指接机、拼板机、其他</w:t>
                  </w:r>
                </w:p>
              </w:tc>
              <w:tc>
                <w:tcPr>
                  <w:tcW w:w="1050" w:type="dxa"/>
                  <w:vMerge w:val="continue"/>
                  <w:shd w:val="clear" w:color="auto" w:fill="auto"/>
                  <w:vAlign w:val="center"/>
                </w:tcPr>
                <w:p>
                  <w:pPr>
                    <w:kinsoku/>
                    <w:jc w:val="center"/>
                    <w:rPr>
                      <w:color w:val="auto"/>
                      <w:lang w:eastAsia="zh-CN"/>
                    </w:rPr>
                  </w:pPr>
                </w:p>
              </w:tc>
              <w:tc>
                <w:tcPr>
                  <w:tcW w:w="1213" w:type="dxa"/>
                  <w:shd w:val="clear" w:color="auto" w:fill="auto"/>
                  <w:vAlign w:val="center"/>
                </w:tcPr>
                <w:p>
                  <w:pPr>
                    <w:kinsoku/>
                    <w:jc w:val="center"/>
                    <w:rPr>
                      <w:color w:val="auto"/>
                      <w:lang w:eastAsia="zh-CN"/>
                    </w:rPr>
                  </w:pPr>
                  <w:r>
                    <w:rPr>
                      <w:rFonts w:hint="eastAsia"/>
                      <w:color w:val="auto"/>
                      <w:lang w:eastAsia="zh-CN"/>
                    </w:rPr>
                    <w:t>挥发性有机物</w:t>
                  </w:r>
                </w:p>
              </w:tc>
              <w:tc>
                <w:tcPr>
                  <w:tcW w:w="915" w:type="dxa"/>
                  <w:shd w:val="clear" w:color="auto" w:fill="auto"/>
                  <w:vAlign w:val="center"/>
                </w:tcPr>
                <w:p>
                  <w:pPr>
                    <w:kinsoku/>
                    <w:jc w:val="center"/>
                    <w:rPr>
                      <w:color w:val="auto"/>
                      <w:lang w:eastAsia="zh-CN"/>
                    </w:rPr>
                  </w:pPr>
                  <w:r>
                    <w:rPr>
                      <w:rFonts w:hint="eastAsia"/>
                      <w:color w:val="auto"/>
                      <w:lang w:eastAsia="zh-CN"/>
                    </w:rPr>
                    <w:t>有组织</w:t>
                  </w:r>
                </w:p>
                <w:p>
                  <w:pPr>
                    <w:kinsoku/>
                    <w:jc w:val="center"/>
                    <w:rPr>
                      <w:color w:val="auto"/>
                      <w:lang w:eastAsia="zh-CN"/>
                    </w:rPr>
                  </w:pPr>
                  <w:r>
                    <w:rPr>
                      <w:rFonts w:hint="eastAsia"/>
                      <w:color w:val="auto"/>
                      <w:lang w:eastAsia="zh-CN"/>
                    </w:rPr>
                    <w:t>无组织</w:t>
                  </w:r>
                </w:p>
              </w:tc>
              <w:tc>
                <w:tcPr>
                  <w:tcW w:w="1605" w:type="dxa"/>
                  <w:shd w:val="clear" w:color="auto" w:fill="auto"/>
                  <w:vAlign w:val="center"/>
                </w:tcPr>
                <w:p>
                  <w:pPr>
                    <w:kinsoku/>
                    <w:jc w:val="center"/>
                    <w:rPr>
                      <w:color w:val="auto"/>
                      <w:lang w:eastAsia="zh-CN"/>
                    </w:rPr>
                  </w:pPr>
                  <w:r>
                    <w:rPr>
                      <w:rFonts w:hint="eastAsia"/>
                      <w:color w:val="auto"/>
                      <w:lang w:eastAsia="zh-CN"/>
                    </w:rPr>
                    <w:t>活性炭吸附</w:t>
                  </w:r>
                </w:p>
                <w:p>
                  <w:pPr>
                    <w:kinsoku/>
                    <w:jc w:val="center"/>
                    <w:rPr>
                      <w:color w:val="auto"/>
                      <w:lang w:eastAsia="zh-CN"/>
                    </w:rPr>
                  </w:pPr>
                  <w:r>
                    <w:rPr>
                      <w:rFonts w:hint="eastAsia"/>
                      <w:color w:val="auto"/>
                      <w:lang w:eastAsia="zh-CN"/>
                    </w:rPr>
                    <w:t>浓缩+燃烧/催化氧化</w:t>
                  </w:r>
                </w:p>
                <w:p>
                  <w:pPr>
                    <w:kinsoku/>
                    <w:jc w:val="center"/>
                    <w:rPr>
                      <w:color w:val="auto"/>
                      <w:lang w:eastAsia="zh-CN"/>
                    </w:rPr>
                  </w:pPr>
                  <w:r>
                    <w:rPr>
                      <w:rFonts w:hint="eastAsia"/>
                      <w:color w:val="auto"/>
                      <w:lang w:eastAsia="zh-CN"/>
                    </w:rPr>
                    <w:t>其他</w:t>
                  </w:r>
                </w:p>
              </w:tc>
              <w:tc>
                <w:tcPr>
                  <w:tcW w:w="1125" w:type="dxa"/>
                  <w:shd w:val="clear" w:color="auto" w:fill="auto"/>
                  <w:vAlign w:val="center"/>
                </w:tcPr>
                <w:p>
                  <w:pPr>
                    <w:kinsoku/>
                    <w:jc w:val="center"/>
                    <w:rPr>
                      <w:color w:val="auto"/>
                      <w:lang w:eastAsia="zh-CN"/>
                    </w:rPr>
                  </w:pPr>
                  <w:r>
                    <w:rPr>
                      <w:rFonts w:hint="eastAsia"/>
                      <w:color w:val="auto"/>
                      <w:lang w:eastAsia="zh-CN"/>
                    </w:rPr>
                    <w:t>是</w:t>
                  </w:r>
                </w:p>
              </w:tc>
              <w:tc>
                <w:tcPr>
                  <w:tcW w:w="967" w:type="dxa"/>
                  <w:shd w:val="clear" w:color="auto" w:fill="auto"/>
                  <w:vAlign w:val="center"/>
                </w:tcPr>
                <w:p>
                  <w:pPr>
                    <w:kinsoku/>
                    <w:jc w:val="center"/>
                    <w:rPr>
                      <w:color w:val="auto"/>
                      <w:lang w:eastAsia="zh-CN"/>
                    </w:rPr>
                  </w:pPr>
                  <w:r>
                    <w:rPr>
                      <w:rFonts w:hint="eastAsia"/>
                      <w:color w:val="auto"/>
                      <w:lang w:eastAsia="zh-CN"/>
                    </w:rPr>
                    <w:t>一般排放口</w:t>
                  </w:r>
                </w:p>
              </w:tc>
            </w:tr>
          </w:tbl>
          <w:p>
            <w:pPr>
              <w:pStyle w:val="22"/>
              <w:kinsoku/>
              <w:spacing w:before="34" w:line="347" w:lineRule="auto"/>
              <w:ind w:left="112" w:right="102" w:firstLine="479"/>
              <w:rPr>
                <w:rFonts w:hint="eastAsia"/>
                <w:color w:val="auto"/>
                <w:lang w:eastAsia="zh-CN"/>
              </w:rPr>
            </w:pPr>
            <w:r>
              <w:rPr>
                <w:color w:val="auto"/>
                <w:spacing w:val="1"/>
                <w:lang w:eastAsia="zh-CN"/>
              </w:rPr>
              <w:t>综上，</w:t>
            </w:r>
            <w:r>
              <w:rPr>
                <w:rFonts w:ascii="Times New Roman" w:hAnsi="Times New Roman" w:cs="Times New Roman"/>
                <w:color w:val="auto"/>
                <w:spacing w:val="1"/>
                <w:lang w:eastAsia="zh-CN"/>
              </w:rPr>
              <w:t>本项目颗粒物采用中央除尘系统处理及非甲烷总烃使用活性炭吸附处理。</w:t>
            </w:r>
            <w:r>
              <w:rPr>
                <w:color w:val="auto"/>
                <w:spacing w:val="1"/>
                <w:lang w:eastAsia="zh-CN"/>
              </w:rPr>
              <w:t>项目设置废气处理措施均采用较为成熟的处理工艺，废气处理措施参数</w:t>
            </w:r>
            <w:r>
              <w:rPr>
                <w:color w:val="auto"/>
                <w:spacing w:val="-2"/>
                <w:lang w:eastAsia="zh-CN"/>
              </w:rPr>
              <w:t>设置较合理，具有可行性。</w:t>
            </w:r>
          </w:p>
          <w:p>
            <w:pPr>
              <w:pStyle w:val="22"/>
              <w:kinsoku/>
              <w:spacing w:before="27" w:line="353" w:lineRule="auto"/>
              <w:ind w:left="109" w:right="101" w:firstLine="482"/>
              <w:jc w:val="both"/>
              <w:rPr>
                <w:rFonts w:ascii="Times New Roman" w:hAnsi="Times New Roman" w:eastAsia="Times New Roman" w:cs="Times New Roman"/>
                <w:color w:val="auto"/>
                <w:spacing w:val="3"/>
                <w:lang w:eastAsia="zh-CN"/>
              </w:rPr>
            </w:pPr>
            <w:r>
              <w:rPr>
                <w:rFonts w:ascii="Times New Roman" w:hAnsi="Times New Roman" w:eastAsia="Times New Roman" w:cs="Times New Roman"/>
                <w:color w:val="auto"/>
                <w:spacing w:val="3"/>
                <w:lang w:eastAsia="zh-CN"/>
              </w:rPr>
              <w:t>（2）无组织废气处理措施</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本项目采取的废气无组织控制措施如下：</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①本项目生产时，</w:t>
            </w:r>
            <w:r>
              <w:rPr>
                <w:rFonts w:hint="eastAsia" w:ascii="Times New Roman" w:hAnsi="Times New Roman" w:cs="Times New Roman"/>
                <w:color w:val="auto"/>
                <w:spacing w:val="3"/>
                <w:lang w:eastAsia="zh-CN"/>
              </w:rPr>
              <w:t>尽可能对生产工序进行</w:t>
            </w:r>
            <w:r>
              <w:rPr>
                <w:rFonts w:ascii="Times New Roman" w:hAnsi="Times New Roman" w:cs="Times New Roman"/>
                <w:color w:val="auto"/>
                <w:spacing w:val="3"/>
                <w:lang w:eastAsia="zh-CN"/>
              </w:rPr>
              <w:t>密闭。定期检查集气设施正常运行，保证收集的封边废气的废气收集率在90%以上</w:t>
            </w:r>
            <w:r>
              <w:rPr>
                <w:rStyle w:val="20"/>
                <w:rFonts w:hint="eastAsia" w:ascii="Arial" w:hAnsi="Arial" w:cs="Arial"/>
                <w:color w:val="auto"/>
                <w:lang w:eastAsia="zh-CN"/>
              </w:rPr>
              <w:t>，</w:t>
            </w:r>
            <w:r>
              <w:rPr>
                <w:rStyle w:val="20"/>
                <w:rFonts w:hint="eastAsia" w:ascii="Arial" w:hAnsi="Arial" w:cs="Arial"/>
                <w:color w:val="auto"/>
                <w:sz w:val="24"/>
                <w:szCs w:val="24"/>
                <w:lang w:eastAsia="zh-CN"/>
              </w:rPr>
              <w:t>以此减少无组织废气的产生量</w:t>
            </w:r>
            <w:r>
              <w:rPr>
                <w:rFonts w:ascii="Times New Roman" w:hAnsi="Times New Roman" w:cs="Times New Roman"/>
                <w:color w:val="auto"/>
                <w:spacing w:val="3"/>
                <w:lang w:eastAsia="zh-CN"/>
              </w:rPr>
              <w:t>。</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②按照《挥发性有机物无组织排放控制标准》（GB37822—2019）相关要求，封边胶应储存于密闭的桶中，盛装封边胶的桶应统一存储在室内封边胶暂存间内，暂存间进行防雨、防风、防渗等三防措施。</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③生产过程中，应加强生产管理，盛装封边胶等物料的容器或包装袋在非取用状态时应加盖、封口，保持密闭，力争把由装置密封不严造成的物料损失降到最低。</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④除尘系统采用自动控制，提高除尘系统的管理水平，保证除尘系统安全、正常运转，减少除尘系统事故率。</w:t>
            </w:r>
          </w:p>
          <w:p>
            <w:pPr>
              <w:pStyle w:val="22"/>
              <w:kinsoku/>
              <w:spacing w:before="27" w:line="353" w:lineRule="auto"/>
              <w:ind w:left="109" w:right="101" w:firstLine="482"/>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⑤机加工粉尘须经</w:t>
            </w:r>
            <w:r>
              <w:rPr>
                <w:rFonts w:hint="eastAsia" w:ascii="Times New Roman" w:hAnsi="Times New Roman" w:cs="Times New Roman"/>
                <w:color w:val="auto"/>
                <w:spacing w:val="3"/>
                <w:lang w:eastAsia="zh-CN"/>
              </w:rPr>
              <w:t>中央收尘系统</w:t>
            </w:r>
            <w:r>
              <w:rPr>
                <w:rFonts w:ascii="Times New Roman" w:hAnsi="Times New Roman" w:cs="Times New Roman"/>
                <w:color w:val="auto"/>
                <w:spacing w:val="3"/>
                <w:lang w:eastAsia="zh-CN"/>
              </w:rPr>
              <w:t>除尘器净化处理后，以无组织的形式排放。</w:t>
            </w:r>
          </w:p>
          <w:p>
            <w:pPr>
              <w:pStyle w:val="22"/>
              <w:kinsoku/>
              <w:spacing w:before="27" w:line="353" w:lineRule="auto"/>
              <w:ind w:left="109" w:right="101" w:firstLine="492" w:firstLineChars="200"/>
              <w:jc w:val="both"/>
              <w:rPr>
                <w:rFonts w:ascii="Times New Roman" w:hAnsi="Times New Roman" w:cs="Times New Roman"/>
                <w:color w:val="auto"/>
                <w:spacing w:val="3"/>
                <w:lang w:eastAsia="zh-CN"/>
              </w:rPr>
            </w:pPr>
            <w:r>
              <w:rPr>
                <w:rFonts w:ascii="Times New Roman" w:hAnsi="Times New Roman" w:cs="Times New Roman"/>
                <w:color w:val="auto"/>
                <w:spacing w:val="3"/>
                <w:lang w:eastAsia="zh-CN"/>
              </w:rPr>
              <w:t>⑥制定严格的规章制度，明确员工责任制度。在事故情况下，采取及时有效的措施，避免对周边大气环境的影响。</w:t>
            </w:r>
          </w:p>
          <w:p>
            <w:pPr>
              <w:pStyle w:val="22"/>
              <w:kinsoku/>
              <w:spacing w:before="27" w:line="353" w:lineRule="auto"/>
              <w:ind w:left="109" w:right="101" w:firstLine="492" w:firstLineChars="200"/>
              <w:jc w:val="both"/>
              <w:rPr>
                <w:rFonts w:ascii="Times New Roman" w:hAnsi="Times New Roman" w:eastAsia="Times New Roman" w:cs="Times New Roman"/>
                <w:color w:val="auto"/>
                <w:spacing w:val="3"/>
                <w:lang w:eastAsia="zh-CN"/>
              </w:rPr>
            </w:pPr>
            <w:r>
              <w:rPr>
                <w:rFonts w:ascii="Times New Roman" w:hAnsi="Times New Roman" w:cs="Times New Roman"/>
                <w:color w:val="auto"/>
                <w:spacing w:val="3"/>
                <w:lang w:eastAsia="zh-CN"/>
              </w:rPr>
              <w:t>⑦封标胶桶开启及</w:t>
            </w:r>
            <w:r>
              <w:rPr>
                <w:rFonts w:hint="eastAsia" w:ascii="Times New Roman" w:hAnsi="Times New Roman" w:cs="Times New Roman"/>
                <w:color w:val="auto"/>
                <w:spacing w:val="3"/>
                <w:lang w:eastAsia="zh-CN"/>
              </w:rPr>
              <w:t>封边胶</w:t>
            </w:r>
            <w:r>
              <w:rPr>
                <w:rFonts w:ascii="Times New Roman" w:hAnsi="Times New Roman" w:cs="Times New Roman"/>
                <w:color w:val="auto"/>
                <w:spacing w:val="3"/>
                <w:lang w:eastAsia="zh-CN"/>
              </w:rPr>
              <w:t>添加</w:t>
            </w:r>
            <w:r>
              <w:rPr>
                <w:rFonts w:hint="eastAsia" w:ascii="Times New Roman" w:hAnsi="Times New Roman" w:cs="Times New Roman"/>
                <w:color w:val="auto"/>
                <w:spacing w:val="3"/>
                <w:lang w:eastAsia="zh-CN"/>
              </w:rPr>
              <w:t>至封边设备</w:t>
            </w:r>
            <w:r>
              <w:rPr>
                <w:rFonts w:ascii="Times New Roman" w:hAnsi="Times New Roman" w:cs="Times New Roman"/>
                <w:color w:val="auto"/>
                <w:spacing w:val="3"/>
                <w:lang w:eastAsia="zh-CN"/>
              </w:rPr>
              <w:t>过程</w:t>
            </w:r>
            <w:r>
              <w:rPr>
                <w:rFonts w:hint="eastAsia" w:ascii="Times New Roman" w:hAnsi="Times New Roman" w:cs="Times New Roman"/>
                <w:color w:val="auto"/>
                <w:spacing w:val="3"/>
                <w:lang w:eastAsia="zh-CN"/>
              </w:rPr>
              <w:t>中</w:t>
            </w:r>
            <w:r>
              <w:rPr>
                <w:rFonts w:ascii="Times New Roman" w:hAnsi="Times New Roman" w:cs="Times New Roman"/>
                <w:color w:val="auto"/>
                <w:spacing w:val="3"/>
                <w:lang w:eastAsia="zh-CN"/>
              </w:rPr>
              <w:t>有少量</w:t>
            </w:r>
            <w:r>
              <w:rPr>
                <w:rFonts w:hint="eastAsia" w:ascii="Times New Roman" w:hAnsi="Times New Roman" w:cs="Times New Roman"/>
                <w:color w:val="auto"/>
                <w:lang w:eastAsia="zh-CN"/>
              </w:rPr>
              <w:t>异味</w:t>
            </w:r>
            <w:r>
              <w:rPr>
                <w:rFonts w:ascii="Times New Roman" w:hAnsi="Times New Roman" w:cs="Times New Roman"/>
                <w:color w:val="auto"/>
                <w:spacing w:val="3"/>
                <w:lang w:eastAsia="zh-CN"/>
              </w:rPr>
              <w:t>逸散到空气中，加强厂房空气流动性，通过空气稀释的方式降低</w:t>
            </w:r>
            <w:r>
              <w:rPr>
                <w:rFonts w:hint="eastAsia" w:ascii="Times New Roman" w:hAnsi="Times New Roman" w:cs="Times New Roman"/>
                <w:color w:val="auto"/>
                <w:lang w:eastAsia="zh-CN"/>
              </w:rPr>
              <w:t>异味</w:t>
            </w:r>
            <w:r>
              <w:rPr>
                <w:rFonts w:ascii="Times New Roman" w:hAnsi="Times New Roman" w:cs="Times New Roman"/>
                <w:color w:val="auto"/>
                <w:spacing w:val="3"/>
                <w:lang w:eastAsia="zh-CN"/>
              </w:rPr>
              <w:t>对环境的影响。</w:t>
            </w:r>
          </w:p>
          <w:p>
            <w:pPr>
              <w:pStyle w:val="22"/>
              <w:kinsoku/>
              <w:spacing w:before="29" w:line="360" w:lineRule="auto"/>
              <w:ind w:firstLine="461" w:firstLineChars="200"/>
              <w:rPr>
                <w:rFonts w:hint="eastAsia"/>
                <w:b/>
                <w:bCs/>
                <w:color w:val="auto"/>
                <w:spacing w:val="-5"/>
                <w:lang w:eastAsia="zh-CN"/>
              </w:rPr>
            </w:pPr>
            <w:r>
              <w:rPr>
                <w:rFonts w:hint="eastAsia"/>
                <w:b/>
                <w:bCs/>
                <w:color w:val="auto"/>
                <w:spacing w:val="-5"/>
                <w:lang w:eastAsia="zh-CN"/>
              </w:rPr>
              <w:t>4、</w:t>
            </w:r>
            <w:r>
              <w:rPr>
                <w:b/>
                <w:bCs/>
                <w:color w:val="auto"/>
                <w:spacing w:val="-5"/>
                <w:lang w:eastAsia="zh-CN"/>
              </w:rPr>
              <w:t>废气排放的环境影响</w:t>
            </w:r>
          </w:p>
          <w:p>
            <w:pPr>
              <w:pStyle w:val="22"/>
              <w:kinsoku/>
              <w:spacing w:before="36" w:line="217" w:lineRule="auto"/>
              <w:ind w:left="587"/>
              <w:rPr>
                <w:rFonts w:hint="eastAsia"/>
                <w:color w:val="auto"/>
                <w:spacing w:val="-1"/>
                <w:lang w:eastAsia="zh-CN"/>
              </w:rPr>
            </w:pPr>
            <w:r>
              <w:rPr>
                <w:color w:val="auto"/>
                <w:spacing w:val="-2"/>
                <w:lang w:eastAsia="zh-CN"/>
              </w:rPr>
              <w:t>（</w:t>
            </w:r>
            <w:r>
              <w:rPr>
                <w:rFonts w:hint="eastAsia" w:ascii="Times New Roman" w:hAnsi="Times New Roman" w:eastAsia="Times New Roman" w:cs="Times New Roman"/>
                <w:color w:val="auto"/>
                <w:spacing w:val="-2"/>
                <w:lang w:eastAsia="zh-CN"/>
              </w:rPr>
              <w:t>1</w:t>
            </w:r>
            <w:r>
              <w:rPr>
                <w:color w:val="auto"/>
                <w:spacing w:val="-2"/>
                <w:lang w:eastAsia="zh-CN"/>
              </w:rPr>
              <w:t>）</w:t>
            </w:r>
            <w:r>
              <w:rPr>
                <w:rFonts w:hint="eastAsia"/>
                <w:color w:val="auto"/>
                <w:spacing w:val="-1"/>
                <w:lang w:eastAsia="zh-CN"/>
              </w:rPr>
              <w:t>达标分析</w:t>
            </w:r>
          </w:p>
          <w:p>
            <w:pPr>
              <w:pStyle w:val="22"/>
              <w:kinsoku/>
              <w:spacing w:before="183" w:line="219" w:lineRule="auto"/>
              <w:ind w:left="591"/>
              <w:rPr>
                <w:rFonts w:hint="eastAsia"/>
                <w:color w:val="auto"/>
                <w:spacing w:val="-2"/>
                <w:lang w:eastAsia="zh-CN"/>
              </w:rPr>
            </w:pPr>
            <w:r>
              <w:rPr>
                <w:rFonts w:hint="eastAsia"/>
                <w:color w:val="auto"/>
                <w:spacing w:val="-2"/>
                <w:lang w:eastAsia="zh-CN"/>
              </w:rPr>
              <w:t>项目生产加工车间排气筒排放情况及污染物达标分析情况见下表：</w:t>
            </w:r>
          </w:p>
          <w:p>
            <w:pPr>
              <w:pStyle w:val="22"/>
              <w:kinsoku/>
              <w:spacing w:before="178" w:line="228" w:lineRule="auto"/>
              <w:jc w:val="center"/>
              <w:rPr>
                <w:rFonts w:hint="eastAsia"/>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w:t>
            </w:r>
            <w:r>
              <w:rPr>
                <w:rFonts w:hint="eastAsia" w:ascii="Times New Roman" w:hAnsi="Times New Roman" w:eastAsia="Times New Roman" w:cs="Times New Roman"/>
                <w:b/>
                <w:bCs/>
                <w:color w:val="auto"/>
                <w:spacing w:val="6"/>
                <w:sz w:val="20"/>
                <w:szCs w:val="20"/>
                <w:lang w:eastAsia="zh-CN"/>
              </w:rPr>
              <w:t>5</w:t>
            </w:r>
            <w:r>
              <w:rPr>
                <w:rFonts w:hint="eastAsia"/>
                <w:b/>
                <w:bCs/>
                <w:color w:val="auto"/>
                <w:spacing w:val="6"/>
                <w:sz w:val="20"/>
                <w:szCs w:val="20"/>
                <w:lang w:eastAsia="zh-CN"/>
              </w:rPr>
              <w:t>废气有组织排放源及达标排放情况</w:t>
            </w:r>
          </w:p>
          <w:p>
            <w:pPr>
              <w:kinsoku/>
              <w:spacing w:line="131" w:lineRule="exact"/>
              <w:rPr>
                <w:color w:val="auto"/>
                <w:lang w:eastAsia="zh-CN"/>
              </w:rPr>
            </w:pPr>
          </w:p>
          <w:tbl>
            <w:tblPr>
              <w:tblStyle w:val="21"/>
              <w:tblW w:w="8617"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637"/>
              <w:gridCol w:w="856"/>
              <w:gridCol w:w="1020"/>
              <w:gridCol w:w="1155"/>
              <w:gridCol w:w="1035"/>
              <w:gridCol w:w="1080"/>
              <w:gridCol w:w="1035"/>
              <w:gridCol w:w="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39"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编号</w:t>
                  </w:r>
                </w:p>
              </w:tc>
              <w:tc>
                <w:tcPr>
                  <w:tcW w:w="637" w:type="dxa"/>
                  <w:vMerge w:val="restart"/>
                  <w:tcBorders>
                    <w:bottom w:val="nil"/>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污染物名称</w:t>
                  </w:r>
                </w:p>
              </w:tc>
              <w:tc>
                <w:tcPr>
                  <w:tcW w:w="856" w:type="dxa"/>
                  <w:vMerge w:val="restart"/>
                  <w:tcBorders>
                    <w:bottom w:val="nil"/>
                    <w:right w:val="single" w:color="auto"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排气筒高度/m</w:t>
                  </w:r>
                </w:p>
              </w:tc>
              <w:tc>
                <w:tcPr>
                  <w:tcW w:w="2175" w:type="dxa"/>
                  <w:gridSpan w:val="2"/>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排放情况</w:t>
                  </w:r>
                </w:p>
              </w:tc>
              <w:tc>
                <w:tcPr>
                  <w:tcW w:w="2115" w:type="dxa"/>
                  <w:gridSpan w:val="2"/>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标准限值</w:t>
                  </w:r>
                </w:p>
              </w:tc>
              <w:tc>
                <w:tcPr>
                  <w:tcW w:w="1035" w:type="dxa"/>
                  <w:vMerge w:val="restart"/>
                  <w:tcBorders>
                    <w:top w:val="single" w:color="auto" w:sz="4" w:space="0"/>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执行标准</w:t>
                  </w:r>
                </w:p>
              </w:tc>
              <w:tc>
                <w:tcPr>
                  <w:tcW w:w="960" w:type="dxa"/>
                  <w:vMerge w:val="restart"/>
                  <w:tcBorders>
                    <w:top w:val="single" w:color="auto" w:sz="4" w:space="0"/>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839" w:type="dxa"/>
                  <w:vMerge w:val="continue"/>
                  <w:tcBorders>
                    <w:top w:val="nil"/>
                  </w:tcBorders>
                  <w:vAlign w:val="center"/>
                </w:tcPr>
                <w:p>
                  <w:pPr>
                    <w:kinsoku/>
                    <w:jc w:val="center"/>
                    <w:rPr>
                      <w:rFonts w:ascii="Times New Roman" w:hAnsi="Times New Roman" w:eastAsia="宋体" w:cs="Times New Roman"/>
                      <w:color w:val="auto"/>
                    </w:rPr>
                  </w:pPr>
                </w:p>
              </w:tc>
              <w:tc>
                <w:tcPr>
                  <w:tcW w:w="637" w:type="dxa"/>
                  <w:vMerge w:val="continue"/>
                  <w:tcBorders>
                    <w:top w:val="nil"/>
                  </w:tcBorders>
                  <w:vAlign w:val="center"/>
                </w:tcPr>
                <w:p>
                  <w:pPr>
                    <w:kinsoku/>
                    <w:jc w:val="center"/>
                    <w:rPr>
                      <w:rFonts w:ascii="Times New Roman" w:hAnsi="Times New Roman" w:eastAsia="宋体" w:cs="Times New Roman"/>
                      <w:color w:val="auto"/>
                    </w:rPr>
                  </w:pPr>
                </w:p>
              </w:tc>
              <w:tc>
                <w:tcPr>
                  <w:tcW w:w="856"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20" w:type="dxa"/>
                  <w:tcBorders>
                    <w:top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排放浓度（mg/m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1155" w:type="dxa"/>
                  <w:tcBorders>
                    <w:top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污染物排放速率kg/h）</w:t>
                  </w:r>
                </w:p>
              </w:tc>
              <w:tc>
                <w:tcPr>
                  <w:tcW w:w="1035" w:type="dxa"/>
                  <w:tcBorders>
                    <w:top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排放浓度（mg/m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1080" w:type="dxa"/>
                  <w:tcBorders>
                    <w:top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污染物排放速率kg/h）</w:t>
                  </w:r>
                </w:p>
              </w:tc>
              <w:tc>
                <w:tcPr>
                  <w:tcW w:w="1035" w:type="dxa"/>
                  <w:vMerge w:val="continue"/>
                  <w:tcBorders>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c>
                <w:tcPr>
                  <w:tcW w:w="960" w:type="dxa"/>
                  <w:vMerge w:val="continue"/>
                  <w:tcBorders>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39"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DA001</w:t>
                  </w:r>
                </w:p>
              </w:tc>
              <w:tc>
                <w:tcPr>
                  <w:tcW w:w="637"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856" w:type="dxa"/>
                  <w:tcBorders>
                    <w:bottom w:val="single" w:color="auto"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w:t>
                  </w:r>
                </w:p>
              </w:tc>
              <w:tc>
                <w:tcPr>
                  <w:tcW w:w="1020"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1.74</w:t>
                  </w:r>
                </w:p>
              </w:tc>
              <w:tc>
                <w:tcPr>
                  <w:tcW w:w="1155" w:type="dxa"/>
                  <w:shd w:val="clear" w:color="auto" w:fill="auto"/>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0.0087</w:t>
                  </w:r>
                </w:p>
              </w:tc>
              <w:tc>
                <w:tcPr>
                  <w:tcW w:w="1035"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1080"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sz w:val="20"/>
                      <w:szCs w:val="20"/>
                      <w:lang w:eastAsia="zh-CN"/>
                    </w:rPr>
                    <w:t>1.75</w:t>
                  </w:r>
                </w:p>
              </w:tc>
              <w:tc>
                <w:tcPr>
                  <w:tcW w:w="1035" w:type="dxa"/>
                  <w:vMerge w:val="restart"/>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GB16297-1998《大气污染综合排放标准》</w:t>
                  </w:r>
                </w:p>
              </w:tc>
              <w:tc>
                <w:tcPr>
                  <w:tcW w:w="960"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839"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DA002</w:t>
                  </w:r>
                </w:p>
              </w:tc>
              <w:tc>
                <w:tcPr>
                  <w:tcW w:w="637"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非甲烷总烃</w:t>
                  </w:r>
                </w:p>
              </w:tc>
              <w:tc>
                <w:tcPr>
                  <w:tcW w:w="856" w:type="dxa"/>
                  <w:tcBorders>
                    <w:top w:val="single" w:color="auto" w:sz="4" w:space="0"/>
                    <w:bottom w:val="single" w:color="auto" w:sz="4" w:space="0"/>
                  </w:tcBorders>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w:t>
                  </w:r>
                </w:p>
              </w:tc>
              <w:tc>
                <w:tcPr>
                  <w:tcW w:w="1020" w:type="dxa"/>
                  <w:vAlign w:val="center"/>
                </w:tcPr>
                <w:p>
                  <w:pPr>
                    <w:kinsoku/>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10.2</w:t>
                  </w:r>
                </w:p>
              </w:tc>
              <w:tc>
                <w:tcPr>
                  <w:tcW w:w="1155" w:type="dxa"/>
                  <w:shd w:val="clear" w:color="auto" w:fill="auto"/>
                  <w:vAlign w:val="center"/>
                </w:tcPr>
                <w:p>
                  <w:pPr>
                    <w:kinsoku/>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0.0</w:t>
                  </w:r>
                  <w:r>
                    <w:rPr>
                      <w:rFonts w:hint="eastAsia" w:ascii="Times New Roman" w:hAnsi="Times New Roman" w:eastAsia="宋体" w:cs="Times New Roman"/>
                      <w:color w:val="auto"/>
                      <w:lang w:val="en-US" w:eastAsia="zh-CN"/>
                    </w:rPr>
                    <w:t>511</w:t>
                  </w:r>
                </w:p>
              </w:tc>
              <w:tc>
                <w:tcPr>
                  <w:tcW w:w="1035"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1080"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sz w:val="20"/>
                      <w:szCs w:val="20"/>
                      <w:lang w:eastAsia="zh-CN"/>
                    </w:rPr>
                    <w:t>5</w:t>
                  </w:r>
                </w:p>
              </w:tc>
              <w:tc>
                <w:tcPr>
                  <w:tcW w:w="1035" w:type="dxa"/>
                  <w:vMerge w:val="continue"/>
                  <w:vAlign w:val="center"/>
                </w:tcPr>
                <w:p>
                  <w:pPr>
                    <w:kinsoku/>
                    <w:jc w:val="center"/>
                    <w:textAlignment w:val="center"/>
                    <w:rPr>
                      <w:rFonts w:ascii="Times New Roman" w:hAnsi="Times New Roman" w:eastAsia="宋体" w:cs="Times New Roman"/>
                      <w:color w:val="auto"/>
                      <w:lang w:eastAsia="zh-CN"/>
                    </w:rPr>
                  </w:pPr>
                </w:p>
              </w:tc>
              <w:tc>
                <w:tcPr>
                  <w:tcW w:w="960" w:type="dxa"/>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pPr>
              <w:pStyle w:val="22"/>
              <w:kinsoku/>
              <w:spacing w:before="183" w:line="360" w:lineRule="auto"/>
              <w:ind w:firstLine="413" w:firstLineChars="175"/>
              <w:rPr>
                <w:rFonts w:ascii="Times New Roman" w:hAnsi="Times New Roman" w:cs="Times New Roman"/>
                <w:color w:val="auto"/>
                <w:spacing w:val="-2"/>
                <w:lang w:eastAsia="zh-CN"/>
              </w:rPr>
            </w:pPr>
            <w:r>
              <w:rPr>
                <w:rFonts w:hint="eastAsia" w:ascii="Times New Roman" w:hAnsi="Times New Roman" w:cs="Times New Roman"/>
                <w:color w:val="auto"/>
                <w:spacing w:val="-2"/>
                <w:lang w:eastAsia="zh-CN"/>
              </w:rPr>
              <w:t>根据上表可知</w:t>
            </w:r>
            <w:r>
              <w:rPr>
                <w:rFonts w:ascii="Times New Roman" w:hAnsi="Times New Roman" w:cs="Times New Roman"/>
                <w:color w:val="auto"/>
                <w:spacing w:val="1"/>
                <w:lang w:eastAsia="zh-CN"/>
              </w:rPr>
              <w:t>项目</w:t>
            </w:r>
            <w:r>
              <w:rPr>
                <w:rFonts w:hint="eastAsia" w:ascii="Times New Roman" w:hAnsi="Times New Roman" w:cs="Times New Roman"/>
                <w:color w:val="auto"/>
                <w:spacing w:val="1"/>
                <w:lang w:eastAsia="zh-CN"/>
              </w:rPr>
              <w:t>有组织颗粒物浓</w:t>
            </w:r>
            <w:r>
              <w:rPr>
                <w:rFonts w:ascii="Times New Roman" w:hAnsi="Times New Roman" w:cs="Times New Roman"/>
                <w:color w:val="auto"/>
                <w:spacing w:val="1"/>
                <w:lang w:eastAsia="zh-CN"/>
              </w:rPr>
              <w:t>度为</w:t>
            </w:r>
            <w:r>
              <w:rPr>
                <w:rFonts w:hint="eastAsia" w:ascii="Times New Roman" w:hAnsi="Times New Roman" w:cs="Times New Roman"/>
                <w:color w:val="auto"/>
                <w:spacing w:val="1"/>
                <w:lang w:eastAsia="zh-CN"/>
              </w:rPr>
              <w:t>1.74</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w:t>
            </w:r>
            <w:r>
              <w:rPr>
                <w:rFonts w:hint="eastAsia" w:ascii="Times New Roman" w:hAnsi="Times New Roman" w:cs="Times New Roman"/>
                <w:color w:val="auto"/>
                <w:spacing w:val="1"/>
                <w:lang w:eastAsia="zh-CN"/>
              </w:rPr>
              <w:t>排放速率为0.0087kg/h；非甲烷总烃浓度为</w:t>
            </w:r>
            <w:r>
              <w:rPr>
                <w:rFonts w:hint="eastAsia" w:ascii="Times New Roman" w:hAnsi="Times New Roman" w:cs="Times New Roman"/>
                <w:color w:val="auto"/>
                <w:spacing w:val="1"/>
                <w:lang w:val="en-US" w:eastAsia="zh-CN"/>
              </w:rPr>
              <w:t>10.2</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w:t>
            </w:r>
            <w:r>
              <w:rPr>
                <w:rFonts w:hint="eastAsia" w:ascii="Times New Roman" w:hAnsi="Times New Roman" w:cs="Times New Roman"/>
                <w:color w:val="auto"/>
                <w:spacing w:val="1"/>
                <w:lang w:eastAsia="zh-CN"/>
              </w:rPr>
              <w:t>排放速率为0.0</w:t>
            </w:r>
            <w:r>
              <w:rPr>
                <w:rFonts w:hint="eastAsia" w:ascii="Times New Roman" w:hAnsi="Times New Roman" w:cs="Times New Roman"/>
                <w:color w:val="auto"/>
                <w:spacing w:val="1"/>
                <w:lang w:val="en-US" w:eastAsia="zh-CN"/>
              </w:rPr>
              <w:t>511</w:t>
            </w:r>
            <w:r>
              <w:rPr>
                <w:rFonts w:hint="eastAsia" w:ascii="Times New Roman" w:hAnsi="Times New Roman" w:cs="Times New Roman"/>
                <w:color w:val="auto"/>
                <w:spacing w:val="1"/>
                <w:lang w:eastAsia="zh-CN"/>
              </w:rPr>
              <w:t>kg/h，</w:t>
            </w:r>
            <w:r>
              <w:rPr>
                <w:rFonts w:ascii="Times New Roman" w:hAnsi="Times New Roman" w:cs="Times New Roman"/>
                <w:color w:val="auto"/>
                <w:spacing w:val="1"/>
                <w:lang w:eastAsia="zh-CN"/>
              </w:rPr>
              <w:t>满足《大气污染物综合排放标准》(GB16297-1996)</w:t>
            </w:r>
            <w:r>
              <w:rPr>
                <w:rFonts w:hint="eastAsia" w:ascii="Times New Roman" w:hAnsi="Times New Roman" w:cs="Times New Roman"/>
                <w:color w:val="auto"/>
                <w:spacing w:val="1"/>
                <w:lang w:eastAsia="zh-CN"/>
              </w:rPr>
              <w:t>颗粒物有组织</w:t>
            </w:r>
            <w:r>
              <w:rPr>
                <w:rFonts w:ascii="Times New Roman" w:hAnsi="Times New Roman" w:cs="Times New Roman"/>
                <w:color w:val="auto"/>
                <w:spacing w:val="1"/>
                <w:lang w:eastAsia="zh-CN"/>
              </w:rPr>
              <w:t>排放浓度</w:t>
            </w:r>
            <w:bookmarkStart w:id="34" w:name="_Hlk203638795"/>
            <w:r>
              <w:rPr>
                <w:rFonts w:hint="eastAsia" w:ascii="Times New Roman" w:hAnsi="Times New Roman" w:cs="Times New Roman"/>
                <w:color w:val="auto"/>
                <w:spacing w:val="1"/>
                <w:lang w:eastAsia="zh-CN"/>
              </w:rPr>
              <w:t>120</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hint="eastAsia" w:ascii="Times New Roman" w:hAnsi="Times New Roman" w:cs="Times New Roman"/>
                <w:color w:val="auto"/>
                <w:spacing w:val="1"/>
                <w:lang w:eastAsia="zh-CN"/>
              </w:rPr>
              <w:t>，排放速率为1.75kg/h</w:t>
            </w:r>
            <w:bookmarkEnd w:id="34"/>
            <w:r>
              <w:rPr>
                <w:rFonts w:hint="eastAsia" w:ascii="Times New Roman" w:hAnsi="Times New Roman" w:cs="Times New Roman"/>
                <w:color w:val="auto"/>
                <w:spacing w:val="1"/>
                <w:lang w:eastAsia="zh-CN"/>
              </w:rPr>
              <w:t>；非甲烷总烃浓度为120</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w:t>
            </w:r>
            <w:r>
              <w:rPr>
                <w:rFonts w:hint="eastAsia" w:ascii="Times New Roman" w:hAnsi="Times New Roman" w:cs="Times New Roman"/>
                <w:color w:val="auto"/>
                <w:spacing w:val="1"/>
                <w:lang w:eastAsia="zh-CN"/>
              </w:rPr>
              <w:t>排放速率为5kg/h</w:t>
            </w:r>
            <w:r>
              <w:rPr>
                <w:rFonts w:ascii="Times New Roman" w:hAnsi="Times New Roman" w:cs="Times New Roman"/>
                <w:color w:val="auto"/>
                <w:spacing w:val="1"/>
                <w:lang w:eastAsia="zh-CN"/>
              </w:rPr>
              <w:t>的要求。</w:t>
            </w:r>
          </w:p>
          <w:p>
            <w:pPr>
              <w:pStyle w:val="22"/>
              <w:kinsoku/>
              <w:spacing w:before="183" w:line="360" w:lineRule="auto"/>
              <w:ind w:firstLine="413" w:firstLineChars="175"/>
              <w:rPr>
                <w:rFonts w:ascii="Times New Roman" w:hAnsi="Times New Roman" w:cs="Times New Roman"/>
                <w:color w:val="auto"/>
                <w:lang w:eastAsia="zh-CN"/>
              </w:rPr>
            </w:pPr>
            <w:r>
              <w:rPr>
                <w:rFonts w:ascii="Times New Roman" w:hAnsi="Times New Roman" w:cs="Times New Roman"/>
                <w:color w:val="auto"/>
                <w:spacing w:val="-2"/>
                <w:lang w:eastAsia="zh-CN"/>
              </w:rPr>
              <w:t>面源参数调查清单见表4-</w:t>
            </w:r>
            <w:r>
              <w:rPr>
                <w:rFonts w:hint="eastAsia" w:ascii="Times New Roman" w:hAnsi="Times New Roman" w:cs="Times New Roman"/>
                <w:color w:val="auto"/>
                <w:spacing w:val="-2"/>
                <w:lang w:eastAsia="zh-CN"/>
              </w:rPr>
              <w:t>6</w:t>
            </w:r>
            <w:r>
              <w:rPr>
                <w:rFonts w:ascii="Times New Roman" w:hAnsi="Times New Roman" w:cs="Times New Roman"/>
                <w:color w:val="auto"/>
                <w:spacing w:val="-2"/>
                <w:lang w:eastAsia="zh-CN"/>
              </w:rPr>
              <w:t>。</w:t>
            </w:r>
          </w:p>
          <w:p>
            <w:pPr>
              <w:pStyle w:val="22"/>
              <w:kinsoku/>
              <w:spacing w:before="31" w:line="221" w:lineRule="auto"/>
              <w:ind w:left="2585"/>
              <w:rPr>
                <w:rFonts w:ascii="Times New Roman" w:hAnsi="Times New Roman" w:eastAsia="Times New Roman" w:cs="Times New Roman"/>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w:t>
            </w:r>
            <w:r>
              <w:rPr>
                <w:rFonts w:hint="eastAsia" w:ascii="Times New Roman" w:hAnsi="Times New Roman" w:eastAsia="Times New Roman" w:cs="Times New Roman"/>
                <w:b/>
                <w:bCs/>
                <w:color w:val="auto"/>
                <w:spacing w:val="6"/>
                <w:sz w:val="20"/>
                <w:szCs w:val="20"/>
                <w:lang w:eastAsia="zh-CN"/>
              </w:rPr>
              <w:t>6</w:t>
            </w:r>
            <w:r>
              <w:rPr>
                <w:b/>
                <w:bCs/>
                <w:color w:val="auto"/>
                <w:spacing w:val="6"/>
                <w:sz w:val="20"/>
                <w:szCs w:val="20"/>
                <w:lang w:eastAsia="zh-CN"/>
              </w:rPr>
              <w:t>主要废气污染源参数一览表</w:t>
            </w:r>
            <w:r>
              <w:rPr>
                <w:rFonts w:ascii="Times New Roman" w:hAnsi="Times New Roman" w:eastAsia="Times New Roman" w:cs="Times New Roman"/>
                <w:b/>
                <w:bCs/>
                <w:color w:val="auto"/>
                <w:spacing w:val="6"/>
                <w:sz w:val="20"/>
                <w:szCs w:val="20"/>
                <w:lang w:eastAsia="zh-CN"/>
              </w:rPr>
              <w:t>(</w:t>
            </w:r>
            <w:r>
              <w:rPr>
                <w:b/>
                <w:bCs/>
                <w:color w:val="auto"/>
                <w:spacing w:val="6"/>
                <w:sz w:val="20"/>
                <w:szCs w:val="20"/>
                <w:lang w:eastAsia="zh-CN"/>
              </w:rPr>
              <w:t>面源</w:t>
            </w:r>
            <w:r>
              <w:rPr>
                <w:rFonts w:ascii="Times New Roman" w:hAnsi="Times New Roman" w:eastAsia="Times New Roman" w:cs="Times New Roman"/>
                <w:b/>
                <w:bCs/>
                <w:color w:val="auto"/>
                <w:spacing w:val="6"/>
                <w:sz w:val="20"/>
                <w:szCs w:val="20"/>
                <w:lang w:eastAsia="zh-CN"/>
              </w:rPr>
              <w:t>)</w:t>
            </w:r>
          </w:p>
          <w:p>
            <w:pPr>
              <w:kinsoku/>
              <w:spacing w:line="138" w:lineRule="exact"/>
              <w:rPr>
                <w:color w:val="auto"/>
                <w:lang w:eastAsia="zh-CN"/>
              </w:rPr>
            </w:pPr>
          </w:p>
          <w:tbl>
            <w:tblPr>
              <w:tblStyle w:val="21"/>
              <w:tblW w:w="87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734"/>
              <w:gridCol w:w="734"/>
              <w:gridCol w:w="1050"/>
              <w:gridCol w:w="675"/>
              <w:gridCol w:w="720"/>
              <w:gridCol w:w="1170"/>
              <w:gridCol w:w="1530"/>
              <w:gridCol w:w="1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jc w:val="center"/>
              </w:trPr>
              <w:tc>
                <w:tcPr>
                  <w:tcW w:w="857"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污染源名称</w:t>
                  </w:r>
                </w:p>
              </w:tc>
              <w:tc>
                <w:tcPr>
                  <w:tcW w:w="1468" w:type="dxa"/>
                  <w:gridSpan w:val="2"/>
                  <w:tcBorders>
                    <w:bottom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面源中心坐标</w:t>
                  </w:r>
                </w:p>
              </w:tc>
              <w:tc>
                <w:tcPr>
                  <w:tcW w:w="105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海拔</w:t>
                  </w:r>
                  <w:r>
                    <w:rPr>
                      <w:rFonts w:ascii="Times New Roman" w:hAnsi="Times New Roman" w:eastAsia="宋体" w:cs="Times New Roman"/>
                      <w:color w:val="auto"/>
                      <w:lang w:eastAsia="zh-CN"/>
                    </w:rPr>
                    <w:t>/m</w:t>
                  </w:r>
                </w:p>
              </w:tc>
              <w:tc>
                <w:tcPr>
                  <w:tcW w:w="2565" w:type="dxa"/>
                  <w:gridSpan w:val="3"/>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矩形面源/m</w:t>
                  </w:r>
                </w:p>
              </w:tc>
              <w:tc>
                <w:tcPr>
                  <w:tcW w:w="153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污染物</w:t>
                  </w:r>
                </w:p>
              </w:tc>
              <w:tc>
                <w:tcPr>
                  <w:tcW w:w="123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排放速率/kg/h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857"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734" w:type="dxa"/>
                  <w:tcBorders>
                    <w:top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X</w:t>
                  </w:r>
                </w:p>
              </w:tc>
              <w:tc>
                <w:tcPr>
                  <w:tcW w:w="734" w:type="dxa"/>
                  <w:tcBorders>
                    <w:top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Y</w:t>
                  </w:r>
                </w:p>
              </w:tc>
              <w:tc>
                <w:tcPr>
                  <w:tcW w:w="1050"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67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长度</w:t>
                  </w:r>
                </w:p>
              </w:tc>
              <w:tc>
                <w:tcPr>
                  <w:tcW w:w="72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宽度</w:t>
                  </w:r>
                </w:p>
              </w:tc>
              <w:tc>
                <w:tcPr>
                  <w:tcW w:w="117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有效高度</w:t>
                  </w:r>
                </w:p>
              </w:tc>
              <w:tc>
                <w:tcPr>
                  <w:tcW w:w="1530"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230" w:type="dxa"/>
                  <w:vMerge w:val="continue"/>
                  <w:tcBorders>
                    <w:top w:val="nil"/>
                  </w:tcBorders>
                  <w:vAlign w:val="center"/>
                </w:tcPr>
                <w:p>
                  <w:pPr>
                    <w:kinsoku/>
                    <w:jc w:val="center"/>
                    <w:rPr>
                      <w:rFonts w:ascii="Times New Roman" w:hAnsi="Times New Roman" w:eastAsia="宋体" w:cs="Times New Roman"/>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57"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矩形面源</w:t>
                  </w:r>
                </w:p>
              </w:tc>
              <w:tc>
                <w:tcPr>
                  <w:tcW w:w="734"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-53</w:t>
                  </w:r>
                </w:p>
              </w:tc>
              <w:tc>
                <w:tcPr>
                  <w:tcW w:w="734"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05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1928</w:t>
                  </w:r>
                </w:p>
              </w:tc>
              <w:tc>
                <w:tcPr>
                  <w:tcW w:w="675"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110</w:t>
                  </w:r>
                </w:p>
              </w:tc>
              <w:tc>
                <w:tcPr>
                  <w:tcW w:w="72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1170" w:type="dxa"/>
                  <w:vMerge w:val="restart"/>
                  <w:tcBorders>
                    <w:bottom w:val="nil"/>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w:t>
                  </w:r>
                </w:p>
              </w:tc>
              <w:tc>
                <w:tcPr>
                  <w:tcW w:w="153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57"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734"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734"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50"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675"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720"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170"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530"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非甲烷总烃</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0.042</w:t>
                  </w:r>
                </w:p>
              </w:tc>
            </w:tr>
          </w:tbl>
          <w:p>
            <w:pPr>
              <w:kinsoku/>
              <w:spacing w:line="138" w:lineRule="exact"/>
              <w:rPr>
                <w:color w:val="auto"/>
                <w:lang w:eastAsia="zh-CN"/>
              </w:rPr>
            </w:pPr>
          </w:p>
          <w:p>
            <w:pPr>
              <w:pStyle w:val="22"/>
              <w:kinsoku/>
              <w:spacing w:before="31" w:line="221" w:lineRule="auto"/>
              <w:ind w:left="2585"/>
              <w:rPr>
                <w:b/>
                <w:bCs/>
                <w:color w:val="auto"/>
                <w:spacing w:val="6"/>
                <w:sz w:val="20"/>
                <w:szCs w:val="20"/>
                <w:lang w:eastAsia="zh-CN"/>
              </w:rPr>
            </w:pPr>
          </w:p>
          <w:p>
            <w:pPr>
              <w:pStyle w:val="22"/>
              <w:kinsoku/>
              <w:spacing w:before="31" w:line="221" w:lineRule="auto"/>
              <w:ind w:left="2585"/>
              <w:rPr>
                <w:rFonts w:ascii="Times New Roman" w:hAnsi="Times New Roman" w:cs="Times New Roman"/>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w:t>
            </w:r>
            <w:r>
              <w:rPr>
                <w:rFonts w:hint="eastAsia" w:ascii="Times New Roman" w:hAnsi="Times New Roman" w:eastAsia="Times New Roman" w:cs="Times New Roman"/>
                <w:b/>
                <w:bCs/>
                <w:color w:val="auto"/>
                <w:spacing w:val="6"/>
                <w:sz w:val="20"/>
                <w:szCs w:val="20"/>
                <w:lang w:eastAsia="zh-CN"/>
              </w:rPr>
              <w:t xml:space="preserve">7 </w:t>
            </w:r>
            <w:r>
              <w:rPr>
                <w:rFonts w:hint="eastAsia"/>
                <w:b/>
                <w:bCs/>
                <w:color w:val="auto"/>
                <w:spacing w:val="6"/>
                <w:sz w:val="20"/>
                <w:szCs w:val="20"/>
                <w:lang w:eastAsia="zh-CN"/>
              </w:rPr>
              <w:t>项目无组织废气达标分析表</w:t>
            </w:r>
          </w:p>
          <w:p>
            <w:pPr>
              <w:kinsoku/>
              <w:spacing w:line="138" w:lineRule="exact"/>
              <w:rPr>
                <w:color w:val="auto"/>
                <w:lang w:eastAsia="zh-CN"/>
              </w:rPr>
            </w:pPr>
          </w:p>
          <w:tbl>
            <w:tblPr>
              <w:tblStyle w:val="21"/>
              <w:tblW w:w="86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530"/>
              <w:gridCol w:w="1230"/>
              <w:gridCol w:w="1230"/>
              <w:gridCol w:w="1230"/>
              <w:gridCol w:w="1230"/>
              <w:gridCol w:w="1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952" w:type="dxa"/>
                  <w:tcBorders>
                    <w:top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污染源名称</w:t>
                  </w:r>
                </w:p>
              </w:tc>
              <w:tc>
                <w:tcPr>
                  <w:tcW w:w="1530"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污染物</w:t>
                  </w:r>
                </w:p>
              </w:tc>
              <w:tc>
                <w:tcPr>
                  <w:tcW w:w="1230"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排放速率</w:t>
                  </w:r>
                </w:p>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kg/h</w:t>
                  </w:r>
                  <w:r>
                    <w:rPr>
                      <w:rFonts w:hint="eastAsia" w:ascii="Times New Roman" w:hAnsi="Times New Roman" w:eastAsia="宋体" w:cs="Times New Roman"/>
                      <w:color w:val="auto"/>
                      <w:lang w:eastAsia="zh-CN"/>
                    </w:rPr>
                    <w:t>)</w:t>
                  </w:r>
                </w:p>
              </w:tc>
              <w:tc>
                <w:tcPr>
                  <w:tcW w:w="1230" w:type="dxa"/>
                  <w:tcBorders>
                    <w:lef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排放量</w:t>
                  </w:r>
                </w:p>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(t/a)</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厂界处浓度（mg/m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标准限值</w:t>
                  </w:r>
                </w:p>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(mg/m</w:t>
                  </w:r>
                  <w:r>
                    <w:rPr>
                      <w:rFonts w:hint="eastAsia" w:ascii="Times New Roman" w:hAnsi="Times New Roman" w:eastAsia="宋体" w:cs="Times New Roman"/>
                      <w:color w:val="auto"/>
                      <w:vertAlign w:val="superscript"/>
                      <w:lang w:eastAsia="zh-CN"/>
                    </w:rPr>
                    <w:t>3)</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52" w:type="dxa"/>
                  <w:vMerge w:val="restart"/>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生产车间</w:t>
                  </w:r>
                </w:p>
              </w:tc>
              <w:tc>
                <w:tcPr>
                  <w:tcW w:w="1530"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1230" w:type="dxa"/>
                  <w:tcBorders>
                    <w:top w:val="single" w:color="auto" w:sz="4" w:space="0"/>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0.0097</w:t>
                  </w:r>
                </w:p>
              </w:tc>
              <w:tc>
                <w:tcPr>
                  <w:tcW w:w="1230" w:type="dxa"/>
                  <w:tcBorders>
                    <w:left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0.0255</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0.00275</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52" w:type="dxa"/>
                  <w:vMerge w:val="continue"/>
                  <w:tcBorders>
                    <w:top w:val="single" w:color="auto" w:sz="4" w:space="0"/>
                    <w:left w:val="single" w:color="auto" w:sz="4" w:space="0"/>
                  </w:tcBorders>
                  <w:vAlign w:val="center"/>
                </w:tcPr>
                <w:p>
                  <w:pPr>
                    <w:kinsoku/>
                    <w:jc w:val="center"/>
                    <w:rPr>
                      <w:rFonts w:ascii="Times New Roman" w:hAnsi="Times New Roman" w:eastAsia="宋体" w:cs="Times New Roman"/>
                      <w:color w:val="auto"/>
                      <w:lang w:eastAsia="zh-CN"/>
                    </w:rPr>
                  </w:pPr>
                </w:p>
              </w:tc>
              <w:tc>
                <w:tcPr>
                  <w:tcW w:w="1530" w:type="dxa"/>
                  <w:tcBorders>
                    <w:top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非甲烷总烃</w:t>
                  </w:r>
                </w:p>
              </w:tc>
              <w:tc>
                <w:tcPr>
                  <w:tcW w:w="1230" w:type="dxa"/>
                  <w:tcBorders>
                    <w:top w:val="single" w:color="auto"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0.042</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0.013</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w:t>
                  </w:r>
                </w:p>
              </w:tc>
              <w:tc>
                <w:tcPr>
                  <w:tcW w:w="123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pPr>
              <w:pStyle w:val="22"/>
              <w:kinsoku/>
              <w:spacing w:before="181" w:line="360" w:lineRule="auto"/>
              <w:ind w:left="109" w:right="102" w:firstLine="481"/>
              <w:jc w:val="both"/>
              <w:rPr>
                <w:rFonts w:ascii="Times New Roman" w:hAnsi="Times New Roman" w:cs="Times New Roman"/>
                <w:color w:val="auto"/>
                <w:spacing w:val="1"/>
                <w:lang w:eastAsia="zh-CN"/>
              </w:rPr>
            </w:pPr>
            <w:r>
              <w:rPr>
                <w:rFonts w:ascii="Times New Roman" w:hAnsi="Times New Roman" w:cs="Times New Roman"/>
                <w:color w:val="auto"/>
                <w:spacing w:val="1"/>
                <w:lang w:eastAsia="zh-CN"/>
              </w:rPr>
              <w:t>根据AERSCREEN 估算结果，项目粉尘无组织排放在厂界</w:t>
            </w:r>
            <w:r>
              <w:rPr>
                <w:rFonts w:hint="eastAsia" w:ascii="Times New Roman" w:hAnsi="Times New Roman" w:cs="Times New Roman"/>
                <w:color w:val="auto"/>
                <w:spacing w:val="1"/>
                <w:lang w:eastAsia="zh-CN"/>
              </w:rPr>
              <w:t>外最大</w:t>
            </w:r>
            <w:r>
              <w:rPr>
                <w:rFonts w:ascii="Times New Roman" w:hAnsi="Times New Roman" w:cs="Times New Roman"/>
                <w:color w:val="auto"/>
                <w:spacing w:val="1"/>
                <w:lang w:eastAsia="zh-CN"/>
              </w:rPr>
              <w:t>落地</w:t>
            </w:r>
            <w:r>
              <w:rPr>
                <w:rFonts w:hint="eastAsia" w:ascii="Times New Roman" w:hAnsi="Times New Roman" w:cs="Times New Roman"/>
                <w:color w:val="auto"/>
                <w:spacing w:val="1"/>
                <w:lang w:eastAsia="zh-CN"/>
              </w:rPr>
              <w:t>浓</w:t>
            </w:r>
            <w:r>
              <w:rPr>
                <w:rFonts w:ascii="Times New Roman" w:hAnsi="Times New Roman" w:cs="Times New Roman"/>
                <w:color w:val="auto"/>
                <w:spacing w:val="1"/>
                <w:lang w:eastAsia="zh-CN"/>
              </w:rPr>
              <w:t>度为</w:t>
            </w:r>
            <w:r>
              <w:rPr>
                <w:rFonts w:hint="eastAsia" w:ascii="Times New Roman" w:hAnsi="Times New Roman" w:cs="Times New Roman"/>
                <w:color w:val="auto"/>
                <w:spacing w:val="1"/>
                <w:lang w:eastAsia="zh-CN"/>
              </w:rPr>
              <w:t>0.00275</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，小于1.0mg/m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，满足《大气污染物综合排放标准》(GB16297-1996)无组织排放在周界外浓度最高点小于1.0mg/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的要求</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项目</w:t>
            </w:r>
            <w:r>
              <w:rPr>
                <w:rFonts w:hint="eastAsia" w:ascii="Times New Roman" w:hAnsi="Times New Roman" w:cs="Times New Roman"/>
                <w:color w:val="auto"/>
                <w:spacing w:val="1"/>
                <w:lang w:eastAsia="zh-CN"/>
              </w:rPr>
              <w:t>VOC</w:t>
            </w:r>
            <w:r>
              <w:rPr>
                <w:rFonts w:hint="eastAsia" w:ascii="Times New Roman" w:hAnsi="Times New Roman" w:cs="Times New Roman"/>
                <w:color w:val="auto"/>
                <w:spacing w:val="1"/>
                <w:vertAlign w:val="subscript"/>
                <w:lang w:eastAsia="zh-CN"/>
              </w:rPr>
              <w:t>S</w:t>
            </w:r>
            <w:r>
              <w:rPr>
                <w:rFonts w:hint="eastAsia" w:ascii="Times New Roman" w:hAnsi="Times New Roman" w:cs="Times New Roman"/>
                <w:color w:val="auto"/>
                <w:spacing w:val="1"/>
                <w:lang w:eastAsia="zh-CN"/>
              </w:rPr>
              <w:t>（以非甲烷总烃计）</w:t>
            </w:r>
            <w:r>
              <w:rPr>
                <w:rFonts w:ascii="Times New Roman" w:hAnsi="Times New Roman" w:cs="Times New Roman"/>
                <w:color w:val="auto"/>
                <w:spacing w:val="1"/>
                <w:lang w:eastAsia="zh-CN"/>
              </w:rPr>
              <w:t>无组织排放在</w:t>
            </w:r>
            <w:r>
              <w:rPr>
                <w:rFonts w:hint="eastAsia" w:ascii="Times New Roman" w:hAnsi="Times New Roman" w:cs="Times New Roman"/>
                <w:color w:val="auto"/>
                <w:spacing w:val="1"/>
                <w:lang w:eastAsia="zh-CN"/>
              </w:rPr>
              <w:t>厂界外最大落地</w:t>
            </w:r>
            <w:r>
              <w:rPr>
                <w:rFonts w:ascii="Times New Roman" w:hAnsi="Times New Roman" w:cs="Times New Roman"/>
                <w:color w:val="auto"/>
                <w:lang w:eastAsia="zh-CN"/>
              </w:rPr>
              <w:t>浓度值</w:t>
            </w:r>
            <w:r>
              <w:rPr>
                <w:rFonts w:ascii="Times New Roman" w:hAnsi="Times New Roman" w:cs="Times New Roman"/>
                <w:color w:val="auto"/>
                <w:spacing w:val="1"/>
                <w:lang w:eastAsia="zh-CN"/>
              </w:rPr>
              <w:t>为</w:t>
            </w:r>
            <w:r>
              <w:rPr>
                <w:rFonts w:hint="eastAsia" w:ascii="Times New Roman" w:hAnsi="Times New Roman" w:cs="Times New Roman"/>
                <w:color w:val="auto"/>
                <w:spacing w:val="1"/>
                <w:lang w:eastAsia="zh-CN"/>
              </w:rPr>
              <w:t>0.013</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，小于</w:t>
            </w:r>
            <w:r>
              <w:rPr>
                <w:rFonts w:hint="eastAsia" w:ascii="Times New Roman" w:hAnsi="Times New Roman" w:cs="Times New Roman"/>
                <w:color w:val="auto"/>
                <w:spacing w:val="1"/>
                <w:lang w:eastAsia="zh-CN"/>
              </w:rPr>
              <w:t>1.0</w:t>
            </w:r>
            <w:r>
              <w:rPr>
                <w:rFonts w:ascii="Times New Roman" w:hAnsi="Times New Roman" w:cs="Times New Roman"/>
                <w:color w:val="auto"/>
                <w:spacing w:val="1"/>
                <w:lang w:eastAsia="zh-CN"/>
              </w:rPr>
              <w:t>mg/m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，满足《大气污染物综合排放标准》(GB16297-1996)无组织排放在周界外浓度最高点小于</w:t>
            </w:r>
            <w:r>
              <w:rPr>
                <w:rFonts w:hint="eastAsia" w:ascii="Times New Roman" w:hAnsi="Times New Roman" w:cs="Times New Roman"/>
                <w:color w:val="auto"/>
                <w:spacing w:val="1"/>
                <w:lang w:eastAsia="zh-CN"/>
              </w:rPr>
              <w:t>4.0</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的要求</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项目</w:t>
            </w:r>
            <w:r>
              <w:rPr>
                <w:rFonts w:hint="eastAsia" w:ascii="Times New Roman" w:hAnsi="Times New Roman" w:cs="Times New Roman"/>
                <w:color w:val="auto"/>
                <w:spacing w:val="1"/>
                <w:lang w:eastAsia="zh-CN"/>
              </w:rPr>
              <w:t>VOC</w:t>
            </w:r>
            <w:r>
              <w:rPr>
                <w:rFonts w:hint="eastAsia" w:ascii="Times New Roman" w:hAnsi="Times New Roman" w:cs="Times New Roman"/>
                <w:color w:val="auto"/>
                <w:spacing w:val="1"/>
                <w:vertAlign w:val="subscript"/>
                <w:lang w:eastAsia="zh-CN"/>
              </w:rPr>
              <w:t>S</w:t>
            </w:r>
            <w:r>
              <w:rPr>
                <w:rFonts w:hint="eastAsia" w:ascii="Times New Roman" w:hAnsi="Times New Roman" w:cs="Times New Roman"/>
                <w:color w:val="auto"/>
                <w:spacing w:val="1"/>
                <w:lang w:eastAsia="zh-CN"/>
              </w:rPr>
              <w:t>（以非甲烷总烃计）最大落地</w:t>
            </w:r>
            <w:r>
              <w:rPr>
                <w:rFonts w:ascii="Times New Roman" w:hAnsi="Times New Roman" w:cs="Times New Roman"/>
                <w:color w:val="auto"/>
                <w:lang w:eastAsia="zh-CN"/>
              </w:rPr>
              <w:t>浓度值</w:t>
            </w:r>
            <w:r>
              <w:rPr>
                <w:rFonts w:ascii="Times New Roman" w:hAnsi="Times New Roman" w:cs="Times New Roman"/>
                <w:color w:val="auto"/>
                <w:spacing w:val="1"/>
                <w:lang w:eastAsia="zh-CN"/>
              </w:rPr>
              <w:t>为</w:t>
            </w:r>
            <w:r>
              <w:rPr>
                <w:rFonts w:hint="eastAsia" w:ascii="Times New Roman" w:hAnsi="Times New Roman" w:cs="Times New Roman"/>
                <w:color w:val="auto"/>
                <w:spacing w:val="1"/>
                <w:lang w:eastAsia="zh-CN"/>
              </w:rPr>
              <w:t>0.013</w:t>
            </w:r>
            <w:r>
              <w:rPr>
                <w:rFonts w:ascii="Times New Roman" w:hAnsi="Times New Roman" w:cs="Times New Roman"/>
                <w:color w:val="auto"/>
                <w:spacing w:val="1"/>
                <w:lang w:eastAsia="zh-CN"/>
              </w:rPr>
              <w:t>mg/</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w:t>
            </w:r>
            <w:r>
              <w:rPr>
                <w:rFonts w:hint="eastAsia" w:ascii="Times New Roman" w:hAnsi="Times New Roman" w:cs="Times New Roman"/>
                <w:color w:val="auto"/>
                <w:lang w:eastAsia="zh-CN"/>
              </w:rPr>
              <w:t>满足</w:t>
            </w:r>
            <w:r>
              <w:rPr>
                <w:rFonts w:ascii="Times New Roman" w:hAnsi="Times New Roman" w:cs="Times New Roman"/>
                <w:color w:val="auto"/>
                <w:lang w:eastAsia="zh-CN"/>
              </w:rPr>
              <w:t>《挥发性有机物无组织排放控制标准》(GB3782-2019)附录A</w:t>
            </w:r>
            <w:r>
              <w:rPr>
                <w:rFonts w:hint="eastAsia" w:ascii="Times New Roman" w:hAnsi="Times New Roman" w:cs="Times New Roman"/>
                <w:color w:val="auto"/>
                <w:lang w:eastAsia="zh-CN"/>
              </w:rPr>
              <w:t>监控点处1h平均浓度值（10</w:t>
            </w:r>
            <w:r>
              <w:rPr>
                <w:rFonts w:ascii="Times New Roman" w:hAnsi="Times New Roman" w:cs="Times New Roman"/>
                <w:color w:val="auto"/>
                <w:spacing w:val="1"/>
                <w:lang w:eastAsia="zh-CN"/>
              </w:rPr>
              <w:t>mg/m</w:t>
            </w:r>
            <w:r>
              <w:rPr>
                <w:rFonts w:hint="eastAsia" w:ascii="Times New Roman" w:hAnsi="Times New Roman" w:cs="Times New Roman"/>
                <w:color w:val="auto"/>
                <w:spacing w:val="1"/>
                <w:vertAlign w:val="superscript"/>
                <w:lang w:eastAsia="zh-CN"/>
              </w:rPr>
              <w:t>3</w:t>
            </w:r>
            <w:r>
              <w:rPr>
                <w:rFonts w:hint="eastAsia" w:ascii="Times New Roman" w:hAnsi="Times New Roman" w:cs="Times New Roman"/>
                <w:color w:val="auto"/>
                <w:lang w:eastAsia="zh-CN"/>
              </w:rPr>
              <w:t>）及监控点处任意一次浓度值（30</w:t>
            </w:r>
            <w:r>
              <w:rPr>
                <w:rFonts w:ascii="Times New Roman" w:hAnsi="Times New Roman" w:cs="Times New Roman"/>
                <w:color w:val="auto"/>
                <w:spacing w:val="1"/>
                <w:lang w:eastAsia="zh-CN"/>
              </w:rPr>
              <w:t>mg/m</w:t>
            </w:r>
            <w:r>
              <w:rPr>
                <w:rFonts w:hint="eastAsia" w:ascii="Times New Roman" w:hAnsi="Times New Roman" w:cs="Times New Roman"/>
                <w:color w:val="auto"/>
                <w:spacing w:val="1"/>
                <w:vertAlign w:val="superscript"/>
                <w:lang w:eastAsia="zh-CN"/>
              </w:rPr>
              <w:t>3</w:t>
            </w:r>
            <w:r>
              <w:rPr>
                <w:rFonts w:hint="eastAsia" w:ascii="Times New Roman" w:hAnsi="Times New Roman" w:cs="Times New Roman"/>
                <w:color w:val="auto"/>
                <w:lang w:eastAsia="zh-CN"/>
              </w:rPr>
              <w:t>）</w:t>
            </w:r>
            <w:r>
              <w:rPr>
                <w:rFonts w:ascii="Times New Roman" w:hAnsi="Times New Roman" w:cs="Times New Roman"/>
                <w:color w:val="auto"/>
                <w:spacing w:val="1"/>
                <w:lang w:eastAsia="zh-CN"/>
              </w:rPr>
              <w:t>。</w:t>
            </w:r>
            <w:r>
              <w:rPr>
                <w:rFonts w:ascii="Times New Roman" w:hAnsi="Times New Roman" w:cs="Times New Roman"/>
                <w:color w:val="auto"/>
                <w:lang w:eastAsia="zh-CN"/>
              </w:rPr>
              <w:t>封边胶桶在开启和设备添加</w:t>
            </w:r>
            <w:r>
              <w:rPr>
                <w:rFonts w:hint="eastAsia" w:ascii="Times New Roman" w:hAnsi="Times New Roman" w:cs="Times New Roman"/>
                <w:color w:val="auto"/>
                <w:lang w:eastAsia="zh-CN"/>
              </w:rPr>
              <w:t>封边胶</w:t>
            </w:r>
            <w:r>
              <w:rPr>
                <w:rFonts w:ascii="Times New Roman" w:hAnsi="Times New Roman" w:cs="Times New Roman"/>
                <w:color w:val="auto"/>
                <w:lang w:eastAsia="zh-CN"/>
              </w:rPr>
              <w:t>的过程中会短时间内产生少量</w:t>
            </w:r>
            <w:r>
              <w:rPr>
                <w:rFonts w:hint="eastAsia" w:ascii="Times New Roman" w:hAnsi="Times New Roman" w:cs="Times New Roman"/>
                <w:color w:val="auto"/>
                <w:lang w:eastAsia="zh-CN"/>
              </w:rPr>
              <w:t>异味</w:t>
            </w:r>
            <w:r>
              <w:rPr>
                <w:rFonts w:ascii="Times New Roman" w:hAnsi="Times New Roman" w:cs="Times New Roman"/>
                <w:color w:val="auto"/>
                <w:lang w:eastAsia="zh-CN"/>
              </w:rPr>
              <w:t>，以无组织的形式扩散到大气中，该部分无组织</w:t>
            </w:r>
            <w:r>
              <w:rPr>
                <w:rFonts w:hint="eastAsia" w:ascii="Times New Roman" w:hAnsi="Times New Roman" w:cs="Times New Roman"/>
                <w:color w:val="auto"/>
                <w:lang w:eastAsia="zh-CN"/>
              </w:rPr>
              <w:t>异味产生量极少，可满</w:t>
            </w:r>
            <w:r>
              <w:rPr>
                <w:rFonts w:ascii="Times New Roman" w:hAnsi="Times New Roman" w:cs="Times New Roman"/>
                <w:color w:val="auto"/>
                <w:lang w:eastAsia="zh-CN"/>
              </w:rPr>
              <w:t>《恶臭污染物排放标准》（GB14554-93）中表1排放限值。</w:t>
            </w:r>
            <w:r>
              <w:rPr>
                <w:rFonts w:hint="eastAsia" w:ascii="Times New Roman" w:hAnsi="Times New Roman" w:cs="Times New Roman"/>
                <w:color w:val="auto"/>
                <w:spacing w:val="1"/>
                <w:lang w:eastAsia="zh-CN"/>
              </w:rPr>
              <w:t>同时，500m范围内敏感点黄家坡村距离本项目位于234m处，位于项目区常年主导风向的上风向，故本项目对敏感点大气环境影响较小。</w:t>
            </w:r>
          </w:p>
          <w:p>
            <w:pPr>
              <w:pStyle w:val="22"/>
              <w:numPr>
                <w:ilvl w:val="0"/>
                <w:numId w:val="0"/>
              </w:numPr>
              <w:kinsoku/>
              <w:spacing w:before="181" w:line="360" w:lineRule="auto"/>
              <w:ind w:left="590" w:leftChars="0" w:right="102" w:rightChars="0"/>
              <w:jc w:val="both"/>
              <w:rPr>
                <w:rFonts w:ascii="Times New Roman" w:hAnsi="Times New Roman" w:cs="Times New Roman"/>
                <w:color w:val="auto"/>
                <w:spacing w:val="1"/>
                <w:lang w:eastAsia="zh-CN"/>
              </w:rPr>
            </w:pPr>
            <w:r>
              <w:rPr>
                <w:rFonts w:hint="eastAsia" w:ascii="Times New Roman" w:hAnsi="Times New Roman" w:cs="Times New Roman"/>
                <w:color w:val="auto"/>
                <w:spacing w:val="1"/>
                <w:lang w:eastAsia="zh-CN"/>
              </w:rPr>
              <w:t>（</w:t>
            </w:r>
            <w:r>
              <w:rPr>
                <w:rFonts w:hint="eastAsia" w:ascii="Times New Roman" w:hAnsi="Times New Roman" w:cs="Times New Roman"/>
                <w:color w:val="auto"/>
                <w:spacing w:val="1"/>
                <w:lang w:val="en-US" w:eastAsia="zh-CN"/>
              </w:rPr>
              <w:t>2</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废气风量和排气筒高度合理性分析</w:t>
            </w:r>
          </w:p>
          <w:p>
            <w:pPr>
              <w:pStyle w:val="22"/>
              <w:kinsoku/>
              <w:spacing w:before="181" w:line="360" w:lineRule="auto"/>
              <w:ind w:right="102" w:firstLine="484" w:firstLineChars="200"/>
              <w:jc w:val="both"/>
              <w:rPr>
                <w:rFonts w:ascii="Times New Roman" w:hAnsi="Times New Roman" w:cs="Times New Roman"/>
                <w:color w:val="auto"/>
                <w:spacing w:val="1"/>
                <w:lang w:eastAsia="zh-CN"/>
              </w:rPr>
            </w:pPr>
            <w:r>
              <w:rPr>
                <w:rFonts w:ascii="Times New Roman" w:hAnsi="Times New Roman" w:cs="Times New Roman"/>
                <w:color w:val="auto"/>
                <w:spacing w:val="1"/>
                <w:lang w:eastAsia="zh-CN"/>
              </w:rPr>
              <w:t>项目雕刻、打孔及清理、封边废气收集风机风量均为5000m</w:t>
            </w:r>
            <w:r>
              <w:rPr>
                <w:rFonts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/h，收集处理后分别通过15m排气筒（DA001、DA002）排放，DA001、DA002排气筒内径</w:t>
            </w:r>
            <w:r>
              <w:rPr>
                <w:rFonts w:hint="eastAsia" w:ascii="Times New Roman" w:hAnsi="Times New Roman" w:cs="Times New Roman"/>
                <w:color w:val="auto"/>
                <w:spacing w:val="1"/>
                <w:lang w:eastAsia="zh-CN"/>
              </w:rPr>
              <w:t>均</w:t>
            </w:r>
            <w:r>
              <w:rPr>
                <w:rFonts w:ascii="Times New Roman" w:hAnsi="Times New Roman" w:cs="Times New Roman"/>
                <w:color w:val="auto"/>
                <w:spacing w:val="1"/>
                <w:lang w:eastAsia="zh-CN"/>
              </w:rPr>
              <w:t>为0.</w:t>
            </w:r>
            <w:r>
              <w:rPr>
                <w:rFonts w:hint="eastAsia" w:ascii="Times New Roman" w:hAnsi="Times New Roman" w:cs="Times New Roman"/>
                <w:color w:val="auto"/>
                <w:spacing w:val="1"/>
                <w:lang w:eastAsia="zh-CN"/>
              </w:rPr>
              <w:t>4</w:t>
            </w:r>
            <w:r>
              <w:rPr>
                <w:rFonts w:ascii="Times New Roman" w:hAnsi="Times New Roman" w:cs="Times New Roman"/>
                <w:color w:val="auto"/>
                <w:spacing w:val="1"/>
                <w:lang w:eastAsia="zh-CN"/>
              </w:rPr>
              <w:t>m，气体流速</w:t>
            </w:r>
            <w:r>
              <w:rPr>
                <w:rFonts w:hint="eastAsia" w:ascii="Times New Roman" w:hAnsi="Times New Roman" w:cs="Times New Roman"/>
                <w:color w:val="auto"/>
                <w:spacing w:val="1"/>
                <w:lang w:eastAsia="zh-CN"/>
              </w:rPr>
              <w:t>均</w:t>
            </w:r>
            <w:r>
              <w:rPr>
                <w:rFonts w:ascii="Times New Roman" w:hAnsi="Times New Roman" w:cs="Times New Roman"/>
                <w:color w:val="auto"/>
                <w:spacing w:val="1"/>
                <w:lang w:eastAsia="zh-CN"/>
              </w:rPr>
              <w:t>为11.06m/s</w:t>
            </w:r>
            <w:r>
              <w:rPr>
                <w:rFonts w:hint="eastAsia" w:ascii="Times New Roman" w:hAnsi="Times New Roman" w:cs="Times New Roman"/>
                <w:color w:val="auto"/>
                <w:spacing w:val="1"/>
                <w:lang w:eastAsia="zh-CN"/>
              </w:rPr>
              <w:t>。</w:t>
            </w:r>
          </w:p>
          <w:p>
            <w:pPr>
              <w:pStyle w:val="22"/>
              <w:kinsoku/>
              <w:spacing w:before="181" w:line="360" w:lineRule="auto"/>
              <w:ind w:left="109" w:right="102" w:firstLine="481"/>
              <w:jc w:val="both"/>
              <w:rPr>
                <w:rFonts w:ascii="Times New Roman" w:hAnsi="Times New Roman" w:cs="Times New Roman"/>
                <w:color w:val="auto"/>
                <w:spacing w:val="1"/>
                <w:lang w:eastAsia="zh-CN"/>
              </w:rPr>
            </w:pPr>
            <w:r>
              <w:rPr>
                <w:rFonts w:hint="eastAsia" w:ascii="Times New Roman" w:hAnsi="Times New Roman" w:cs="Times New Roman"/>
                <w:color w:val="auto"/>
                <w:spacing w:val="1"/>
                <w:lang w:eastAsia="zh-CN"/>
              </w:rPr>
              <w:t>项目周边</w:t>
            </w:r>
            <w:r>
              <w:rPr>
                <w:rFonts w:ascii="Times New Roman" w:hAnsi="Times New Roman" w:cs="Times New Roman"/>
                <w:color w:val="auto"/>
                <w:spacing w:val="1"/>
                <w:lang w:eastAsia="zh-CN"/>
              </w:rPr>
              <w:t>200m半径范围内最高建筑为12m，排气筒高度为15m，排气筒高度设置</w:t>
            </w:r>
            <w:r>
              <w:rPr>
                <w:rFonts w:hint="eastAsia" w:ascii="Times New Roman" w:hAnsi="Times New Roman" w:cs="Times New Roman"/>
                <w:color w:val="auto"/>
                <w:spacing w:val="1"/>
                <w:lang w:eastAsia="zh-CN"/>
              </w:rPr>
              <w:t>不满足</w:t>
            </w:r>
            <w:r>
              <w:rPr>
                <w:rFonts w:ascii="Times New Roman" w:hAnsi="Times New Roman" w:cs="Times New Roman"/>
                <w:color w:val="auto"/>
                <w:spacing w:val="1"/>
                <w:lang w:eastAsia="zh-CN"/>
              </w:rPr>
              <w:t>《大气污染物综合排放标准》（GB16297-1996）中</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高出周围200米半径范围的建筑5米以上</w:t>
            </w:r>
            <w:r>
              <w:rPr>
                <w:rFonts w:hint="eastAsia" w:ascii="Times New Roman" w:hAnsi="Times New Roman" w:cs="Times New Roman"/>
                <w:color w:val="auto"/>
                <w:spacing w:val="1"/>
                <w:lang w:eastAsia="zh-CN"/>
              </w:rPr>
              <w:t>”</w:t>
            </w:r>
            <w:r>
              <w:rPr>
                <w:rFonts w:ascii="Times New Roman" w:hAnsi="Times New Roman" w:cs="Times New Roman"/>
                <w:color w:val="auto"/>
                <w:spacing w:val="1"/>
                <w:lang w:eastAsia="zh-CN"/>
              </w:rPr>
              <w:t>的要求，故排放速率标准值严格50%执行。同时废气排放烟气流速满足《大气污染治理工程技术导则》(HJ2000-2010)中流速宜取10m/s-15m/s的要求，因此，项目废气处理措施风机风量和排气筒设置合理。</w:t>
            </w:r>
          </w:p>
          <w:p>
            <w:pPr>
              <w:kinsoku/>
              <w:spacing w:line="360" w:lineRule="auto"/>
              <w:ind w:firstLine="480" w:firstLineChars="200"/>
              <w:rPr>
                <w:b/>
                <w:bCs/>
                <w:color w:val="auto"/>
                <w:sz w:val="24"/>
                <w:lang w:eastAsia="zh-CN"/>
              </w:rPr>
            </w:pPr>
            <w:r>
              <w:rPr>
                <w:rFonts w:hint="eastAsia"/>
                <w:b/>
                <w:bCs/>
                <w:color w:val="auto"/>
                <w:sz w:val="24"/>
                <w:lang w:eastAsia="zh-CN"/>
              </w:rPr>
              <w:t>5、</w:t>
            </w:r>
            <w:r>
              <w:rPr>
                <w:b/>
                <w:bCs/>
                <w:color w:val="auto"/>
                <w:sz w:val="24"/>
                <w:lang w:eastAsia="zh-CN"/>
              </w:rPr>
              <w:t>非正常情况污染物排放情况</w:t>
            </w:r>
          </w:p>
          <w:p>
            <w:pPr>
              <w:kinsoku/>
              <w:spacing w:line="360" w:lineRule="auto"/>
              <w:ind w:firstLine="480" w:firstLineChars="200"/>
              <w:rPr>
                <w:color w:val="auto"/>
                <w:sz w:val="24"/>
                <w:lang w:eastAsia="zh-CN"/>
              </w:rPr>
            </w:pPr>
            <w:r>
              <w:rPr>
                <w:rFonts w:hint="eastAsia"/>
                <w:color w:val="auto"/>
                <w:sz w:val="24"/>
                <w:lang w:eastAsia="zh-CN"/>
              </w:rPr>
              <w:t>项目颗粒物</w:t>
            </w:r>
            <w:r>
              <w:rPr>
                <w:rFonts w:hint="eastAsia" w:eastAsia="宋体"/>
                <w:color w:val="auto"/>
                <w:sz w:val="24"/>
                <w:lang w:eastAsia="zh-CN"/>
              </w:rPr>
              <w:t>、挥发性有机物</w:t>
            </w:r>
            <w:r>
              <w:rPr>
                <w:rFonts w:hint="eastAsia"/>
                <w:color w:val="auto"/>
                <w:sz w:val="24"/>
                <w:lang w:eastAsia="zh-CN"/>
              </w:rPr>
              <w:t>废气非正常排放的因素和环节较多，主要与治理设施不能正常运转有关。项目大气非正常排放情况主要考虑中央收尘系统除尘设施及挥发物性有机物处理设施出现故障，导致废气净化效率降至设计指标的50%，</w:t>
            </w:r>
            <w:r>
              <w:rPr>
                <w:rFonts w:hint="eastAsia" w:eastAsia="宋体"/>
                <w:color w:val="auto"/>
                <w:sz w:val="24"/>
                <w:lang w:eastAsia="zh-CN" w:bidi="ar"/>
              </w:rPr>
              <w:t>挥发性有机物</w:t>
            </w:r>
            <w:r>
              <w:rPr>
                <w:rFonts w:hint="eastAsia"/>
                <w:color w:val="auto"/>
                <w:sz w:val="24"/>
                <w:lang w:eastAsia="zh-CN" w:bidi="ar"/>
              </w:rPr>
              <w:t>废气去除率降为0，</w:t>
            </w:r>
            <w:r>
              <w:rPr>
                <w:rFonts w:hint="eastAsia"/>
                <w:color w:val="auto"/>
                <w:sz w:val="24"/>
                <w:lang w:eastAsia="zh-CN"/>
              </w:rPr>
              <w:t>持续时间按1h计，则非正常排放情况下污染物产生及排放情况详见下表。</w:t>
            </w:r>
          </w:p>
          <w:p>
            <w:pPr>
              <w:kinsoku/>
              <w:jc w:val="center"/>
              <w:rPr>
                <w:b/>
                <w:color w:val="auto"/>
                <w:lang w:eastAsia="zh-CN"/>
              </w:rPr>
            </w:pPr>
            <w:r>
              <w:rPr>
                <w:b/>
                <w:color w:val="auto"/>
                <w:lang w:eastAsia="zh-CN"/>
              </w:rPr>
              <w:t>表</w:t>
            </w:r>
            <w:r>
              <w:rPr>
                <w:rFonts w:hint="eastAsia"/>
                <w:b/>
                <w:color w:val="auto"/>
                <w:lang w:eastAsia="zh-CN"/>
              </w:rPr>
              <w:t xml:space="preserve">4-8 </w:t>
            </w:r>
            <w:r>
              <w:rPr>
                <w:b/>
                <w:color w:val="auto"/>
                <w:lang w:eastAsia="zh-CN"/>
              </w:rPr>
              <w:t xml:space="preserve"> 项目非正常排放量核算表</w:t>
            </w:r>
          </w:p>
          <w:tbl>
            <w:tblPr>
              <w:tblStyle w:val="16"/>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794"/>
              <w:gridCol w:w="1345"/>
              <w:gridCol w:w="1092"/>
              <w:gridCol w:w="1146"/>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kinsoku/>
                    <w:jc w:val="center"/>
                    <w:rPr>
                      <w:bCs/>
                      <w:color w:val="auto"/>
                    </w:rPr>
                  </w:pPr>
                  <w:r>
                    <w:rPr>
                      <w:bCs/>
                      <w:color w:val="auto"/>
                    </w:rPr>
                    <w:t>非正常排放原因</w:t>
                  </w:r>
                </w:p>
              </w:tc>
              <w:tc>
                <w:tcPr>
                  <w:tcW w:w="1035" w:type="pct"/>
                  <w:vAlign w:val="center"/>
                </w:tcPr>
                <w:p>
                  <w:pPr>
                    <w:kinsoku/>
                    <w:jc w:val="center"/>
                    <w:rPr>
                      <w:bCs/>
                      <w:color w:val="auto"/>
                    </w:rPr>
                  </w:pPr>
                  <w:r>
                    <w:rPr>
                      <w:bCs/>
                      <w:color w:val="auto"/>
                    </w:rPr>
                    <w:t>污染物</w:t>
                  </w:r>
                </w:p>
              </w:tc>
              <w:tc>
                <w:tcPr>
                  <w:tcW w:w="777" w:type="pct"/>
                  <w:vAlign w:val="center"/>
                </w:tcPr>
                <w:p>
                  <w:pPr>
                    <w:kinsoku/>
                    <w:jc w:val="center"/>
                    <w:rPr>
                      <w:bCs/>
                      <w:color w:val="auto"/>
                    </w:rPr>
                  </w:pPr>
                  <w:r>
                    <w:rPr>
                      <w:bCs/>
                      <w:color w:val="auto"/>
                    </w:rPr>
                    <w:t>非正常排放速率/（kg/h）</w:t>
                  </w:r>
                </w:p>
              </w:tc>
              <w:tc>
                <w:tcPr>
                  <w:tcW w:w="631" w:type="pct"/>
                  <w:vAlign w:val="center"/>
                </w:tcPr>
                <w:p>
                  <w:pPr>
                    <w:kinsoku/>
                    <w:jc w:val="center"/>
                    <w:rPr>
                      <w:bCs/>
                      <w:color w:val="auto"/>
                    </w:rPr>
                  </w:pPr>
                  <w:r>
                    <w:rPr>
                      <w:bCs/>
                      <w:color w:val="auto"/>
                    </w:rPr>
                    <w:t>单次持续时间/h</w:t>
                  </w:r>
                </w:p>
              </w:tc>
              <w:tc>
                <w:tcPr>
                  <w:tcW w:w="662" w:type="pct"/>
                  <w:vAlign w:val="center"/>
                </w:tcPr>
                <w:p>
                  <w:pPr>
                    <w:kinsoku/>
                    <w:jc w:val="center"/>
                    <w:rPr>
                      <w:bCs/>
                      <w:color w:val="auto"/>
                    </w:rPr>
                  </w:pPr>
                  <w:r>
                    <w:rPr>
                      <w:bCs/>
                      <w:color w:val="auto"/>
                    </w:rPr>
                    <w:t>年发生频次/次</w:t>
                  </w:r>
                </w:p>
              </w:tc>
              <w:tc>
                <w:tcPr>
                  <w:tcW w:w="870" w:type="pct"/>
                  <w:vAlign w:val="center"/>
                </w:tcPr>
                <w:p>
                  <w:pPr>
                    <w:kinsoku/>
                    <w:jc w:val="center"/>
                    <w:rPr>
                      <w:bCs/>
                      <w:color w:val="auto"/>
                    </w:rPr>
                  </w:pPr>
                  <w:r>
                    <w:rPr>
                      <w:bCs/>
                      <w:color w:val="auto"/>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22" w:type="pct"/>
                  <w:vAlign w:val="center"/>
                </w:tcPr>
                <w:p>
                  <w:pPr>
                    <w:kinsoku/>
                    <w:jc w:val="center"/>
                    <w:rPr>
                      <w:color w:val="auto"/>
                      <w:lang w:eastAsia="zh-CN"/>
                    </w:rPr>
                  </w:pPr>
                  <w:r>
                    <w:rPr>
                      <w:color w:val="auto"/>
                      <w:lang w:eastAsia="zh-CN"/>
                    </w:rPr>
                    <w:t>设施出现故障或破损，去除效率降为</w:t>
                  </w:r>
                  <w:r>
                    <w:rPr>
                      <w:rFonts w:hint="eastAsia" w:eastAsia="宋体"/>
                      <w:color w:val="auto"/>
                      <w:lang w:eastAsia="zh-CN"/>
                    </w:rPr>
                    <w:t>50</w:t>
                  </w:r>
                  <w:r>
                    <w:rPr>
                      <w:rFonts w:hint="eastAsia"/>
                      <w:color w:val="auto"/>
                      <w:lang w:eastAsia="zh-CN"/>
                    </w:rPr>
                    <w:t>%</w:t>
                  </w:r>
                </w:p>
              </w:tc>
              <w:tc>
                <w:tcPr>
                  <w:tcW w:w="1035" w:type="pct"/>
                  <w:vAlign w:val="center"/>
                </w:tcPr>
                <w:p>
                  <w:pPr>
                    <w:kinsoku/>
                    <w:jc w:val="center"/>
                    <w:rPr>
                      <w:color w:val="auto"/>
                    </w:rPr>
                  </w:pPr>
                  <w:r>
                    <w:rPr>
                      <w:color w:val="auto"/>
                    </w:rPr>
                    <w:t>颗粒物</w:t>
                  </w:r>
                </w:p>
              </w:tc>
              <w:tc>
                <w:tcPr>
                  <w:tcW w:w="777" w:type="pct"/>
                  <w:vAlign w:val="center"/>
                </w:tcPr>
                <w:p>
                  <w:pPr>
                    <w:pStyle w:val="36"/>
                    <w:tabs>
                      <w:tab w:val="left" w:pos="540"/>
                      <w:tab w:val="left" w:pos="851"/>
                      <w:tab w:val="left" w:pos="994"/>
                      <w:tab w:val="left" w:pos="1260"/>
                      <w:tab w:val="left" w:pos="3108"/>
                      <w:tab w:val="left" w:pos="3150"/>
                    </w:tabs>
                    <w:kinsoku/>
                    <w:spacing w:before="60"/>
                    <w:rPr>
                      <w:rFonts w:hint="eastAsia" w:eastAsia="宋体"/>
                      <w:color w:val="auto"/>
                      <w:lang w:val="en-US" w:eastAsia="zh-CN"/>
                    </w:rPr>
                  </w:pPr>
                  <w:r>
                    <w:rPr>
                      <w:rFonts w:hint="eastAsia" w:eastAsia="宋体"/>
                      <w:color w:val="auto"/>
                      <w:lang w:val="en-US" w:eastAsia="zh-CN"/>
                    </w:rPr>
                    <w:t>0.0174</w:t>
                  </w:r>
                </w:p>
              </w:tc>
              <w:tc>
                <w:tcPr>
                  <w:tcW w:w="631" w:type="pct"/>
                  <w:vAlign w:val="center"/>
                </w:tcPr>
                <w:p>
                  <w:pPr>
                    <w:kinsoku/>
                    <w:jc w:val="center"/>
                    <w:rPr>
                      <w:color w:val="auto"/>
                    </w:rPr>
                  </w:pPr>
                  <w:r>
                    <w:rPr>
                      <w:rFonts w:hint="eastAsia"/>
                      <w:color w:val="auto"/>
                    </w:rPr>
                    <w:t>1</w:t>
                  </w:r>
                </w:p>
              </w:tc>
              <w:tc>
                <w:tcPr>
                  <w:tcW w:w="662" w:type="pct"/>
                  <w:vAlign w:val="center"/>
                </w:tcPr>
                <w:p>
                  <w:pPr>
                    <w:kinsoku/>
                    <w:jc w:val="center"/>
                    <w:rPr>
                      <w:color w:val="auto"/>
                    </w:rPr>
                  </w:pPr>
                  <w:r>
                    <w:rPr>
                      <w:color w:val="auto"/>
                    </w:rPr>
                    <w:t>1</w:t>
                  </w:r>
                  <w:r>
                    <w:rPr>
                      <w:rFonts w:hint="eastAsia" w:eastAsia="宋体"/>
                      <w:color w:val="auto"/>
                      <w:lang w:eastAsia="zh-CN"/>
                    </w:rPr>
                    <w:t>～</w:t>
                  </w:r>
                  <w:r>
                    <w:rPr>
                      <w:rFonts w:hint="eastAsia"/>
                      <w:color w:val="auto"/>
                    </w:rPr>
                    <w:t>2次</w:t>
                  </w:r>
                </w:p>
              </w:tc>
              <w:tc>
                <w:tcPr>
                  <w:tcW w:w="870" w:type="pct"/>
                  <w:vMerge w:val="restart"/>
                  <w:vAlign w:val="center"/>
                </w:tcPr>
                <w:p>
                  <w:pPr>
                    <w:kinsoku/>
                    <w:jc w:val="center"/>
                    <w:rPr>
                      <w:color w:val="auto"/>
                      <w:lang w:eastAsia="zh-CN"/>
                    </w:rPr>
                  </w:pPr>
                  <w:r>
                    <w:rPr>
                      <w:color w:val="auto"/>
                      <w:lang w:eastAsia="zh-CN"/>
                    </w:rPr>
                    <w:t>装置应定期进行维护和管理。若发生非正常排放，应立即检修。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22" w:type="pct"/>
                  <w:vAlign w:val="center"/>
                </w:tcPr>
                <w:p>
                  <w:pPr>
                    <w:kinsoku/>
                    <w:jc w:val="center"/>
                    <w:rPr>
                      <w:color w:val="auto"/>
                      <w:lang w:eastAsia="zh-CN"/>
                    </w:rPr>
                  </w:pPr>
                  <w:r>
                    <w:rPr>
                      <w:rFonts w:hint="eastAsia"/>
                      <w:color w:val="auto"/>
                      <w:lang w:eastAsia="zh-CN"/>
                    </w:rPr>
                    <w:t>活性炭失效</w:t>
                  </w:r>
                  <w:r>
                    <w:rPr>
                      <w:color w:val="auto"/>
                      <w:lang w:eastAsia="zh-CN"/>
                    </w:rPr>
                    <w:t>，去除效率降为</w:t>
                  </w:r>
                  <w:r>
                    <w:rPr>
                      <w:rFonts w:hint="eastAsia" w:eastAsia="宋体"/>
                      <w:color w:val="auto"/>
                      <w:lang w:eastAsia="zh-CN"/>
                    </w:rPr>
                    <w:t>0</w:t>
                  </w:r>
                  <w:r>
                    <w:rPr>
                      <w:rFonts w:hint="eastAsia"/>
                      <w:color w:val="auto"/>
                      <w:lang w:eastAsia="zh-CN"/>
                    </w:rPr>
                    <w:t>%</w:t>
                  </w:r>
                </w:p>
              </w:tc>
              <w:tc>
                <w:tcPr>
                  <w:tcW w:w="1035" w:type="pct"/>
                  <w:vAlign w:val="center"/>
                </w:tcPr>
                <w:p>
                  <w:pPr>
                    <w:kinsoku/>
                    <w:jc w:val="center"/>
                    <w:rPr>
                      <w:rFonts w:eastAsia="宋体"/>
                      <w:color w:val="auto"/>
                      <w:lang w:eastAsia="zh-CN"/>
                    </w:rPr>
                  </w:pPr>
                  <w:r>
                    <w:rPr>
                      <w:rFonts w:hint="eastAsia" w:eastAsia="宋体"/>
                      <w:color w:val="auto"/>
                      <w:lang w:eastAsia="zh-CN"/>
                    </w:rPr>
                    <w:t>挥发性有机物</w:t>
                  </w:r>
                </w:p>
              </w:tc>
              <w:tc>
                <w:tcPr>
                  <w:tcW w:w="777" w:type="pct"/>
                  <w:vAlign w:val="center"/>
                </w:tcPr>
                <w:p>
                  <w:pPr>
                    <w:pStyle w:val="36"/>
                    <w:tabs>
                      <w:tab w:val="left" w:pos="540"/>
                      <w:tab w:val="left" w:pos="851"/>
                      <w:tab w:val="left" w:pos="994"/>
                      <w:tab w:val="left" w:pos="1260"/>
                      <w:tab w:val="left" w:pos="3108"/>
                      <w:tab w:val="left" w:pos="3150"/>
                    </w:tabs>
                    <w:kinsoku/>
                    <w:spacing w:before="60"/>
                    <w:rPr>
                      <w:color w:val="auto"/>
                      <w:lang w:val="en-US" w:eastAsia="zh-CN"/>
                    </w:rPr>
                  </w:pPr>
                  <w:r>
                    <w:rPr>
                      <w:rFonts w:hint="eastAsia"/>
                      <w:color w:val="auto"/>
                      <w:lang w:val="en-US" w:eastAsia="zh-CN"/>
                    </w:rPr>
                    <w:t>0.0682</w:t>
                  </w:r>
                </w:p>
              </w:tc>
              <w:tc>
                <w:tcPr>
                  <w:tcW w:w="631" w:type="pct"/>
                  <w:shd w:val="clear" w:color="auto" w:fill="auto"/>
                  <w:vAlign w:val="center"/>
                </w:tcPr>
                <w:p>
                  <w:pPr>
                    <w:kinsoku/>
                    <w:jc w:val="center"/>
                    <w:rPr>
                      <w:color w:val="auto"/>
                      <w:lang w:eastAsia="zh-CN"/>
                    </w:rPr>
                  </w:pPr>
                  <w:r>
                    <w:rPr>
                      <w:rFonts w:hint="eastAsia"/>
                      <w:color w:val="auto"/>
                      <w:lang w:eastAsia="zh-CN"/>
                    </w:rPr>
                    <w:t>1</w:t>
                  </w:r>
                </w:p>
              </w:tc>
              <w:tc>
                <w:tcPr>
                  <w:tcW w:w="662" w:type="pct"/>
                  <w:shd w:val="clear" w:color="auto" w:fill="auto"/>
                  <w:vAlign w:val="center"/>
                </w:tcPr>
                <w:p>
                  <w:pPr>
                    <w:kinsoku/>
                    <w:jc w:val="center"/>
                    <w:rPr>
                      <w:color w:val="auto"/>
                      <w:lang w:eastAsia="zh-CN"/>
                    </w:rPr>
                  </w:pPr>
                  <w:r>
                    <w:rPr>
                      <w:color w:val="auto"/>
                      <w:lang w:eastAsia="zh-CN"/>
                    </w:rPr>
                    <w:t>1</w:t>
                  </w:r>
                  <w:r>
                    <w:rPr>
                      <w:rFonts w:hint="eastAsia"/>
                      <w:color w:val="auto"/>
                      <w:lang w:eastAsia="zh-CN"/>
                    </w:rPr>
                    <w:t>～2次</w:t>
                  </w:r>
                </w:p>
              </w:tc>
              <w:tc>
                <w:tcPr>
                  <w:tcW w:w="870" w:type="pct"/>
                  <w:vMerge w:val="continue"/>
                  <w:vAlign w:val="center"/>
                </w:tcPr>
                <w:p>
                  <w:pPr>
                    <w:kinsoku/>
                    <w:jc w:val="center"/>
                    <w:rPr>
                      <w:color w:val="auto"/>
                      <w:lang w:eastAsia="zh-CN"/>
                    </w:rPr>
                  </w:pPr>
                </w:p>
              </w:tc>
            </w:tr>
          </w:tbl>
          <w:p>
            <w:pPr>
              <w:pStyle w:val="22"/>
              <w:kinsoku/>
              <w:spacing w:before="181" w:line="360" w:lineRule="auto"/>
              <w:ind w:left="109" w:right="102" w:firstLine="481"/>
              <w:jc w:val="both"/>
              <w:rPr>
                <w:rFonts w:ascii="Times New Roman" w:hAnsi="Times New Roman" w:cs="Times New Roman"/>
                <w:color w:val="auto"/>
                <w:spacing w:val="1"/>
                <w:lang w:eastAsia="zh-CN"/>
              </w:rPr>
            </w:pPr>
            <w:r>
              <w:rPr>
                <w:rFonts w:hint="eastAsia"/>
                <w:color w:val="auto"/>
                <w:lang w:eastAsia="zh-CN"/>
              </w:rPr>
              <w:t>由上可知，非正常情况下，各废气较正常排放时排放量较高，对区域环境有一定影响。为避免废气污染对厂内员工、周围环境造成影响，建设单位日常运行期间应对废气收集处理设施进行维护和管理，杜绝非正常排放。若发生非正常排放，立即停产检修或及时更换喷头，找出非正常排放的来源。</w:t>
            </w:r>
          </w:p>
          <w:p>
            <w:pPr>
              <w:pStyle w:val="22"/>
              <w:kinsoku/>
              <w:spacing w:before="35" w:line="221" w:lineRule="auto"/>
              <w:ind w:left="600"/>
              <w:rPr>
                <w:rFonts w:hint="eastAsia"/>
                <w:b/>
                <w:bCs/>
                <w:color w:val="auto"/>
                <w:lang w:eastAsia="zh-CN"/>
              </w:rPr>
            </w:pPr>
            <w:r>
              <w:rPr>
                <w:rFonts w:hint="eastAsia"/>
                <w:b/>
                <w:bCs/>
                <w:color w:val="auto"/>
                <w:spacing w:val="-5"/>
                <w:lang w:eastAsia="zh-CN"/>
              </w:rPr>
              <w:t>6</w:t>
            </w:r>
            <w:r>
              <w:rPr>
                <w:b/>
                <w:bCs/>
                <w:color w:val="auto"/>
                <w:spacing w:val="-5"/>
                <w:lang w:eastAsia="zh-CN"/>
              </w:rPr>
              <w:t>、</w:t>
            </w:r>
            <w:r>
              <w:rPr>
                <w:rFonts w:hint="eastAsia"/>
                <w:b/>
                <w:bCs/>
                <w:color w:val="auto"/>
                <w:spacing w:val="-3"/>
                <w:lang w:eastAsia="zh-CN"/>
              </w:rPr>
              <w:t>自行监测要求</w:t>
            </w:r>
          </w:p>
          <w:p>
            <w:pPr>
              <w:pStyle w:val="22"/>
              <w:kinsoku/>
              <w:spacing w:before="181" w:line="350" w:lineRule="auto"/>
              <w:ind w:left="108" w:right="101" w:firstLine="480"/>
              <w:rPr>
                <w:rFonts w:hint="eastAsia" w:ascii="Arial"/>
                <w:color w:val="auto"/>
                <w:sz w:val="21"/>
                <w:lang w:eastAsia="zh-CN"/>
              </w:rPr>
            </w:pPr>
            <w:r>
              <w:rPr>
                <w:rFonts w:hint="eastAsia"/>
                <w:color w:val="auto"/>
                <w:spacing w:val="1"/>
                <w:lang w:eastAsia="zh-CN"/>
              </w:rPr>
              <w:t>根据《排污许可证申请与核发技术规范 总则》</w:t>
            </w:r>
            <w:r>
              <w:rPr>
                <w:rFonts w:ascii="Times New Roman" w:hAnsi="Times New Roman" w:cs="Times New Roman"/>
                <w:color w:val="auto"/>
                <w:spacing w:val="1"/>
                <w:lang w:eastAsia="zh-CN"/>
              </w:rPr>
              <w:t>(HJ</w:t>
            </w:r>
            <w:r>
              <w:rPr>
                <w:rFonts w:hint="eastAsia" w:ascii="Times New Roman" w:hAnsi="Times New Roman" w:cs="Times New Roman"/>
                <w:color w:val="auto"/>
                <w:spacing w:val="1"/>
                <w:lang w:eastAsia="zh-CN"/>
              </w:rPr>
              <w:t>819-2017</w:t>
            </w:r>
            <w:r>
              <w:rPr>
                <w:rFonts w:ascii="Times New Roman" w:hAnsi="Times New Roman" w:cs="Times New Roman"/>
                <w:color w:val="auto"/>
                <w:spacing w:val="1"/>
                <w:lang w:eastAsia="zh-CN"/>
              </w:rPr>
              <w:t>)</w:t>
            </w:r>
            <w:r>
              <w:rPr>
                <w:rFonts w:hint="eastAsia" w:ascii="Times New Roman" w:hAnsi="Times New Roman" w:cs="Times New Roman"/>
                <w:color w:val="auto"/>
                <w:spacing w:val="1"/>
                <w:lang w:eastAsia="zh-CN"/>
              </w:rPr>
              <w:t>、</w:t>
            </w:r>
            <w:r>
              <w:rPr>
                <w:rFonts w:hint="eastAsia"/>
                <w:color w:val="auto"/>
                <w:spacing w:val="1"/>
                <w:lang w:eastAsia="zh-CN"/>
              </w:rPr>
              <w:t>《排污许可证申请与核发技术规范 家具制造工业》</w:t>
            </w:r>
            <w:r>
              <w:rPr>
                <w:rFonts w:ascii="Times New Roman" w:hAnsi="Times New Roman" w:cs="Times New Roman"/>
                <w:color w:val="auto"/>
                <w:spacing w:val="1"/>
                <w:lang w:eastAsia="zh-CN"/>
              </w:rPr>
              <w:t>(HJ1027-2019)</w:t>
            </w:r>
            <w:r>
              <w:rPr>
                <w:rFonts w:hint="eastAsia"/>
                <w:color w:val="auto"/>
                <w:spacing w:val="1"/>
                <w:lang w:eastAsia="zh-CN"/>
              </w:rPr>
              <w:t>工业排污单位废气污染防治可行技术参考表中</w:t>
            </w:r>
            <w:r>
              <w:rPr>
                <w:color w:val="auto"/>
                <w:spacing w:val="21"/>
                <w:lang w:eastAsia="zh-CN"/>
              </w:rPr>
              <w:t>，</w:t>
            </w:r>
            <w:r>
              <w:rPr>
                <w:color w:val="auto"/>
                <w:spacing w:val="4"/>
                <w:lang w:eastAsia="zh-CN"/>
              </w:rPr>
              <w:t>项目投产后，建</w:t>
            </w:r>
            <w:r>
              <w:rPr>
                <w:color w:val="auto"/>
                <w:spacing w:val="1"/>
                <w:lang w:eastAsia="zh-CN"/>
              </w:rPr>
              <w:t>设单位定期委托有资质的检（监）测机构代其开展自行监测，项目废气监测计划具</w:t>
            </w:r>
            <w:r>
              <w:rPr>
                <w:color w:val="auto"/>
                <w:spacing w:val="-2"/>
                <w:lang w:eastAsia="zh-CN"/>
              </w:rPr>
              <w:t>体如下表所示。</w:t>
            </w:r>
          </w:p>
          <w:p>
            <w:pPr>
              <w:pStyle w:val="22"/>
              <w:kinsoku/>
              <w:spacing w:before="66" w:line="228" w:lineRule="auto"/>
              <w:ind w:left="3077"/>
              <w:rPr>
                <w:rFonts w:hint="eastAsia"/>
                <w:b/>
                <w:bCs/>
                <w:color w:val="auto"/>
                <w:spacing w:val="6"/>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w:t>
            </w:r>
            <w:r>
              <w:rPr>
                <w:rFonts w:hint="eastAsia" w:ascii="Times New Roman" w:hAnsi="Times New Roman" w:eastAsia="Times New Roman" w:cs="Times New Roman"/>
                <w:b/>
                <w:bCs/>
                <w:color w:val="auto"/>
                <w:spacing w:val="6"/>
                <w:sz w:val="20"/>
                <w:szCs w:val="20"/>
                <w:lang w:eastAsia="zh-CN"/>
              </w:rPr>
              <w:t>9</w:t>
            </w:r>
            <w:r>
              <w:rPr>
                <w:b/>
                <w:bCs/>
                <w:color w:val="auto"/>
                <w:spacing w:val="6"/>
                <w:sz w:val="20"/>
                <w:szCs w:val="20"/>
                <w:lang w:eastAsia="zh-CN"/>
              </w:rPr>
              <w:t>项目废气自行监测计划</w:t>
            </w:r>
          </w:p>
          <w:p>
            <w:pPr>
              <w:kinsoku/>
              <w:spacing w:line="129" w:lineRule="exact"/>
              <w:rPr>
                <w:color w:val="auto"/>
                <w:lang w:eastAsia="zh-CN"/>
              </w:rPr>
            </w:pPr>
          </w:p>
          <w:tbl>
            <w:tblPr>
              <w:tblStyle w:val="16"/>
              <w:tblW w:w="8634" w:type="dxa"/>
              <w:jc w:val="center"/>
              <w:tblLayout w:type="fixed"/>
              <w:tblCellMar>
                <w:top w:w="0" w:type="dxa"/>
                <w:left w:w="108" w:type="dxa"/>
                <w:bottom w:w="0" w:type="dxa"/>
                <w:right w:w="108" w:type="dxa"/>
              </w:tblCellMar>
            </w:tblPr>
            <w:tblGrid>
              <w:gridCol w:w="1498"/>
              <w:gridCol w:w="1380"/>
              <w:gridCol w:w="2295"/>
              <w:gridCol w:w="1260"/>
              <w:gridCol w:w="2201"/>
            </w:tblGrid>
            <w:tr>
              <w:tblPrEx>
                <w:tblCellMar>
                  <w:top w:w="0" w:type="dxa"/>
                  <w:left w:w="108" w:type="dxa"/>
                  <w:bottom w:w="0" w:type="dxa"/>
                  <w:right w:w="108" w:type="dxa"/>
                </w:tblCellMar>
              </w:tblPrEx>
              <w:trPr>
                <w:trHeight w:val="24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b/>
                      <w:bCs/>
                      <w:color w:val="auto"/>
                      <w:lang w:eastAsia="zh-CN"/>
                    </w:rPr>
                    <w:t>类别</w:t>
                  </w:r>
                </w:p>
              </w:tc>
              <w:tc>
                <w:tcPr>
                  <w:tcW w:w="1380"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b/>
                      <w:bCs/>
                      <w:color w:val="auto"/>
                      <w:lang w:eastAsia="zh-CN"/>
                    </w:rPr>
                    <w:t>监测点位</w:t>
                  </w:r>
                </w:p>
              </w:tc>
              <w:tc>
                <w:tcPr>
                  <w:tcW w:w="2295"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b/>
                      <w:bCs/>
                      <w:color w:val="auto"/>
                      <w:lang w:eastAsia="zh-CN"/>
                    </w:rPr>
                    <w:t>监测因子</w:t>
                  </w:r>
                </w:p>
              </w:tc>
              <w:tc>
                <w:tcPr>
                  <w:tcW w:w="1260"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b/>
                      <w:bCs/>
                      <w:color w:val="auto"/>
                      <w:lang w:eastAsia="zh-CN"/>
                    </w:rPr>
                    <w:t>监测频次</w:t>
                  </w:r>
                </w:p>
              </w:tc>
              <w:tc>
                <w:tcPr>
                  <w:tcW w:w="2201" w:type="dxa"/>
                  <w:tcBorders>
                    <w:top w:val="single" w:color="000000" w:sz="4" w:space="0"/>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执行标准</w:t>
                  </w:r>
                </w:p>
              </w:tc>
            </w:tr>
            <w:tr>
              <w:tblPrEx>
                <w:tblCellMar>
                  <w:top w:w="0" w:type="dxa"/>
                  <w:left w:w="108" w:type="dxa"/>
                  <w:bottom w:w="0" w:type="dxa"/>
                  <w:right w:w="108" w:type="dxa"/>
                </w:tblCellMar>
              </w:tblPrEx>
              <w:trPr>
                <w:trHeight w:val="229" w:hRule="atLeast"/>
                <w:jc w:val="center"/>
              </w:trPr>
              <w:tc>
                <w:tcPr>
                  <w:tcW w:w="1498" w:type="dxa"/>
                  <w:vMerge w:val="restart"/>
                  <w:tcBorders>
                    <w:top w:val="nil"/>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color w:val="auto"/>
                      <w:lang w:eastAsia="zh-CN"/>
                    </w:rPr>
                    <w:t>有组织废气</w:t>
                  </w:r>
                </w:p>
              </w:tc>
              <w:tc>
                <w:tcPr>
                  <w:tcW w:w="138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DA001</w:t>
                  </w:r>
                </w:p>
              </w:tc>
              <w:tc>
                <w:tcPr>
                  <w:tcW w:w="2295"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颗粒物</w:t>
                  </w:r>
                </w:p>
              </w:tc>
              <w:tc>
                <w:tcPr>
                  <w:tcW w:w="126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1次/年</w:t>
                  </w:r>
                </w:p>
              </w:tc>
              <w:tc>
                <w:tcPr>
                  <w:tcW w:w="2201" w:type="dxa"/>
                  <w:vMerge w:val="restart"/>
                  <w:tcBorders>
                    <w:top w:val="nil"/>
                    <w:left w:val="nil"/>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GB16297-1998</w:t>
                  </w:r>
                  <w:r>
                    <w:rPr>
                      <w:rFonts w:hint="eastAsia" w:eastAsia="宋体"/>
                      <w:color w:val="auto"/>
                      <w:lang w:eastAsia="zh-CN"/>
                    </w:rPr>
                    <w:t>《</w:t>
                  </w:r>
                  <w:r>
                    <w:rPr>
                      <w:rFonts w:ascii="Times New Roman" w:hAnsi="Times New Roman" w:eastAsia="宋体" w:cs="Times New Roman"/>
                      <w:color w:val="auto"/>
                      <w:lang w:eastAsia="zh-CN"/>
                    </w:rPr>
                    <w:t>大气污染综合排放标准》</w:t>
                  </w:r>
                </w:p>
              </w:tc>
            </w:tr>
            <w:tr>
              <w:tblPrEx>
                <w:tblCellMar>
                  <w:top w:w="0" w:type="dxa"/>
                  <w:left w:w="108" w:type="dxa"/>
                  <w:bottom w:w="0" w:type="dxa"/>
                  <w:right w:w="108" w:type="dxa"/>
                </w:tblCellMar>
              </w:tblPrEx>
              <w:trPr>
                <w:trHeight w:val="229" w:hRule="atLeast"/>
                <w:jc w:val="center"/>
              </w:trPr>
              <w:tc>
                <w:tcPr>
                  <w:tcW w:w="1498"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cs="Times New Roman"/>
                      <w:color w:val="auto"/>
                      <w:lang w:eastAsia="zh-CN"/>
                    </w:rPr>
                  </w:pPr>
                </w:p>
              </w:tc>
              <w:tc>
                <w:tcPr>
                  <w:tcW w:w="138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DA002</w:t>
                  </w:r>
                </w:p>
              </w:tc>
              <w:tc>
                <w:tcPr>
                  <w:tcW w:w="2295"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非甲烷总烃</w:t>
                  </w:r>
                </w:p>
              </w:tc>
              <w:tc>
                <w:tcPr>
                  <w:tcW w:w="126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1次/年</w:t>
                  </w:r>
                </w:p>
              </w:tc>
              <w:tc>
                <w:tcPr>
                  <w:tcW w:w="2201" w:type="dxa"/>
                  <w:vMerge w:val="continue"/>
                  <w:tcBorders>
                    <w:left w:val="nil"/>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trHeight w:val="229" w:hRule="atLeast"/>
                <w:jc w:val="center"/>
              </w:trPr>
              <w:tc>
                <w:tcPr>
                  <w:tcW w:w="1498" w:type="dxa"/>
                  <w:vMerge w:val="restart"/>
                  <w:tcBorders>
                    <w:top w:val="nil"/>
                    <w:left w:val="single" w:color="000000" w:sz="4" w:space="0"/>
                    <w:bottom w:val="single" w:color="000000" w:sz="4" w:space="0"/>
                    <w:right w:val="single" w:color="000000" w:sz="4" w:space="0"/>
                  </w:tcBorders>
                  <w:shd w:val="clear" w:color="auto" w:fill="auto"/>
                  <w:vAlign w:val="center"/>
                </w:tcPr>
                <w:p>
                  <w:pPr>
                    <w:kinsoku/>
                    <w:jc w:val="center"/>
                    <w:textAlignment w:val="center"/>
                    <w:rPr>
                      <w:rFonts w:ascii="Times New Roman" w:hAnsi="Times New Roman" w:cs="Times New Roman"/>
                      <w:color w:val="auto"/>
                    </w:rPr>
                  </w:pPr>
                  <w:r>
                    <w:rPr>
                      <w:rFonts w:ascii="Times New Roman" w:hAnsi="Times New Roman" w:eastAsia="宋体" w:cs="Times New Roman"/>
                      <w:color w:val="auto"/>
                      <w:lang w:eastAsia="zh-CN"/>
                    </w:rPr>
                    <w:t>无组织废气</w:t>
                  </w:r>
                </w:p>
              </w:tc>
              <w:tc>
                <w:tcPr>
                  <w:tcW w:w="1380" w:type="dxa"/>
                  <w:vMerge w:val="restart"/>
                  <w:tcBorders>
                    <w:top w:val="nil"/>
                    <w:left w:val="nil"/>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厂界</w:t>
                  </w:r>
                </w:p>
              </w:tc>
              <w:tc>
                <w:tcPr>
                  <w:tcW w:w="2295"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颗粒物、非甲烷总烃</w:t>
                  </w:r>
                </w:p>
              </w:tc>
              <w:tc>
                <w:tcPr>
                  <w:tcW w:w="126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1次/年</w:t>
                  </w:r>
                </w:p>
              </w:tc>
              <w:tc>
                <w:tcPr>
                  <w:tcW w:w="2201" w:type="dxa"/>
                  <w:vMerge w:val="continue"/>
                  <w:tcBorders>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p>
              </w:tc>
            </w:tr>
            <w:tr>
              <w:tblPrEx>
                <w:tblCellMar>
                  <w:top w:w="0" w:type="dxa"/>
                  <w:left w:w="108" w:type="dxa"/>
                  <w:bottom w:w="0" w:type="dxa"/>
                  <w:right w:w="108" w:type="dxa"/>
                </w:tblCellMar>
              </w:tblPrEx>
              <w:trPr>
                <w:trHeight w:val="229" w:hRule="atLeast"/>
                <w:jc w:val="center"/>
              </w:trPr>
              <w:tc>
                <w:tcPr>
                  <w:tcW w:w="1498" w:type="dxa"/>
                  <w:vMerge w:val="continue"/>
                  <w:tcBorders>
                    <w:left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p>
              </w:tc>
              <w:tc>
                <w:tcPr>
                  <w:tcW w:w="1380" w:type="dxa"/>
                  <w:vMerge w:val="continue"/>
                  <w:tcBorders>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rPr>
                  </w:pPr>
                </w:p>
              </w:tc>
              <w:tc>
                <w:tcPr>
                  <w:tcW w:w="2295"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臭气浓度</w:t>
                  </w:r>
                </w:p>
              </w:tc>
              <w:tc>
                <w:tcPr>
                  <w:tcW w:w="126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1次/年</w:t>
                  </w:r>
                </w:p>
              </w:tc>
              <w:tc>
                <w:tcPr>
                  <w:tcW w:w="2201"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《恶臭污染物排放标准》（GB14554-93）</w:t>
                  </w:r>
                </w:p>
              </w:tc>
            </w:tr>
            <w:tr>
              <w:tblPrEx>
                <w:tblCellMar>
                  <w:top w:w="0" w:type="dxa"/>
                  <w:left w:w="108" w:type="dxa"/>
                  <w:bottom w:w="0" w:type="dxa"/>
                  <w:right w:w="108" w:type="dxa"/>
                </w:tblCellMar>
              </w:tblPrEx>
              <w:trPr>
                <w:trHeight w:val="233" w:hRule="atLeast"/>
                <w:jc w:val="center"/>
              </w:trPr>
              <w:tc>
                <w:tcPr>
                  <w:tcW w:w="1498" w:type="dxa"/>
                  <w:vMerge w:val="continue"/>
                  <w:tcBorders>
                    <w:top w:val="nil"/>
                    <w:left w:val="single" w:color="000000" w:sz="4" w:space="0"/>
                    <w:bottom w:val="single" w:color="000000" w:sz="4" w:space="0"/>
                    <w:right w:val="single" w:color="000000" w:sz="4" w:space="0"/>
                  </w:tcBorders>
                  <w:shd w:val="clear" w:color="auto" w:fill="auto"/>
                  <w:vAlign w:val="center"/>
                </w:tcPr>
                <w:p>
                  <w:pPr>
                    <w:kinsoku/>
                    <w:jc w:val="center"/>
                    <w:rPr>
                      <w:rFonts w:ascii="Times New Roman" w:hAnsi="Times New Roman" w:cs="Times New Roman"/>
                      <w:color w:val="auto"/>
                      <w:lang w:eastAsia="zh-CN"/>
                    </w:rPr>
                  </w:pPr>
                </w:p>
              </w:tc>
              <w:tc>
                <w:tcPr>
                  <w:tcW w:w="138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厂区内无组织*</w:t>
                  </w:r>
                </w:p>
              </w:tc>
              <w:tc>
                <w:tcPr>
                  <w:tcW w:w="2295"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非甲烷总烃</w:t>
                  </w:r>
                </w:p>
              </w:tc>
              <w:tc>
                <w:tcPr>
                  <w:tcW w:w="1260"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1次/年</w:t>
                  </w:r>
                </w:p>
              </w:tc>
              <w:tc>
                <w:tcPr>
                  <w:tcW w:w="2201" w:type="dxa"/>
                  <w:tcBorders>
                    <w:top w:val="nil"/>
                    <w:left w:val="nil"/>
                    <w:bottom w:val="single" w:color="000000" w:sz="4" w:space="0"/>
                    <w:right w:val="single" w:color="000000" w:sz="4" w:space="0"/>
                  </w:tcBorders>
                  <w:shd w:val="clear" w:color="auto" w:fill="auto"/>
                  <w:vAlign w:val="center"/>
                </w:tcPr>
                <w:p>
                  <w:pPr>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《挥发性有机物无组织排放控制标准》(GB37822-2019)</w:t>
                  </w:r>
                </w:p>
              </w:tc>
            </w:tr>
            <w:tr>
              <w:tblPrEx>
                <w:tblCellMar>
                  <w:top w:w="0" w:type="dxa"/>
                  <w:left w:w="108" w:type="dxa"/>
                  <w:bottom w:w="0" w:type="dxa"/>
                  <w:right w:w="108" w:type="dxa"/>
                </w:tblCellMar>
              </w:tblPrEx>
              <w:trPr>
                <w:trHeight w:val="233" w:hRule="atLeast"/>
                <w:jc w:val="center"/>
              </w:trPr>
              <w:tc>
                <w:tcPr>
                  <w:tcW w:w="8634" w:type="dxa"/>
                  <w:gridSpan w:val="5"/>
                  <w:tcBorders>
                    <w:top w:val="nil"/>
                    <w:left w:val="single" w:color="000000" w:sz="4" w:space="0"/>
                    <w:bottom w:val="single" w:color="000000" w:sz="4" w:space="0"/>
                    <w:right w:val="single" w:color="000000" w:sz="4" w:space="0"/>
                  </w:tcBorders>
                  <w:shd w:val="clear" w:color="auto" w:fill="auto"/>
                  <w:vAlign w:val="center"/>
                </w:tcPr>
                <w:p>
                  <w:pPr>
                    <w:kinsoku/>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*注：根据《挥发性有机物无组织排放控制标准》(GB37822-2019)</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厂区内挥发性有机物无组织排放进行监控时，在厂房门窗或通风口、其他开口(孔)等排口外1m</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距离地面1.5m以上位置进行监测。</w:t>
                  </w:r>
                </w:p>
              </w:tc>
            </w:tr>
          </w:tbl>
          <w:p>
            <w:pPr>
              <w:pStyle w:val="14"/>
              <w:kinsoku/>
              <w:spacing w:before="0" w:beforeAutospacing="0" w:after="0" w:afterAutospacing="0" w:line="360" w:lineRule="auto"/>
              <w:ind w:firstLine="481" w:firstLineChars="200"/>
              <w:jc w:val="both"/>
              <w:rPr>
                <w:rFonts w:hint="default" w:ascii="Times New Roman" w:hAnsi="Times New Roman"/>
                <w:b/>
                <w:color w:val="auto"/>
              </w:rPr>
            </w:pPr>
            <w:r>
              <w:rPr>
                <w:rFonts w:ascii="Times New Roman" w:hAnsi="Times New Roman"/>
                <w:b/>
                <w:color w:val="auto"/>
              </w:rPr>
              <w:t>7、大气环境影响分析结论</w:t>
            </w:r>
          </w:p>
          <w:p>
            <w:pPr>
              <w:kinsoku/>
              <w:spacing w:line="360" w:lineRule="auto"/>
              <w:ind w:firstLine="480" w:firstLineChars="200"/>
              <w:rPr>
                <w:bCs/>
                <w:color w:val="auto"/>
                <w:sz w:val="24"/>
                <w:lang w:eastAsia="zh-CN"/>
              </w:rPr>
            </w:pPr>
            <w:r>
              <w:rPr>
                <w:color w:val="auto"/>
                <w:sz w:val="24"/>
                <w:lang w:eastAsia="zh-CN"/>
              </w:rPr>
              <w:t>根据上述分析可知，</w:t>
            </w:r>
            <w:r>
              <w:rPr>
                <w:rFonts w:hint="eastAsia"/>
                <w:color w:val="auto"/>
                <w:sz w:val="24"/>
                <w:lang w:eastAsia="zh-CN"/>
              </w:rPr>
              <w:t>项目有组织颗粒物通过中央除尘系统处理、挥发性有机物（以非甲烷总烃计）经过二级活性炭收集处理后，有组织颗粒物及挥发性有机物（以非甲烷总烃计）能</w:t>
            </w:r>
            <w:r>
              <w:rPr>
                <w:color w:val="auto"/>
                <w:sz w:val="24"/>
                <w:lang w:eastAsia="zh-CN"/>
              </w:rPr>
              <w:t>达到《大气污染物综合排放标准》（GB16297-1996）表2</w:t>
            </w:r>
            <w:r>
              <w:rPr>
                <w:rFonts w:hint="eastAsia"/>
                <w:color w:val="auto"/>
                <w:sz w:val="24"/>
                <w:lang w:eastAsia="zh-CN"/>
              </w:rPr>
              <w:t>中有组织排放限值标准。项目设置排风换气系统，库内保持良好通风，</w:t>
            </w:r>
            <w:r>
              <w:rPr>
                <w:color w:val="auto"/>
                <w:sz w:val="24"/>
                <w:lang w:eastAsia="zh-CN"/>
              </w:rPr>
              <w:t>无组织废气达到《大气污染物综合排放标准》（GB16297-1996）表2中的无组织排放监控浓度限值呈无组织排放。</w:t>
            </w:r>
            <w:r>
              <w:rPr>
                <w:rFonts w:ascii="Times New Roman" w:hAnsi="Times New Roman" w:eastAsia="宋体" w:cs="Times New Roman"/>
                <w:color w:val="auto"/>
                <w:sz w:val="24"/>
                <w:szCs w:val="24"/>
                <w:lang w:eastAsia="zh-CN"/>
              </w:rPr>
              <w:t>封边胶桶在开启和设备添加</w:t>
            </w:r>
            <w:r>
              <w:rPr>
                <w:rFonts w:hint="eastAsia" w:ascii="Times New Roman" w:hAnsi="Times New Roman" w:eastAsia="宋体" w:cs="Times New Roman"/>
                <w:color w:val="auto"/>
                <w:sz w:val="24"/>
                <w:szCs w:val="24"/>
                <w:lang w:eastAsia="zh-CN"/>
              </w:rPr>
              <w:t>封边胶</w:t>
            </w:r>
            <w:r>
              <w:rPr>
                <w:rFonts w:ascii="Times New Roman" w:hAnsi="Times New Roman" w:eastAsia="宋体" w:cs="Times New Roman"/>
                <w:color w:val="auto"/>
                <w:sz w:val="24"/>
                <w:szCs w:val="24"/>
                <w:lang w:eastAsia="zh-CN"/>
              </w:rPr>
              <w:t>的过程中会短时间内产生少量</w:t>
            </w:r>
            <w:r>
              <w:rPr>
                <w:rFonts w:hint="eastAsia" w:ascii="Times New Roman" w:hAnsi="Times New Roman" w:eastAsia="宋体" w:cs="Times New Roman"/>
                <w:color w:val="auto"/>
                <w:sz w:val="24"/>
                <w:szCs w:val="24"/>
                <w:lang w:eastAsia="zh-CN"/>
              </w:rPr>
              <w:t>异味</w:t>
            </w:r>
            <w:r>
              <w:rPr>
                <w:rFonts w:ascii="Times New Roman" w:hAnsi="Times New Roman" w:eastAsia="宋体" w:cs="Times New Roman"/>
                <w:color w:val="auto"/>
                <w:sz w:val="24"/>
                <w:szCs w:val="24"/>
                <w:lang w:eastAsia="zh-CN"/>
              </w:rPr>
              <w:t>，以无组织的形式扩散到大气中，该部分无组织</w:t>
            </w:r>
            <w:r>
              <w:rPr>
                <w:rFonts w:hint="eastAsia" w:ascii="Times New Roman" w:hAnsi="Times New Roman" w:eastAsia="宋体" w:cs="Times New Roman"/>
                <w:color w:val="auto"/>
                <w:sz w:val="24"/>
                <w:szCs w:val="24"/>
                <w:lang w:eastAsia="zh-CN"/>
              </w:rPr>
              <w:t>异味</w:t>
            </w:r>
            <w:r>
              <w:rPr>
                <w:rFonts w:ascii="Times New Roman" w:hAnsi="Times New Roman" w:eastAsia="宋体" w:cs="Times New Roman"/>
                <w:color w:val="auto"/>
                <w:sz w:val="24"/>
                <w:szCs w:val="24"/>
                <w:lang w:eastAsia="zh-CN"/>
              </w:rPr>
              <w:t>执行《恶臭污染物排放标准》（GB14554-93）中表1排放限值。</w:t>
            </w:r>
            <w:r>
              <w:rPr>
                <w:color w:val="auto"/>
                <w:sz w:val="24"/>
                <w:lang w:eastAsia="zh-CN"/>
              </w:rPr>
              <w:t>经分析，项目产生的废气通过各</w:t>
            </w:r>
            <w:r>
              <w:rPr>
                <w:rFonts w:hint="eastAsia"/>
                <w:color w:val="auto"/>
                <w:sz w:val="24"/>
                <w:lang w:eastAsia="zh-CN"/>
              </w:rPr>
              <w:t>环保措施后</w:t>
            </w:r>
            <w:r>
              <w:rPr>
                <w:color w:val="auto"/>
                <w:sz w:val="24"/>
                <w:lang w:eastAsia="zh-CN"/>
              </w:rPr>
              <w:t>均能达标排放，</w:t>
            </w:r>
            <w:r>
              <w:rPr>
                <w:bCs/>
                <w:color w:val="auto"/>
                <w:sz w:val="24"/>
                <w:lang w:eastAsia="zh-CN"/>
              </w:rPr>
              <w:t>对外环境影响较小。</w:t>
            </w:r>
          </w:p>
          <w:p>
            <w:pPr>
              <w:pStyle w:val="22"/>
              <w:kinsoku/>
              <w:spacing w:before="42" w:line="360" w:lineRule="auto"/>
              <w:ind w:firstLine="420" w:firstLineChars="175"/>
              <w:rPr>
                <w:rFonts w:ascii="Arial" w:hAnsi="Arial" w:eastAsia="Arial" w:cs="Arial"/>
                <w:color w:val="auto"/>
                <w:szCs w:val="21"/>
                <w:lang w:eastAsia="zh-CN"/>
              </w:rPr>
            </w:pPr>
            <w:r>
              <w:rPr>
                <w:rFonts w:ascii="Arial" w:hAnsi="Arial" w:eastAsia="Arial" w:cs="Arial"/>
                <w:color w:val="auto"/>
                <w:szCs w:val="21"/>
                <w:lang w:eastAsia="zh-CN"/>
              </w:rPr>
              <w:t>项目位于环境空气质量达标区，项目所在区域环境质量现状均可达到《环境空气质量标准》（GB3095-2012）二级标准；</w:t>
            </w:r>
            <w:r>
              <w:rPr>
                <w:rFonts w:hint="eastAsia"/>
                <w:color w:val="auto"/>
                <w:lang w:eastAsia="zh-CN"/>
              </w:rPr>
              <w:t>项目距离最近的保护目标为位于项目西南面234</w:t>
            </w:r>
            <w:r>
              <w:rPr>
                <w:color w:val="auto"/>
                <w:lang w:eastAsia="zh-CN"/>
              </w:rPr>
              <w:t>m</w:t>
            </w:r>
            <w:r>
              <w:rPr>
                <w:rFonts w:hint="eastAsia"/>
                <w:color w:val="auto"/>
                <w:lang w:eastAsia="zh-CN"/>
              </w:rPr>
              <w:t>处的黄家坡村</w:t>
            </w:r>
            <w:r>
              <w:rPr>
                <w:color w:val="auto"/>
                <w:lang w:eastAsia="zh-CN"/>
              </w:rPr>
              <w:t>，</w:t>
            </w:r>
            <w:r>
              <w:rPr>
                <w:rFonts w:hint="eastAsia"/>
                <w:color w:val="auto"/>
                <w:lang w:eastAsia="zh-CN"/>
              </w:rPr>
              <w:t>项目位于黄家坡主导风向的下风向，项目主要污染物为颗粒物及挥发性有机物，经采取环保措施后，</w:t>
            </w:r>
            <w:r>
              <w:rPr>
                <w:color w:val="auto"/>
                <w:lang w:eastAsia="zh-CN"/>
              </w:rPr>
              <w:t>对环境影响不大</w:t>
            </w:r>
            <w:r>
              <w:rPr>
                <w:rFonts w:hint="eastAsia"/>
                <w:color w:val="auto"/>
                <w:lang w:eastAsia="zh-CN"/>
              </w:rPr>
              <w:t>，</w:t>
            </w:r>
            <w:r>
              <w:rPr>
                <w:color w:val="auto"/>
                <w:lang w:eastAsia="zh-CN"/>
              </w:rPr>
              <w:t>因此项目废气对环境保护目标影响较小。评价认为项目运营期对周边影响是轻微的，项目废气均能达标排放，故项目的建设对区域大气环境影响是可接受的。</w:t>
            </w:r>
          </w:p>
          <w:p>
            <w:pPr>
              <w:pStyle w:val="22"/>
              <w:kinsoku/>
              <w:spacing w:before="42" w:line="219" w:lineRule="auto"/>
              <w:ind w:left="584"/>
              <w:rPr>
                <w:rFonts w:hint="eastAsia"/>
                <w:color w:val="auto"/>
                <w:lang w:eastAsia="zh-CN"/>
              </w:rPr>
            </w:pPr>
            <w:r>
              <w:rPr>
                <w:rFonts w:hint="eastAsia" w:ascii="Times New Roman" w:hAnsi="Times New Roman" w:eastAsia="Times New Roman" w:cs="Times New Roman"/>
                <w:b/>
                <w:bCs/>
                <w:color w:val="auto"/>
                <w:spacing w:val="-5"/>
                <w:lang w:eastAsia="zh-CN"/>
              </w:rPr>
              <w:t>二</w:t>
            </w:r>
            <w:r>
              <w:rPr>
                <w:b/>
                <w:bCs/>
                <w:color w:val="auto"/>
                <w:spacing w:val="-5"/>
                <w:lang w:eastAsia="zh-CN"/>
              </w:rPr>
              <w:t>、地表水环境影响分析</w:t>
            </w:r>
          </w:p>
          <w:p>
            <w:pPr>
              <w:pStyle w:val="22"/>
              <w:kinsoku/>
              <w:spacing w:before="180" w:line="219" w:lineRule="auto"/>
              <w:ind w:left="600"/>
              <w:rPr>
                <w:rFonts w:hint="eastAsia"/>
                <w:color w:val="auto"/>
                <w:lang w:eastAsia="zh-CN"/>
              </w:rPr>
            </w:pPr>
            <w:r>
              <w:rPr>
                <w:rFonts w:hint="eastAsia"/>
                <w:b/>
                <w:bCs/>
                <w:color w:val="auto"/>
                <w:spacing w:val="-5"/>
                <w:lang w:eastAsia="zh-CN"/>
              </w:rPr>
              <w:t>1、废水产排情况</w:t>
            </w:r>
          </w:p>
          <w:p>
            <w:pPr>
              <w:pStyle w:val="22"/>
              <w:kinsoku/>
              <w:spacing w:before="177" w:line="350" w:lineRule="auto"/>
              <w:ind w:left="104" w:right="101" w:firstLine="488"/>
              <w:rPr>
                <w:rFonts w:hint="eastAsia"/>
                <w:color w:val="auto"/>
                <w:lang w:eastAsia="zh-CN"/>
              </w:rPr>
            </w:pPr>
            <w:r>
              <w:rPr>
                <w:color w:val="auto"/>
                <w:spacing w:val="3"/>
                <w:lang w:eastAsia="zh-CN"/>
              </w:rPr>
              <w:t>项目共有员工</w:t>
            </w:r>
            <w:r>
              <w:rPr>
                <w:rFonts w:hint="eastAsia" w:ascii="Times New Roman" w:hAnsi="Times New Roman" w:cs="Times New Roman"/>
                <w:color w:val="auto"/>
                <w:spacing w:val="3"/>
                <w:lang w:eastAsia="zh-CN"/>
              </w:rPr>
              <w:t>28</w:t>
            </w:r>
            <w:r>
              <w:rPr>
                <w:color w:val="auto"/>
                <w:spacing w:val="3"/>
                <w:lang w:eastAsia="zh-CN"/>
              </w:rPr>
              <w:t>人，</w:t>
            </w:r>
            <w:r>
              <w:rPr>
                <w:rFonts w:hint="eastAsia"/>
                <w:color w:val="auto"/>
                <w:spacing w:val="3"/>
                <w:lang w:eastAsia="zh-CN"/>
              </w:rPr>
              <w:t>均在厂内住宿，不就餐</w:t>
            </w:r>
            <w:r>
              <w:rPr>
                <w:rFonts w:ascii="Times New Roman" w:hAnsi="Times New Roman" w:cs="Times New Roman"/>
                <w:color w:val="auto"/>
                <w:spacing w:val="3"/>
                <w:lang w:eastAsia="zh-CN"/>
              </w:rPr>
              <w:t>。产生的生活污水中含有</w:t>
            </w:r>
            <w:r>
              <w:rPr>
                <w:rFonts w:ascii="Times New Roman" w:hAnsi="Times New Roman" w:eastAsia="Times New Roman" w:cs="Times New Roman"/>
                <w:color w:val="auto"/>
                <w:lang w:eastAsia="zh-CN"/>
              </w:rPr>
              <w:t>COD</w:t>
            </w:r>
            <w:r>
              <w:rPr>
                <w:rFonts w:ascii="Times New Roman" w:hAnsi="Times New Roman" w:cs="Times New Roman"/>
                <w:color w:val="auto"/>
                <w:spacing w:val="3"/>
                <w:lang w:eastAsia="zh-CN"/>
              </w:rPr>
              <w:t>、</w:t>
            </w:r>
            <w:r>
              <w:rPr>
                <w:rFonts w:ascii="Times New Roman" w:hAnsi="Times New Roman" w:eastAsia="Times New Roman" w:cs="Times New Roman"/>
                <w:color w:val="auto"/>
                <w:lang w:eastAsia="zh-CN"/>
              </w:rPr>
              <w:t>BOD</w:t>
            </w:r>
            <w:r>
              <w:rPr>
                <w:rFonts w:ascii="Times New Roman" w:hAnsi="Times New Roman" w:eastAsia="Times New Roman" w:cs="Times New Roman"/>
                <w:color w:val="auto"/>
                <w:spacing w:val="3"/>
                <w:position w:val="-1"/>
                <w:sz w:val="15"/>
                <w:szCs w:val="15"/>
                <w:lang w:eastAsia="zh-CN"/>
              </w:rPr>
              <w:t>5</w:t>
            </w:r>
            <w:r>
              <w:rPr>
                <w:rFonts w:ascii="Times New Roman" w:hAnsi="Times New Roman" w:cs="Times New Roman"/>
                <w:color w:val="auto"/>
                <w:spacing w:val="3"/>
                <w:lang w:eastAsia="zh-CN"/>
              </w:rPr>
              <w:t>、</w:t>
            </w:r>
            <w:r>
              <w:rPr>
                <w:rFonts w:ascii="Times New Roman" w:hAnsi="Times New Roman" w:eastAsia="Times New Roman" w:cs="Times New Roman"/>
                <w:color w:val="auto"/>
                <w:lang w:eastAsia="zh-CN"/>
              </w:rPr>
              <w:t>SS</w:t>
            </w:r>
            <w:r>
              <w:rPr>
                <w:rFonts w:ascii="Times New Roman" w:hAnsi="Times New Roman" w:cs="Times New Roman"/>
                <w:color w:val="auto"/>
                <w:lang w:eastAsia="zh-CN"/>
              </w:rPr>
              <w:t>、氨氮</w:t>
            </w:r>
            <w:r>
              <w:rPr>
                <w:rFonts w:hint="eastAsia" w:ascii="Times New Roman" w:hAnsi="Times New Roman" w:cs="Times New Roman"/>
                <w:color w:val="auto"/>
                <w:lang w:eastAsia="zh-CN"/>
              </w:rPr>
              <w:t>、总磷、动植物油</w:t>
            </w:r>
            <w:r>
              <w:rPr>
                <w:rFonts w:ascii="Times New Roman" w:hAnsi="Times New Roman" w:cs="Times New Roman"/>
                <w:color w:val="auto"/>
                <w:lang w:eastAsia="zh-CN"/>
              </w:rPr>
              <w:t>等污染物。</w:t>
            </w:r>
            <w:r>
              <w:rPr>
                <w:rFonts w:hint="eastAsia" w:ascii="Times New Roman" w:hAnsi="Times New Roman" w:cs="Times New Roman"/>
                <w:color w:val="auto"/>
                <w:lang w:eastAsia="zh-CN"/>
              </w:rPr>
              <w:t>参照</w:t>
            </w:r>
            <w:r>
              <w:rPr>
                <w:rFonts w:ascii="Times New Roman" w:hAnsi="Times New Roman" w:cs="Times New Roman"/>
                <w:color w:val="auto"/>
                <w:lang w:eastAsia="zh-CN"/>
              </w:rPr>
              <w:t>《云南省用水定额</w:t>
            </w:r>
            <w:r>
              <w:rPr>
                <w:rFonts w:ascii="Times New Roman" w:hAnsi="Times New Roman" w:cs="Times New Roman"/>
                <w:color w:val="auto"/>
                <w:spacing w:val="10"/>
                <w:lang w:eastAsia="zh-CN"/>
              </w:rPr>
              <w:t>》</w:t>
            </w:r>
            <w:r>
              <w:rPr>
                <w:rFonts w:ascii="Times New Roman" w:hAnsi="Times New Roman" w:cs="Times New Roman"/>
                <w:color w:val="auto"/>
                <w:lang w:eastAsia="zh-CN"/>
              </w:rPr>
              <w:t>（2019年版）</w:t>
            </w:r>
            <w:r>
              <w:rPr>
                <w:rFonts w:ascii="Times New Roman" w:hAnsi="Times New Roman" w:cs="Times New Roman"/>
                <w:color w:val="auto"/>
                <w:spacing w:val="10"/>
                <w:lang w:eastAsia="zh-CN"/>
              </w:rPr>
              <w:t>表12</w:t>
            </w:r>
            <w:r>
              <w:rPr>
                <w:rFonts w:hint="eastAsia" w:ascii="Times New Roman" w:hAnsi="Times New Roman" w:cs="Times New Roman"/>
                <w:color w:val="auto"/>
                <w:spacing w:val="-2"/>
                <w:lang w:eastAsia="zh-CN"/>
              </w:rPr>
              <w:t>及项目实际情况，</w:t>
            </w:r>
            <w:r>
              <w:rPr>
                <w:rFonts w:ascii="Times New Roman" w:hAnsi="Times New Roman" w:cs="Times New Roman"/>
                <w:color w:val="auto"/>
                <w:spacing w:val="5"/>
                <w:lang w:eastAsia="zh-CN"/>
              </w:rPr>
              <w:t>本项目生活用水80L/（人·d），</w:t>
            </w:r>
            <w:r>
              <w:rPr>
                <w:rFonts w:ascii="Times New Roman" w:hAnsi="Times New Roman" w:cs="Times New Roman"/>
                <w:color w:val="auto"/>
                <w:spacing w:val="9"/>
                <w:lang w:eastAsia="zh-CN"/>
              </w:rPr>
              <w:t>则生活用水量为2.24m</w:t>
            </w:r>
            <w:r>
              <w:rPr>
                <w:rFonts w:ascii="Times New Roman" w:hAnsi="Times New Roman" w:cs="Times New Roman"/>
                <w:color w:val="auto"/>
                <w:spacing w:val="9"/>
                <w:vertAlign w:val="superscript"/>
                <w:lang w:eastAsia="zh-CN"/>
              </w:rPr>
              <w:t>3</w:t>
            </w:r>
            <w:r>
              <w:rPr>
                <w:rFonts w:ascii="Times New Roman" w:hAnsi="Times New Roman" w:cs="Times New Roman"/>
                <w:color w:val="auto"/>
                <w:spacing w:val="9"/>
                <w:lang w:eastAsia="zh-CN"/>
              </w:rPr>
              <w:t>/d，739.2m</w:t>
            </w:r>
            <w:r>
              <w:rPr>
                <w:rFonts w:ascii="Times New Roman" w:hAnsi="Times New Roman" w:cs="Times New Roman"/>
                <w:color w:val="auto"/>
                <w:spacing w:val="9"/>
                <w:vertAlign w:val="superscript"/>
                <w:lang w:eastAsia="zh-CN"/>
              </w:rPr>
              <w:t>3</w:t>
            </w:r>
            <w:r>
              <w:rPr>
                <w:rFonts w:ascii="Times New Roman" w:hAnsi="Times New Roman" w:cs="Times New Roman"/>
                <w:color w:val="auto"/>
                <w:spacing w:val="9"/>
                <w:lang w:eastAsia="zh-CN"/>
              </w:rPr>
              <w:t>/a。生活污水产生系数按80%计算，则生活污水的产生量为1.79m</w:t>
            </w:r>
            <w:r>
              <w:rPr>
                <w:rFonts w:ascii="Times New Roman" w:hAnsi="Times New Roman" w:cs="Times New Roman"/>
                <w:color w:val="auto"/>
                <w:spacing w:val="9"/>
                <w:vertAlign w:val="superscript"/>
                <w:lang w:eastAsia="zh-CN"/>
              </w:rPr>
              <w:t>3</w:t>
            </w:r>
            <w:r>
              <w:rPr>
                <w:rFonts w:ascii="Times New Roman" w:hAnsi="Times New Roman" w:cs="Times New Roman"/>
                <w:color w:val="auto"/>
                <w:spacing w:val="9"/>
                <w:lang w:eastAsia="zh-CN"/>
              </w:rPr>
              <w:t>/d，591.4m</w:t>
            </w:r>
            <w:r>
              <w:rPr>
                <w:rFonts w:ascii="Times New Roman" w:hAnsi="Times New Roman" w:cs="Times New Roman"/>
                <w:color w:val="auto"/>
                <w:spacing w:val="9"/>
                <w:vertAlign w:val="superscript"/>
                <w:lang w:eastAsia="zh-CN"/>
              </w:rPr>
              <w:t>3</w:t>
            </w:r>
            <w:r>
              <w:rPr>
                <w:rFonts w:ascii="Times New Roman" w:hAnsi="Times New Roman" w:cs="Times New Roman"/>
                <w:color w:val="auto"/>
                <w:spacing w:val="9"/>
                <w:lang w:eastAsia="zh-CN"/>
              </w:rPr>
              <w:t>/a。</w:t>
            </w:r>
          </w:p>
          <w:p>
            <w:pPr>
              <w:pStyle w:val="22"/>
              <w:kinsoku/>
              <w:spacing w:before="41" w:line="360" w:lineRule="auto"/>
              <w:ind w:left="592"/>
              <w:rPr>
                <w:rFonts w:hint="eastAsia"/>
                <w:color w:val="auto"/>
                <w:spacing w:val="-1"/>
                <w:lang w:eastAsia="zh-CN"/>
              </w:rPr>
            </w:pPr>
            <w:r>
              <w:rPr>
                <w:color w:val="auto"/>
                <w:spacing w:val="-1"/>
                <w:lang w:eastAsia="zh-CN"/>
              </w:rPr>
              <w:t>项目水污染物产生与排放情况见表</w:t>
            </w:r>
            <w:r>
              <w:rPr>
                <w:rFonts w:ascii="Times New Roman" w:hAnsi="Times New Roman" w:eastAsia="Times New Roman" w:cs="Times New Roman"/>
                <w:color w:val="auto"/>
                <w:spacing w:val="-1"/>
                <w:lang w:eastAsia="zh-CN"/>
              </w:rPr>
              <w:t>4-</w:t>
            </w:r>
            <w:r>
              <w:rPr>
                <w:rFonts w:hint="eastAsia" w:ascii="Times New Roman" w:hAnsi="Times New Roman" w:eastAsia="Times New Roman" w:cs="Times New Roman"/>
                <w:color w:val="auto"/>
                <w:spacing w:val="-1"/>
                <w:lang w:eastAsia="zh-CN"/>
              </w:rPr>
              <w:t>10</w:t>
            </w:r>
            <w:r>
              <w:rPr>
                <w:color w:val="auto"/>
                <w:spacing w:val="-1"/>
                <w:lang w:eastAsia="zh-CN"/>
              </w:rPr>
              <w:t>。</w:t>
            </w:r>
          </w:p>
          <w:p>
            <w:pPr>
              <w:kinsoku/>
              <w:spacing w:line="360" w:lineRule="auto"/>
              <w:jc w:val="center"/>
              <w:rPr>
                <w:b/>
                <w:bCs/>
                <w:color w:val="auto"/>
                <w:spacing w:val="-4"/>
                <w:lang w:eastAsia="zh-CN"/>
              </w:rPr>
            </w:pPr>
            <w:r>
              <w:rPr>
                <w:rFonts w:hint="eastAsia"/>
                <w:b/>
                <w:color w:val="auto"/>
                <w:lang w:eastAsia="zh-CN"/>
              </w:rPr>
              <w:t>表4-10</w:t>
            </w:r>
            <w:r>
              <w:rPr>
                <w:b/>
                <w:color w:val="auto"/>
                <w:lang w:eastAsia="zh-CN"/>
              </w:rPr>
              <w:t>废水污染物治理措施及排放方式一览表</w:t>
            </w:r>
          </w:p>
          <w:tbl>
            <w:tblPr>
              <w:tblStyle w:val="17"/>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527"/>
              <w:gridCol w:w="1455"/>
              <w:gridCol w:w="1350"/>
              <w:gridCol w:w="118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89"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产排污环节</w:t>
                  </w:r>
                </w:p>
              </w:tc>
              <w:tc>
                <w:tcPr>
                  <w:tcW w:w="2527"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污染物类别</w:t>
                  </w:r>
                </w:p>
              </w:tc>
              <w:tc>
                <w:tcPr>
                  <w:tcW w:w="1455"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治理设施、效率及去向</w:t>
                  </w:r>
                </w:p>
              </w:tc>
              <w:tc>
                <w:tcPr>
                  <w:tcW w:w="1350" w:type="dxa"/>
                  <w:vAlign w:val="center"/>
                </w:tcPr>
                <w:p>
                  <w:pPr>
                    <w:widowControl w:val="0"/>
                    <w:kinsoku/>
                    <w:jc w:val="center"/>
                    <w:rPr>
                      <w:rFonts w:ascii="Times New Roman" w:hAnsi="Times New Roman" w:eastAsia="宋体" w:cs="Times New Roman"/>
                      <w:bCs/>
                      <w:color w:val="auto"/>
                      <w:kern w:val="32"/>
                      <w:lang w:val="zh-CN" w:eastAsia="zh-CN"/>
                    </w:rPr>
                  </w:pPr>
                  <w:r>
                    <w:rPr>
                      <w:rFonts w:ascii="Times New Roman" w:hAnsi="Times New Roman" w:eastAsia="宋体" w:cs="Times New Roman"/>
                      <w:bCs/>
                      <w:color w:val="auto"/>
                      <w:kern w:val="32"/>
                      <w:lang w:val="zh-CN"/>
                    </w:rPr>
                    <w:t>排放形式及规律</w:t>
                  </w:r>
                </w:p>
              </w:tc>
              <w:tc>
                <w:tcPr>
                  <w:tcW w:w="1185" w:type="dxa"/>
                  <w:vAlign w:val="center"/>
                </w:tcPr>
                <w:p>
                  <w:pPr>
                    <w:widowControl w:val="0"/>
                    <w:kinsoku/>
                    <w:jc w:val="center"/>
                    <w:rPr>
                      <w:rFonts w:ascii="Times New Roman" w:hAnsi="Times New Roman" w:eastAsia="宋体" w:cs="Times New Roman"/>
                      <w:bCs/>
                      <w:color w:val="auto"/>
                      <w:kern w:val="32"/>
                      <w:lang w:val="zh-CN" w:eastAsia="zh-CN"/>
                    </w:rPr>
                  </w:pPr>
                  <w:r>
                    <w:rPr>
                      <w:rFonts w:ascii="Times New Roman" w:hAnsi="Times New Roman" w:eastAsia="宋体" w:cs="Times New Roman"/>
                      <w:bCs/>
                      <w:color w:val="auto"/>
                      <w:kern w:val="32"/>
                      <w:lang w:val="zh-CN"/>
                    </w:rPr>
                    <w:t>排放口基本情况</w:t>
                  </w:r>
                </w:p>
              </w:tc>
              <w:tc>
                <w:tcPr>
                  <w:tcW w:w="1085" w:type="dxa"/>
                  <w:vAlign w:val="center"/>
                </w:tcPr>
                <w:p>
                  <w:pPr>
                    <w:widowControl w:val="0"/>
                    <w:kinsoku/>
                    <w:jc w:val="center"/>
                    <w:rPr>
                      <w:rFonts w:ascii="Times New Roman" w:hAnsi="Times New Roman" w:eastAsia="宋体" w:cs="Times New Roman"/>
                      <w:bCs/>
                      <w:color w:val="auto"/>
                      <w:kern w:val="32"/>
                      <w:lang w:val="zh-CN" w:eastAsia="zh-CN"/>
                    </w:rPr>
                  </w:pPr>
                  <w:r>
                    <w:rPr>
                      <w:rFonts w:ascii="Times New Roman" w:hAnsi="Times New Roman" w:eastAsia="宋体" w:cs="Times New Roman"/>
                      <w:bCs/>
                      <w:color w:val="auto"/>
                      <w:kern w:val="32"/>
                      <w:lang w:val="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89" w:type="dxa"/>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生活用水</w:t>
                  </w:r>
                </w:p>
              </w:tc>
              <w:tc>
                <w:tcPr>
                  <w:tcW w:w="2527"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CODcr、</w:t>
                  </w:r>
                  <w:r>
                    <w:rPr>
                      <w:rFonts w:hint="eastAsia" w:ascii="Times New Roman" w:hAnsi="Times New Roman" w:eastAsia="宋体" w:cs="Times New Roman"/>
                      <w:color w:val="auto"/>
                      <w:lang w:eastAsia="zh-CN"/>
                    </w:rPr>
                    <w:t>SS、</w:t>
                  </w: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r>
                    <w:rPr>
                      <w:rFonts w:ascii="Times New Roman" w:hAnsi="Times New Roman" w:eastAsia="宋体" w:cs="Times New Roman"/>
                      <w:color w:val="auto"/>
                      <w:lang w:eastAsia="zh-CN"/>
                    </w:rPr>
                    <w:t>、NH</w:t>
                  </w:r>
                  <w:r>
                    <w:rPr>
                      <w:rFonts w:ascii="Times New Roman" w:hAnsi="Times New Roman" w:eastAsia="宋体" w:cs="Times New Roman"/>
                      <w:color w:val="auto"/>
                      <w:vertAlign w:val="subscript"/>
                      <w:lang w:eastAsia="zh-CN"/>
                    </w:rPr>
                    <w:t>3</w:t>
                  </w:r>
                  <w:r>
                    <w:rPr>
                      <w:rFonts w:ascii="Times New Roman" w:hAnsi="Times New Roman" w:eastAsia="宋体" w:cs="Times New Roman"/>
                      <w:color w:val="auto"/>
                      <w:lang w:eastAsia="zh-CN"/>
                    </w:rPr>
                    <w:t>-N、总磷、总氮、磷酸盐、动植物油</w:t>
                  </w:r>
                </w:p>
              </w:tc>
              <w:tc>
                <w:tcPr>
                  <w:tcW w:w="1455"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化粪池</w:t>
                  </w:r>
                </w:p>
              </w:tc>
              <w:tc>
                <w:tcPr>
                  <w:tcW w:w="1350" w:type="dxa"/>
                  <w:vAlign w:val="center"/>
                </w:tcPr>
                <w:p>
                  <w:pPr>
                    <w:widowControl w:val="0"/>
                    <w:kinsoku/>
                    <w:jc w:val="center"/>
                    <w:rPr>
                      <w:rFonts w:ascii="Times New Roman" w:hAnsi="Times New Roman" w:eastAsia="宋体" w:cs="Times New Roman"/>
                      <w:bCs/>
                      <w:color w:val="auto"/>
                      <w:kern w:val="32"/>
                      <w:lang w:eastAsia="zh-CN"/>
                    </w:rPr>
                  </w:pPr>
                  <w:r>
                    <w:rPr>
                      <w:rFonts w:ascii="Times New Roman" w:hAnsi="Times New Roman" w:eastAsia="宋体" w:cs="Times New Roman"/>
                      <w:bCs/>
                      <w:color w:val="auto"/>
                      <w:kern w:val="32"/>
                      <w:lang w:eastAsia="zh-CN"/>
                    </w:rPr>
                    <w:t>间接排放</w:t>
                  </w:r>
                </w:p>
              </w:tc>
              <w:tc>
                <w:tcPr>
                  <w:tcW w:w="1185" w:type="dxa"/>
                  <w:vAlign w:val="center"/>
                </w:tcPr>
                <w:p>
                  <w:pPr>
                    <w:widowControl w:val="0"/>
                    <w:kinsoku/>
                    <w:jc w:val="center"/>
                    <w:rPr>
                      <w:rFonts w:ascii="Times New Roman" w:hAnsi="Times New Roman" w:eastAsia="宋体" w:cs="Times New Roman"/>
                      <w:bCs/>
                      <w:color w:val="auto"/>
                      <w:kern w:val="32"/>
                      <w:lang w:eastAsia="zh-CN"/>
                    </w:rPr>
                  </w:pPr>
                  <w:r>
                    <w:rPr>
                      <w:rFonts w:ascii="Times New Roman" w:hAnsi="Times New Roman" w:eastAsia="宋体" w:cs="Times New Roman"/>
                      <w:bCs/>
                      <w:color w:val="auto"/>
                      <w:kern w:val="32"/>
                      <w:lang w:eastAsia="zh-CN"/>
                    </w:rPr>
                    <w:t>企业总排</w:t>
                  </w:r>
                </w:p>
              </w:tc>
              <w:tc>
                <w:tcPr>
                  <w:tcW w:w="1085" w:type="dxa"/>
                  <w:vAlign w:val="center"/>
                </w:tcPr>
                <w:p>
                  <w:pPr>
                    <w:widowControl w:val="0"/>
                    <w:kinsoku/>
                    <w:jc w:val="center"/>
                    <w:rPr>
                      <w:rFonts w:ascii="Times New Roman" w:hAnsi="Times New Roman" w:eastAsia="宋体" w:cs="Times New Roman"/>
                      <w:bCs/>
                      <w:color w:val="auto"/>
                      <w:kern w:val="32"/>
                      <w:lang w:eastAsia="zh-CN"/>
                    </w:rPr>
                  </w:pPr>
                  <w:r>
                    <w:rPr>
                      <w:rFonts w:ascii="Times New Roman" w:hAnsi="Times New Roman" w:eastAsia="宋体" w:cs="Times New Roman"/>
                      <w:bCs/>
                      <w:color w:val="auto"/>
                      <w:kern w:val="32"/>
                      <w:lang w:eastAsia="zh-CN"/>
                    </w:rPr>
                    <w:t>一般排放口</w:t>
                  </w:r>
                </w:p>
              </w:tc>
            </w:tr>
          </w:tbl>
          <w:p>
            <w:pPr>
              <w:pStyle w:val="22"/>
              <w:kinsoku/>
              <w:spacing w:before="180" w:line="360" w:lineRule="auto"/>
              <w:ind w:left="600"/>
              <w:rPr>
                <w:rFonts w:hint="eastAsia"/>
                <w:b/>
                <w:bCs/>
                <w:color w:val="auto"/>
                <w:spacing w:val="-5"/>
                <w:lang w:eastAsia="zh-CN"/>
              </w:rPr>
            </w:pPr>
            <w:r>
              <w:rPr>
                <w:rFonts w:hint="eastAsia"/>
                <w:b/>
                <w:bCs/>
                <w:color w:val="auto"/>
                <w:spacing w:val="-5"/>
                <w:lang w:eastAsia="zh-CN"/>
              </w:rPr>
              <w:t xml:space="preserve">2、处理设施可行性分析 </w:t>
            </w:r>
          </w:p>
          <w:p>
            <w:pPr>
              <w:kinsoku/>
              <w:spacing w:line="360" w:lineRule="auto"/>
              <w:ind w:firstLine="520" w:firstLineChars="200"/>
              <w:rPr>
                <w:rFonts w:ascii="Times New Roman" w:hAnsi="Times New Roman" w:eastAsia="宋体" w:cs="Times New Roman"/>
                <w:color w:val="auto"/>
                <w:spacing w:val="10"/>
                <w:sz w:val="24"/>
                <w:szCs w:val="24"/>
                <w:lang w:eastAsia="zh-CN"/>
              </w:rPr>
            </w:pPr>
            <w:r>
              <w:rPr>
                <w:rFonts w:ascii="Times New Roman" w:hAnsi="Times New Roman" w:eastAsia="宋体" w:cs="Times New Roman"/>
                <w:color w:val="auto"/>
                <w:spacing w:val="10"/>
                <w:sz w:val="24"/>
                <w:szCs w:val="24"/>
                <w:lang w:eastAsia="zh-CN"/>
              </w:rPr>
              <w:t>项目依托地埋式化粪池容积为10m³，根据 GB50015-2003《建筑给排水设计规范》（2009年版），化粪池总容积应满足废水停留时间12-24小时的要求。根据现场踏勘，昆明国松特种涂料有限公司</w:t>
            </w:r>
            <w:r>
              <w:rPr>
                <w:rFonts w:hint="eastAsia" w:ascii="Times New Roman" w:hAnsi="Times New Roman" w:eastAsia="宋体" w:cs="Times New Roman"/>
                <w:color w:val="auto"/>
                <w:spacing w:val="10"/>
                <w:sz w:val="24"/>
                <w:szCs w:val="24"/>
                <w:lang w:eastAsia="zh-CN"/>
              </w:rPr>
              <w:t>、云南海派家具有限公司</w:t>
            </w:r>
            <w:r>
              <w:rPr>
                <w:rFonts w:ascii="Times New Roman" w:hAnsi="Times New Roman" w:eastAsia="宋体" w:cs="Times New Roman"/>
                <w:color w:val="auto"/>
                <w:spacing w:val="10"/>
                <w:sz w:val="24"/>
                <w:szCs w:val="24"/>
                <w:lang w:eastAsia="zh-CN"/>
              </w:rPr>
              <w:t>与本项目共用该化粪池，昆明国松特种涂料有限公司目前</w:t>
            </w:r>
            <w:r>
              <w:rPr>
                <w:rFonts w:hint="eastAsia" w:ascii="Times New Roman" w:hAnsi="Times New Roman" w:eastAsia="宋体" w:cs="Times New Roman"/>
                <w:color w:val="auto"/>
                <w:spacing w:val="10"/>
                <w:sz w:val="24"/>
                <w:szCs w:val="24"/>
                <w:lang w:eastAsia="zh-CN"/>
              </w:rPr>
              <w:t>生活污水</w:t>
            </w:r>
            <w:r>
              <w:rPr>
                <w:rFonts w:ascii="Times New Roman" w:hAnsi="Times New Roman" w:eastAsia="宋体" w:cs="Times New Roman"/>
                <w:color w:val="auto"/>
                <w:spacing w:val="10"/>
                <w:sz w:val="24"/>
                <w:szCs w:val="24"/>
                <w:lang w:eastAsia="zh-CN"/>
              </w:rPr>
              <w:t>排放量为1.5m</w:t>
            </w:r>
            <w:r>
              <w:rPr>
                <w:rFonts w:ascii="Times New Roman" w:hAnsi="Times New Roman" w:eastAsia="宋体" w:cs="Times New Roman"/>
                <w:color w:val="auto"/>
                <w:spacing w:val="10"/>
                <w:sz w:val="24"/>
                <w:szCs w:val="24"/>
                <w:vertAlign w:val="superscript"/>
                <w:lang w:eastAsia="zh-CN"/>
              </w:rPr>
              <w:t>3</w:t>
            </w:r>
            <w:r>
              <w:rPr>
                <w:rFonts w:ascii="Times New Roman" w:hAnsi="Times New Roman" w:eastAsia="宋体" w:cs="Times New Roman"/>
                <w:color w:val="auto"/>
                <w:spacing w:val="10"/>
                <w:sz w:val="24"/>
                <w:szCs w:val="24"/>
                <w:lang w:eastAsia="zh-CN"/>
              </w:rPr>
              <w:t>/d，</w:t>
            </w:r>
            <w:r>
              <w:rPr>
                <w:rFonts w:hint="eastAsia" w:ascii="Times New Roman" w:hAnsi="Times New Roman" w:eastAsia="宋体" w:cs="Times New Roman"/>
                <w:color w:val="auto"/>
                <w:spacing w:val="10"/>
                <w:sz w:val="24"/>
                <w:szCs w:val="24"/>
                <w:lang w:eastAsia="zh-CN"/>
              </w:rPr>
              <w:t>云南海派家具有限公司目前生活污水</w:t>
            </w:r>
            <w:r>
              <w:rPr>
                <w:rFonts w:ascii="Times New Roman" w:hAnsi="Times New Roman" w:eastAsia="宋体" w:cs="Times New Roman"/>
                <w:color w:val="auto"/>
                <w:spacing w:val="10"/>
                <w:sz w:val="24"/>
                <w:szCs w:val="24"/>
                <w:lang w:eastAsia="zh-CN"/>
              </w:rPr>
              <w:t>排水量</w:t>
            </w:r>
            <w:r>
              <w:rPr>
                <w:rFonts w:hint="eastAsia" w:ascii="Times New Roman" w:hAnsi="Times New Roman" w:eastAsia="宋体" w:cs="Times New Roman"/>
                <w:color w:val="auto"/>
                <w:spacing w:val="10"/>
                <w:sz w:val="24"/>
                <w:szCs w:val="24"/>
                <w:lang w:eastAsia="zh-CN"/>
              </w:rPr>
              <w:t>1.6</w:t>
            </w:r>
            <w:r>
              <w:rPr>
                <w:rFonts w:ascii="Times New Roman" w:hAnsi="Times New Roman" w:eastAsia="宋体" w:cs="Times New Roman"/>
                <w:color w:val="auto"/>
                <w:spacing w:val="10"/>
                <w:sz w:val="24"/>
                <w:szCs w:val="24"/>
                <w:lang w:eastAsia="zh-CN"/>
              </w:rPr>
              <w:t>m</w:t>
            </w:r>
            <w:r>
              <w:rPr>
                <w:rFonts w:ascii="Times New Roman" w:hAnsi="Times New Roman" w:eastAsia="宋体" w:cs="Times New Roman"/>
                <w:color w:val="auto"/>
                <w:spacing w:val="10"/>
                <w:sz w:val="24"/>
                <w:szCs w:val="24"/>
                <w:vertAlign w:val="superscript"/>
                <w:lang w:eastAsia="zh-CN"/>
              </w:rPr>
              <w:t>3</w:t>
            </w:r>
            <w:r>
              <w:rPr>
                <w:rFonts w:ascii="Times New Roman" w:hAnsi="Times New Roman" w:eastAsia="宋体" w:cs="Times New Roman"/>
                <w:color w:val="auto"/>
                <w:spacing w:val="10"/>
                <w:sz w:val="24"/>
                <w:szCs w:val="24"/>
                <w:lang w:eastAsia="zh-CN"/>
              </w:rPr>
              <w:t>/d，废水停留时间以24小时计算，则化粪池剩余容积为</w:t>
            </w:r>
            <w:r>
              <w:rPr>
                <w:rFonts w:hint="eastAsia" w:ascii="Times New Roman" w:hAnsi="Times New Roman" w:eastAsia="宋体" w:cs="Times New Roman"/>
                <w:color w:val="auto"/>
                <w:spacing w:val="10"/>
                <w:sz w:val="24"/>
                <w:szCs w:val="24"/>
                <w:lang w:eastAsia="zh-CN"/>
              </w:rPr>
              <w:t>6.9</w:t>
            </w:r>
            <w:r>
              <w:rPr>
                <w:rFonts w:ascii="Times New Roman" w:hAnsi="Times New Roman" w:eastAsia="宋体" w:cs="Times New Roman"/>
                <w:color w:val="auto"/>
                <w:spacing w:val="10"/>
                <w:sz w:val="24"/>
                <w:szCs w:val="24"/>
                <w:lang w:eastAsia="zh-CN"/>
              </w:rPr>
              <w:t>m</w:t>
            </w:r>
            <w:r>
              <w:rPr>
                <w:rFonts w:ascii="Times New Roman" w:hAnsi="Times New Roman" w:eastAsia="宋体" w:cs="Times New Roman"/>
                <w:color w:val="auto"/>
                <w:spacing w:val="10"/>
                <w:sz w:val="24"/>
                <w:szCs w:val="24"/>
                <w:vertAlign w:val="superscript"/>
                <w:lang w:eastAsia="zh-CN"/>
              </w:rPr>
              <w:t>3</w:t>
            </w:r>
            <w:r>
              <w:rPr>
                <w:rFonts w:ascii="Times New Roman" w:hAnsi="Times New Roman" w:eastAsia="宋体" w:cs="Times New Roman"/>
                <w:color w:val="auto"/>
                <w:spacing w:val="10"/>
                <w:sz w:val="24"/>
                <w:szCs w:val="24"/>
                <w:lang w:eastAsia="zh-CN"/>
              </w:rPr>
              <w:t>，本项目</w:t>
            </w:r>
            <w:r>
              <w:rPr>
                <w:rFonts w:hint="eastAsia" w:ascii="Times New Roman" w:hAnsi="Times New Roman" w:eastAsia="宋体" w:cs="Times New Roman"/>
                <w:color w:val="auto"/>
                <w:spacing w:val="10"/>
                <w:sz w:val="24"/>
                <w:szCs w:val="24"/>
                <w:lang w:eastAsia="zh-CN"/>
              </w:rPr>
              <w:t>生活污水</w:t>
            </w:r>
            <w:r>
              <w:rPr>
                <w:rFonts w:ascii="Times New Roman" w:hAnsi="Times New Roman" w:eastAsia="宋体" w:cs="Times New Roman"/>
                <w:color w:val="auto"/>
                <w:spacing w:val="10"/>
                <w:sz w:val="24"/>
                <w:szCs w:val="24"/>
                <w:lang w:eastAsia="zh-CN"/>
              </w:rPr>
              <w:t>排水量</w:t>
            </w:r>
            <w:r>
              <w:rPr>
                <w:rFonts w:hint="eastAsia" w:ascii="Times New Roman" w:hAnsi="Times New Roman" w:eastAsia="宋体" w:cs="Times New Roman"/>
                <w:color w:val="auto"/>
                <w:spacing w:val="10"/>
                <w:sz w:val="24"/>
                <w:szCs w:val="24"/>
                <w:lang w:eastAsia="zh-CN"/>
              </w:rPr>
              <w:t>1.79</w:t>
            </w:r>
            <w:r>
              <w:rPr>
                <w:rFonts w:ascii="Times New Roman" w:hAnsi="Times New Roman" w:eastAsia="宋体" w:cs="Times New Roman"/>
                <w:color w:val="auto"/>
                <w:spacing w:val="10"/>
                <w:sz w:val="24"/>
                <w:szCs w:val="24"/>
                <w:lang w:eastAsia="zh-CN"/>
              </w:rPr>
              <w:t>m</w:t>
            </w:r>
            <w:r>
              <w:rPr>
                <w:rFonts w:ascii="Times New Roman" w:hAnsi="Times New Roman" w:eastAsia="宋体" w:cs="Times New Roman"/>
                <w:color w:val="auto"/>
                <w:spacing w:val="10"/>
                <w:sz w:val="24"/>
                <w:szCs w:val="24"/>
                <w:vertAlign w:val="superscript"/>
                <w:lang w:eastAsia="zh-CN"/>
              </w:rPr>
              <w:t>3</w:t>
            </w:r>
            <w:r>
              <w:rPr>
                <w:rFonts w:ascii="Times New Roman" w:hAnsi="Times New Roman" w:eastAsia="宋体" w:cs="Times New Roman"/>
                <w:color w:val="auto"/>
                <w:spacing w:val="10"/>
                <w:sz w:val="24"/>
                <w:szCs w:val="24"/>
                <w:lang w:eastAsia="zh-CN"/>
              </w:rPr>
              <w:t>/d，依托化粪池的容积可以满足生活污水预处理要求。</w:t>
            </w:r>
          </w:p>
          <w:p>
            <w:pPr>
              <w:pStyle w:val="22"/>
              <w:kinsoku/>
              <w:spacing w:before="62" w:line="353" w:lineRule="auto"/>
              <w:ind w:left="104" w:right="101" w:firstLine="486"/>
              <w:rPr>
                <w:rFonts w:hint="eastAsia"/>
                <w:color w:val="auto"/>
                <w:lang w:eastAsia="zh-CN"/>
              </w:rPr>
            </w:pPr>
            <w:r>
              <w:rPr>
                <w:rFonts w:ascii="Times New Roman" w:hAnsi="Times New Roman" w:cs="Times New Roman"/>
                <w:color w:val="auto"/>
                <w:spacing w:val="6"/>
              </w:rPr>
              <w:t>生活污水中含有</w:t>
            </w:r>
            <w:r>
              <w:rPr>
                <w:rFonts w:ascii="Times New Roman" w:hAnsi="Times New Roman" w:cs="Times New Roman"/>
                <w:color w:val="auto"/>
              </w:rPr>
              <w:t>COD</w:t>
            </w:r>
            <w:r>
              <w:rPr>
                <w:rFonts w:ascii="Times New Roman" w:hAnsi="Times New Roman" w:cs="Times New Roman"/>
                <w:color w:val="auto"/>
                <w:spacing w:val="6"/>
              </w:rPr>
              <w:t>、</w:t>
            </w:r>
            <w:r>
              <w:rPr>
                <w:rFonts w:ascii="Times New Roman" w:hAnsi="Times New Roman" w:cs="Times New Roman"/>
                <w:color w:val="auto"/>
              </w:rPr>
              <w:t>BOD</w:t>
            </w:r>
            <w:r>
              <w:rPr>
                <w:rFonts w:ascii="Times New Roman" w:hAnsi="Times New Roman" w:cs="Times New Roman"/>
                <w:color w:val="auto"/>
                <w:spacing w:val="6"/>
                <w:position w:val="-1"/>
                <w:sz w:val="15"/>
                <w:szCs w:val="15"/>
              </w:rPr>
              <w:t>5</w:t>
            </w:r>
            <w:r>
              <w:rPr>
                <w:rFonts w:ascii="Times New Roman" w:hAnsi="Times New Roman" w:cs="Times New Roman"/>
                <w:color w:val="auto"/>
                <w:spacing w:val="6"/>
              </w:rPr>
              <w:t>、</w:t>
            </w:r>
            <w:r>
              <w:rPr>
                <w:rFonts w:ascii="Times New Roman" w:hAnsi="Times New Roman" w:cs="Times New Roman"/>
                <w:color w:val="auto"/>
              </w:rPr>
              <w:t>SS</w:t>
            </w:r>
            <w:r>
              <w:rPr>
                <w:rFonts w:ascii="Times New Roman" w:hAnsi="Times New Roman" w:cs="Times New Roman"/>
                <w:color w:val="auto"/>
                <w:spacing w:val="6"/>
              </w:rPr>
              <w:t>、氨氮等污染物。</w:t>
            </w:r>
            <w:r>
              <w:rPr>
                <w:rFonts w:ascii="Times New Roman" w:hAnsi="Times New Roman" w:cs="Times New Roman"/>
                <w:color w:val="auto"/>
                <w:spacing w:val="6"/>
                <w:lang w:eastAsia="zh-CN"/>
              </w:rPr>
              <w:t>生活污水水质数据参照</w:t>
            </w:r>
            <w:r>
              <w:rPr>
                <w:rFonts w:ascii="Times New Roman" w:hAnsi="Times New Roman" w:cs="Times New Roman"/>
                <w:color w:val="auto"/>
                <w:spacing w:val="5"/>
                <w:lang w:eastAsia="zh-CN"/>
              </w:rPr>
              <w:t>《城市生活污水中污染物分类及处理性评价》（给水排水：</w:t>
            </w:r>
            <w:r>
              <w:rPr>
                <w:rFonts w:ascii="Times New Roman" w:hAnsi="Times New Roman" w:cs="Times New Roman"/>
                <w:color w:val="auto"/>
                <w:lang w:eastAsia="zh-CN"/>
              </w:rPr>
              <w:t>Vol</w:t>
            </w:r>
            <w:r>
              <w:rPr>
                <w:rFonts w:ascii="Times New Roman" w:hAnsi="Times New Roman" w:cs="Times New Roman"/>
                <w:color w:val="auto"/>
                <w:spacing w:val="5"/>
                <w:lang w:eastAsia="zh-CN"/>
              </w:rPr>
              <w:t>.3</w:t>
            </w:r>
            <w:r>
              <w:rPr>
                <w:rFonts w:ascii="Times New Roman" w:hAnsi="Times New Roman" w:cs="Times New Roman"/>
                <w:color w:val="auto"/>
                <w:spacing w:val="4"/>
                <w:lang w:eastAsia="zh-CN"/>
              </w:rPr>
              <w:t>0</w:t>
            </w:r>
            <w:r>
              <w:rPr>
                <w:rFonts w:ascii="Times New Roman" w:hAnsi="Times New Roman" w:cs="Times New Roman"/>
                <w:color w:val="auto"/>
                <w:lang w:eastAsia="zh-CN"/>
              </w:rPr>
              <w:t>NO</w:t>
            </w:r>
            <w:r>
              <w:rPr>
                <w:rFonts w:ascii="Times New Roman" w:hAnsi="Times New Roman" w:cs="Times New Roman"/>
                <w:color w:val="auto"/>
                <w:spacing w:val="4"/>
                <w:lang w:eastAsia="zh-CN"/>
              </w:rPr>
              <w:t>.92004；王</w:t>
            </w:r>
            <w:r>
              <w:rPr>
                <w:rFonts w:ascii="Times New Roman" w:hAnsi="Times New Roman" w:cs="Times New Roman"/>
                <w:color w:val="auto"/>
                <w:spacing w:val="12"/>
                <w:lang w:eastAsia="zh-CN"/>
              </w:rPr>
              <w:t>晓昌，金鹏康，赵红梅，孟令八</w:t>
            </w:r>
            <w:r>
              <w:rPr>
                <w:rFonts w:ascii="Times New Roman" w:hAnsi="Times New Roman" w:cs="Times New Roman"/>
                <w:color w:val="auto"/>
                <w:spacing w:val="-3"/>
                <w:lang w:eastAsia="zh-CN"/>
              </w:rPr>
              <w:t>），</w:t>
            </w:r>
            <w:r>
              <w:rPr>
                <w:rFonts w:ascii="Times New Roman" w:hAnsi="Times New Roman" w:cs="Times New Roman"/>
                <w:color w:val="auto"/>
                <w:spacing w:val="12"/>
                <w:lang w:eastAsia="zh-CN"/>
              </w:rPr>
              <w:t>城镇生活污水中污染物浓度一般为</w:t>
            </w:r>
            <w:r>
              <w:rPr>
                <w:rFonts w:ascii="Times New Roman" w:hAnsi="Times New Roman" w:cs="Times New Roman"/>
                <w:color w:val="auto"/>
                <w:lang w:eastAsia="zh-CN"/>
              </w:rPr>
              <w:t>COD</w:t>
            </w:r>
            <w:r>
              <w:rPr>
                <w:rFonts w:ascii="Times New Roman" w:hAnsi="Times New Roman" w:cs="Times New Roman"/>
                <w:color w:val="auto"/>
                <w:spacing w:val="12"/>
                <w:lang w:eastAsia="zh-CN"/>
              </w:rPr>
              <w:t>：</w:t>
            </w:r>
            <w:r>
              <w:rPr>
                <w:rFonts w:ascii="Times New Roman" w:hAnsi="Times New Roman" w:cs="Times New Roman"/>
                <w:color w:val="auto"/>
                <w:spacing w:val="4"/>
                <w:lang w:eastAsia="zh-CN"/>
              </w:rPr>
              <w:t>275</w:t>
            </w:r>
            <w:r>
              <w:rPr>
                <w:rFonts w:ascii="Times New Roman" w:hAnsi="Times New Roman" w:cs="Times New Roman"/>
                <w:color w:val="auto"/>
                <w:lang w:eastAsia="zh-CN"/>
              </w:rPr>
              <w:t>mg</w:t>
            </w:r>
            <w:r>
              <w:rPr>
                <w:rFonts w:ascii="Times New Roman" w:hAnsi="Times New Roman" w:cs="Times New Roman"/>
                <w:color w:val="auto"/>
                <w:spacing w:val="4"/>
                <w:lang w:eastAsia="zh-CN"/>
              </w:rPr>
              <w:t>/L；</w:t>
            </w:r>
            <w:r>
              <w:rPr>
                <w:rFonts w:hint="eastAsia" w:ascii="Times New Roman" w:hAnsi="Times New Roman" w:cs="Times New Roman"/>
                <w:color w:val="auto"/>
                <w:spacing w:val="4"/>
                <w:lang w:eastAsia="zh-CN"/>
              </w:rPr>
              <w:t>SS：165</w:t>
            </w:r>
            <w:r>
              <w:rPr>
                <w:rFonts w:ascii="Times New Roman" w:hAnsi="Times New Roman" w:cs="Times New Roman"/>
                <w:color w:val="auto"/>
                <w:lang w:eastAsia="zh-CN"/>
              </w:rPr>
              <w:t>mg/L</w:t>
            </w:r>
            <w:r>
              <w:rPr>
                <w:rFonts w:hint="eastAsia" w:ascii="Times New Roman" w:hAnsi="Times New Roman" w:cs="Times New Roman"/>
                <w:color w:val="auto"/>
                <w:lang w:eastAsia="zh-CN"/>
              </w:rPr>
              <w:t>；</w:t>
            </w:r>
            <w:r>
              <w:rPr>
                <w:rFonts w:ascii="Times New Roman" w:hAnsi="Times New Roman" w:cs="Times New Roman"/>
                <w:color w:val="auto"/>
                <w:lang w:eastAsia="zh-CN"/>
              </w:rPr>
              <w:t>BOD</w:t>
            </w:r>
            <w:r>
              <w:rPr>
                <w:rFonts w:ascii="Times New Roman" w:hAnsi="Times New Roman" w:cs="Times New Roman"/>
                <w:color w:val="auto"/>
                <w:spacing w:val="4"/>
                <w:position w:val="-1"/>
                <w:sz w:val="15"/>
                <w:szCs w:val="15"/>
                <w:lang w:eastAsia="zh-CN"/>
              </w:rPr>
              <w:t>5</w:t>
            </w:r>
            <w:r>
              <w:rPr>
                <w:rFonts w:hint="eastAsia" w:ascii="Times New Roman" w:hAnsi="Times New Roman" w:cs="Times New Roman"/>
                <w:color w:val="auto"/>
                <w:spacing w:val="4"/>
                <w:position w:val="-1"/>
                <w:sz w:val="15"/>
                <w:szCs w:val="15"/>
                <w:lang w:eastAsia="zh-CN"/>
              </w:rPr>
              <w:t>:</w:t>
            </w:r>
            <w:r>
              <w:rPr>
                <w:rFonts w:ascii="Times New Roman" w:hAnsi="Times New Roman" w:cs="Times New Roman"/>
                <w:color w:val="auto"/>
                <w:spacing w:val="4"/>
                <w:lang w:eastAsia="zh-CN"/>
              </w:rPr>
              <w:t>132</w:t>
            </w:r>
            <w:r>
              <w:rPr>
                <w:rFonts w:ascii="Times New Roman" w:hAnsi="Times New Roman" w:cs="Times New Roman"/>
                <w:color w:val="auto"/>
                <w:lang w:eastAsia="zh-CN"/>
              </w:rPr>
              <w:t>mg</w:t>
            </w:r>
            <w:r>
              <w:rPr>
                <w:rFonts w:ascii="Times New Roman" w:hAnsi="Times New Roman" w:cs="Times New Roman"/>
                <w:color w:val="auto"/>
                <w:spacing w:val="4"/>
                <w:lang w:eastAsia="zh-CN"/>
              </w:rPr>
              <w:t>/L；</w:t>
            </w:r>
            <w:r>
              <w:rPr>
                <w:rFonts w:ascii="Times New Roman" w:hAnsi="Times New Roman" w:cs="Times New Roman"/>
                <w:color w:val="auto"/>
                <w:lang w:eastAsia="zh-CN"/>
              </w:rPr>
              <w:t>总氮</w:t>
            </w:r>
            <w:r>
              <w:rPr>
                <w:rFonts w:ascii="Times New Roman" w:hAnsi="Times New Roman" w:cs="Times New Roman"/>
                <w:color w:val="auto"/>
                <w:spacing w:val="4"/>
                <w:lang w:eastAsia="zh-CN"/>
              </w:rPr>
              <w:t>：38.7</w:t>
            </w:r>
            <w:r>
              <w:rPr>
                <w:rFonts w:ascii="Times New Roman" w:hAnsi="Times New Roman" w:cs="Times New Roman"/>
                <w:color w:val="auto"/>
                <w:lang w:eastAsia="zh-CN"/>
              </w:rPr>
              <w:t>mg</w:t>
            </w:r>
            <w:r>
              <w:rPr>
                <w:rFonts w:ascii="Times New Roman" w:hAnsi="Times New Roman" w:cs="Times New Roman"/>
                <w:color w:val="auto"/>
                <w:spacing w:val="4"/>
                <w:lang w:eastAsia="zh-CN"/>
              </w:rPr>
              <w:t>/L；氨氮：34.5</w:t>
            </w:r>
            <w:r>
              <w:rPr>
                <w:rFonts w:ascii="Times New Roman" w:hAnsi="Times New Roman" w:cs="Times New Roman"/>
                <w:color w:val="auto"/>
                <w:lang w:eastAsia="zh-CN"/>
              </w:rPr>
              <w:t>mg</w:t>
            </w:r>
            <w:r>
              <w:rPr>
                <w:rFonts w:ascii="Times New Roman" w:hAnsi="Times New Roman" w:cs="Times New Roman"/>
                <w:color w:val="auto"/>
                <w:spacing w:val="4"/>
                <w:lang w:eastAsia="zh-CN"/>
              </w:rPr>
              <w:t>/L</w:t>
            </w:r>
            <w:r>
              <w:rPr>
                <w:rFonts w:ascii="Times New Roman" w:hAnsi="Times New Roman" w:cs="Times New Roman"/>
                <w:color w:val="auto"/>
                <w:spacing w:val="3"/>
                <w:lang w:eastAsia="zh-CN"/>
              </w:rPr>
              <w:t>；总磷：6</w:t>
            </w:r>
            <w:r>
              <w:rPr>
                <w:rFonts w:ascii="Times New Roman" w:hAnsi="Times New Roman" w:cs="Times New Roman"/>
                <w:color w:val="auto"/>
                <w:lang w:eastAsia="zh-CN"/>
              </w:rPr>
              <w:t>mg</w:t>
            </w:r>
            <w:r>
              <w:rPr>
                <w:rFonts w:ascii="Times New Roman" w:hAnsi="Times New Roman" w:cs="Times New Roman"/>
                <w:color w:val="auto"/>
                <w:spacing w:val="3"/>
                <w:lang w:eastAsia="zh-CN"/>
              </w:rPr>
              <w:t>/L（以P</w:t>
            </w:r>
            <w:r>
              <w:rPr>
                <w:rFonts w:ascii="Times New Roman" w:hAnsi="Times New Roman" w:cs="Times New Roman"/>
                <w:color w:val="auto"/>
                <w:spacing w:val="-2"/>
                <w:lang w:eastAsia="zh-CN"/>
              </w:rPr>
              <w:t>计）。依据《城镇生活源产排污系数手册》，昆明市属于四区二类，根据表4四区居民生活污水、生活垃圾产生和排放系数，动植物油产生系数：1.77g/天·人，本项目共有25人，每年工作330天，则动植物油：22.1mg/L；生活污水经化粪池处理效率为CODcr：21%，BODs：17%，总氮：15%，NH</w:t>
            </w:r>
            <w:r>
              <w:rPr>
                <w:rFonts w:ascii="Times New Roman" w:hAnsi="Times New Roman" w:cs="Times New Roman"/>
                <w:color w:val="auto"/>
                <w:spacing w:val="-2"/>
                <w:vertAlign w:val="subscript"/>
                <w:lang w:eastAsia="zh-CN"/>
              </w:rPr>
              <w:t>3</w:t>
            </w:r>
            <w:r>
              <w:rPr>
                <w:rFonts w:ascii="Times New Roman" w:hAnsi="Times New Roman" w:cs="Times New Roman"/>
                <w:color w:val="auto"/>
                <w:spacing w:val="-2"/>
                <w:lang w:eastAsia="zh-CN"/>
              </w:rPr>
              <w:t>-N：3%，TP：15%，动植物油：15%</w:t>
            </w:r>
            <w:r>
              <w:rPr>
                <w:rFonts w:hint="eastAsia" w:ascii="Times New Roman" w:hAnsi="Times New Roman" w:cs="Times New Roman"/>
                <w:color w:val="auto"/>
                <w:spacing w:val="-2"/>
                <w:lang w:eastAsia="zh-CN"/>
              </w:rPr>
              <w:t>，SS：30%</w:t>
            </w:r>
            <w:r>
              <w:rPr>
                <w:rFonts w:ascii="Times New Roman" w:hAnsi="Times New Roman" w:cs="Times New Roman"/>
                <w:color w:val="auto"/>
                <w:spacing w:val="-2"/>
                <w:lang w:eastAsia="zh-CN"/>
              </w:rPr>
              <w:t>。</w:t>
            </w:r>
            <w:r>
              <w:rPr>
                <w:rFonts w:ascii="Times New Roman" w:hAnsi="Times New Roman" w:cs="Times New Roman"/>
                <w:color w:val="auto"/>
                <w:spacing w:val="-1"/>
                <w:lang w:eastAsia="zh-CN"/>
              </w:rPr>
              <w:t>项目水污染物产生与排放情况见表4-1</w:t>
            </w:r>
            <w:r>
              <w:rPr>
                <w:rFonts w:hint="eastAsia" w:ascii="Times New Roman" w:hAnsi="Times New Roman" w:cs="Times New Roman"/>
                <w:color w:val="auto"/>
                <w:spacing w:val="-1"/>
                <w:lang w:eastAsia="zh-CN"/>
              </w:rPr>
              <w:t>1</w:t>
            </w:r>
            <w:r>
              <w:rPr>
                <w:rFonts w:ascii="Times New Roman" w:hAnsi="Times New Roman" w:cs="Times New Roman"/>
                <w:color w:val="auto"/>
                <w:spacing w:val="-1"/>
                <w:lang w:eastAsia="zh-CN"/>
              </w:rPr>
              <w:t>。</w:t>
            </w:r>
          </w:p>
          <w:p>
            <w:pPr>
              <w:pStyle w:val="22"/>
              <w:kinsoku/>
              <w:spacing w:before="176" w:line="228" w:lineRule="auto"/>
              <w:ind w:left="2604"/>
              <w:rPr>
                <w:rFonts w:ascii="Times New Roman" w:hAnsi="Times New Roman" w:cs="Times New Roman"/>
                <w:color w:val="auto"/>
                <w:sz w:val="20"/>
                <w:szCs w:val="20"/>
                <w:lang w:eastAsia="zh-CN"/>
              </w:rPr>
            </w:pPr>
            <w:r>
              <w:rPr>
                <w:rFonts w:ascii="Times New Roman" w:hAnsi="Times New Roman" w:cs="Times New Roman"/>
                <w:b/>
                <w:bCs/>
                <w:color w:val="auto"/>
                <w:spacing w:val="5"/>
                <w:sz w:val="20"/>
                <w:szCs w:val="20"/>
                <w:lang w:eastAsia="zh-CN"/>
              </w:rPr>
              <w:t>表4-1</w:t>
            </w:r>
            <w:r>
              <w:rPr>
                <w:rFonts w:hint="eastAsia" w:ascii="Times New Roman" w:hAnsi="Times New Roman" w:cs="Times New Roman"/>
                <w:b/>
                <w:bCs/>
                <w:color w:val="auto"/>
                <w:spacing w:val="5"/>
                <w:sz w:val="20"/>
                <w:szCs w:val="20"/>
                <w:lang w:eastAsia="zh-CN"/>
              </w:rPr>
              <w:t>1</w:t>
            </w:r>
            <w:r>
              <w:rPr>
                <w:rFonts w:ascii="Times New Roman" w:hAnsi="Times New Roman" w:cs="Times New Roman"/>
                <w:b/>
                <w:bCs/>
                <w:color w:val="auto"/>
                <w:spacing w:val="5"/>
                <w:sz w:val="20"/>
                <w:szCs w:val="20"/>
                <w:lang w:eastAsia="zh-CN"/>
              </w:rPr>
              <w:t>项目水污染物产生及排放情况</w:t>
            </w:r>
          </w:p>
          <w:p>
            <w:pPr>
              <w:kinsoku/>
              <w:spacing w:line="132" w:lineRule="exact"/>
              <w:rPr>
                <w:rFonts w:ascii="Times New Roman" w:hAnsi="Times New Roman" w:eastAsia="宋体" w:cs="Times New Roman"/>
                <w:color w:val="auto"/>
                <w:lang w:eastAsia="zh-CN"/>
              </w:rPr>
            </w:pPr>
          </w:p>
          <w:tbl>
            <w:tblPr>
              <w:tblStyle w:val="21"/>
              <w:tblW w:w="8707"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951"/>
              <w:gridCol w:w="958"/>
              <w:gridCol w:w="1094"/>
              <w:gridCol w:w="951"/>
              <w:gridCol w:w="896"/>
              <w:gridCol w:w="1094"/>
              <w:gridCol w:w="1003"/>
              <w:gridCol w:w="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98" w:type="dxa"/>
                  <w:vMerge w:val="restart"/>
                  <w:tcBorders>
                    <w:bottom w:val="nil"/>
                  </w:tcBorders>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来源</w:t>
                  </w:r>
                </w:p>
              </w:tc>
              <w:tc>
                <w:tcPr>
                  <w:tcW w:w="951" w:type="dxa"/>
                  <w:vMerge w:val="restart"/>
                  <w:tcBorders>
                    <w:bottom w:val="nil"/>
                  </w:tcBorders>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污水排放量（t/a）</w:t>
                  </w:r>
                </w:p>
              </w:tc>
              <w:tc>
                <w:tcPr>
                  <w:tcW w:w="958" w:type="dxa"/>
                  <w:vMerge w:val="restart"/>
                  <w:tcBorders>
                    <w:bottom w:val="nil"/>
                  </w:tcBorders>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w:t>
                  </w:r>
                </w:p>
              </w:tc>
              <w:tc>
                <w:tcPr>
                  <w:tcW w:w="2045" w:type="dxa"/>
                  <w:gridSpan w:val="2"/>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产生情况</w:t>
                  </w:r>
                </w:p>
              </w:tc>
              <w:tc>
                <w:tcPr>
                  <w:tcW w:w="896" w:type="dxa"/>
                  <w:vMerge w:val="restart"/>
                  <w:tcBorders>
                    <w:bottom w:val="nil"/>
                  </w:tcBorders>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治理措施</w:t>
                  </w:r>
                </w:p>
              </w:tc>
              <w:tc>
                <w:tcPr>
                  <w:tcW w:w="2097" w:type="dxa"/>
                  <w:gridSpan w:val="2"/>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处理后情况</w:t>
                  </w:r>
                </w:p>
              </w:tc>
              <w:tc>
                <w:tcPr>
                  <w:tcW w:w="862" w:type="dxa"/>
                  <w:vMerge w:val="restart"/>
                  <w:vAlign w:val="center"/>
                </w:tcPr>
                <w:p>
                  <w:pPr>
                    <w:kinsoku/>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排放标准</w:t>
                  </w:r>
                  <w:r>
                    <w:rPr>
                      <w:rFonts w:ascii="Times New Roman" w:hAnsi="Times New Roman" w:eastAsia="宋体" w:cs="Times New Roman"/>
                      <w:b/>
                      <w:bCs/>
                      <w:color w:val="auto"/>
                      <w:lang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98"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951"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958"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浓度mg/L</w:t>
                  </w:r>
                </w:p>
              </w:tc>
              <w:tc>
                <w:tcPr>
                  <w:tcW w:w="951"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产生量（t/a）</w:t>
                  </w:r>
                </w:p>
              </w:tc>
              <w:tc>
                <w:tcPr>
                  <w:tcW w:w="896" w:type="dxa"/>
                  <w:vMerge w:val="continue"/>
                  <w:tcBorders>
                    <w:top w:val="nil"/>
                  </w:tcBorders>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浓度mg/L</w:t>
                  </w:r>
                </w:p>
              </w:tc>
              <w:tc>
                <w:tcPr>
                  <w:tcW w:w="1003" w:type="dxa"/>
                  <w:vAlign w:val="center"/>
                </w:tcPr>
                <w:p>
                  <w:pPr>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排放量（t/a）</w:t>
                  </w:r>
                </w:p>
              </w:tc>
              <w:tc>
                <w:tcPr>
                  <w:tcW w:w="862" w:type="dxa"/>
                  <w:vMerge w:val="continue"/>
                  <w:vAlign w:val="center"/>
                </w:tcPr>
                <w:p>
                  <w:pPr>
                    <w:kinsoku/>
                    <w:jc w:val="center"/>
                    <w:rPr>
                      <w:rFonts w:ascii="Times New Roman" w:hAnsi="Times New Roman" w:eastAsia="宋体" w:cs="Times New Roman"/>
                      <w:b/>
                      <w:bCs/>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98"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生活污水</w:t>
                  </w:r>
                </w:p>
              </w:tc>
              <w:tc>
                <w:tcPr>
                  <w:tcW w:w="951" w:type="dxa"/>
                  <w:vMerge w:val="restart"/>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591.4</w:t>
                  </w: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CODcr</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275mg/L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0.1626</w:t>
                  </w:r>
                </w:p>
              </w:tc>
              <w:tc>
                <w:tcPr>
                  <w:tcW w:w="896"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化粪</w:t>
                  </w:r>
                </w:p>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池</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217.25mg/L</w:t>
                  </w:r>
                </w:p>
              </w:tc>
              <w:tc>
                <w:tcPr>
                  <w:tcW w:w="1003"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0.1285</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hint="eastAsia" w:ascii="Times New Roman" w:hAnsi="Times New Roman" w:eastAsia="宋体" w:cs="Times New Roman"/>
                      <w:color w:val="auto"/>
                      <w:sz w:val="22"/>
                      <w:szCs w:val="22"/>
                      <w:lang w:eastAsia="zh-CN" w:bidi="ar"/>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132mg/L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0.0781</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109.56mg/L</w:t>
                  </w:r>
                </w:p>
              </w:tc>
              <w:tc>
                <w:tcPr>
                  <w:tcW w:w="1003"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0.0648</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hint="eastAsia" w:ascii="Times New Roman" w:hAnsi="Times New Roman" w:eastAsia="宋体" w:cs="Times New Roman"/>
                      <w:color w:val="auto"/>
                      <w:sz w:val="22"/>
                      <w:szCs w:val="22"/>
                      <w:lang w:eastAsia="zh-CN" w:bidi="ar"/>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总氮</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38.7mg/L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0.0229</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32.90mg/L</w:t>
                  </w:r>
                </w:p>
              </w:tc>
              <w:tc>
                <w:tcPr>
                  <w:tcW w:w="1003"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0.0195</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ascii="Times New Roman" w:hAnsi="Times New Roman" w:eastAsia="宋体" w:cs="Times New Roman"/>
                      <w:b/>
                      <w:bCs/>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NH</w:t>
                  </w:r>
                  <w:r>
                    <w:rPr>
                      <w:rFonts w:ascii="Times New Roman" w:hAnsi="Times New Roman" w:eastAsia="宋体" w:cs="Times New Roman"/>
                      <w:color w:val="auto"/>
                      <w:vertAlign w:val="subscript"/>
                      <w:lang w:eastAsia="zh-CN"/>
                    </w:rPr>
                    <w:t>3</w:t>
                  </w:r>
                  <w:r>
                    <w:rPr>
                      <w:rFonts w:ascii="Times New Roman" w:hAnsi="Times New Roman" w:eastAsia="宋体" w:cs="Times New Roman"/>
                      <w:color w:val="auto"/>
                      <w:lang w:eastAsia="zh-CN"/>
                    </w:rPr>
                    <w:t>-N</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34.5mg/L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0.0204</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33.47mg/L</w:t>
                  </w:r>
                </w:p>
              </w:tc>
              <w:tc>
                <w:tcPr>
                  <w:tcW w:w="1003"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0.0198</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ascii="Times New Roman" w:hAnsi="Times New Roman" w:eastAsia="宋体" w:cs="Times New Roman"/>
                      <w:b/>
                      <w:bCs/>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TP</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0.0035</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5.10mg/L</w:t>
                  </w:r>
                </w:p>
              </w:tc>
              <w:tc>
                <w:tcPr>
                  <w:tcW w:w="1003"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0.0030</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ascii="Times New Roman" w:hAnsi="Times New Roman" w:eastAsia="宋体" w:cs="Times New Roman"/>
                      <w:b/>
                      <w:bCs/>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动植物油</w:t>
                  </w: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22.1mg/L</w:t>
                  </w:r>
                </w:p>
              </w:tc>
              <w:tc>
                <w:tcPr>
                  <w:tcW w:w="951" w:type="dxa"/>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sz w:val="22"/>
                      <w:szCs w:val="22"/>
                      <w:lang w:eastAsia="zh-CN" w:bidi="ar"/>
                    </w:rPr>
                    <w:t>0.0131</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18.79mg/L</w:t>
                  </w:r>
                </w:p>
              </w:tc>
              <w:tc>
                <w:tcPr>
                  <w:tcW w:w="1003" w:type="dxa"/>
                  <w:vAlign w:val="center"/>
                </w:tcPr>
                <w:p>
                  <w:pPr>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sz w:val="22"/>
                      <w:szCs w:val="22"/>
                      <w:lang w:eastAsia="zh-CN" w:bidi="ar"/>
                    </w:rPr>
                    <w:t>0.0111</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hint="eastAsia" w:ascii="Times New Roman" w:hAnsi="Times New Roman" w:eastAsia="宋体" w:cs="Times New Roman"/>
                      <w:color w:val="auto"/>
                      <w:sz w:val="22"/>
                      <w:szCs w:val="22"/>
                      <w:lang w:eastAsia="zh-CN" w:bidi="ar"/>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898" w:type="dxa"/>
                  <w:vMerge w:val="continue"/>
                  <w:vAlign w:val="center"/>
                </w:tcPr>
                <w:p>
                  <w:pPr>
                    <w:kinsoku/>
                    <w:jc w:val="center"/>
                    <w:rPr>
                      <w:rFonts w:ascii="Times New Roman" w:hAnsi="Times New Roman" w:eastAsia="宋体" w:cs="Times New Roman"/>
                      <w:color w:val="auto"/>
                      <w:lang w:eastAsia="zh-CN"/>
                    </w:rPr>
                  </w:pPr>
                </w:p>
              </w:tc>
              <w:tc>
                <w:tcPr>
                  <w:tcW w:w="951" w:type="dxa"/>
                  <w:vMerge w:val="continue"/>
                  <w:vAlign w:val="center"/>
                </w:tcPr>
                <w:p>
                  <w:pPr>
                    <w:kinsoku/>
                    <w:jc w:val="center"/>
                    <w:rPr>
                      <w:rFonts w:ascii="Times New Roman" w:hAnsi="Times New Roman" w:eastAsia="宋体" w:cs="Times New Roman"/>
                      <w:color w:val="auto"/>
                      <w:lang w:eastAsia="zh-CN"/>
                    </w:rPr>
                  </w:pPr>
                </w:p>
              </w:tc>
              <w:tc>
                <w:tcPr>
                  <w:tcW w:w="958"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SS</w:t>
                  </w:r>
                </w:p>
              </w:tc>
              <w:tc>
                <w:tcPr>
                  <w:tcW w:w="1094"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165</w:t>
                  </w:r>
                  <w:r>
                    <w:rPr>
                      <w:rFonts w:ascii="Times New Roman" w:hAnsi="Times New Roman" w:eastAsia="宋体" w:cs="Times New Roman"/>
                      <w:color w:val="auto"/>
                      <w:lang w:eastAsia="zh-CN"/>
                    </w:rPr>
                    <w:t>mg/L</w:t>
                  </w:r>
                </w:p>
              </w:tc>
              <w:tc>
                <w:tcPr>
                  <w:tcW w:w="951"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ascii="Times New Roman" w:hAnsi="Times New Roman" w:eastAsia="宋体" w:cs="Times New Roman"/>
                      <w:color w:val="auto"/>
                      <w:sz w:val="22"/>
                      <w:szCs w:val="22"/>
                      <w:lang w:eastAsia="zh-CN" w:bidi="ar"/>
                    </w:rPr>
                    <w:t>0.0976</w:t>
                  </w:r>
                </w:p>
              </w:tc>
              <w:tc>
                <w:tcPr>
                  <w:tcW w:w="896" w:type="dxa"/>
                  <w:vMerge w:val="continue"/>
                  <w:vAlign w:val="center"/>
                </w:tcPr>
                <w:p>
                  <w:pPr>
                    <w:kinsoku/>
                    <w:jc w:val="center"/>
                    <w:rPr>
                      <w:rFonts w:ascii="Times New Roman" w:hAnsi="Times New Roman" w:eastAsia="宋体" w:cs="Times New Roman"/>
                      <w:color w:val="auto"/>
                      <w:lang w:eastAsia="zh-CN"/>
                    </w:rPr>
                  </w:pPr>
                </w:p>
              </w:tc>
              <w:tc>
                <w:tcPr>
                  <w:tcW w:w="1094"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115.5</w:t>
                  </w:r>
                  <w:r>
                    <w:rPr>
                      <w:rFonts w:ascii="Times New Roman" w:hAnsi="Times New Roman" w:eastAsia="宋体" w:cs="Times New Roman"/>
                      <w:color w:val="auto"/>
                      <w:lang w:eastAsia="zh-CN"/>
                    </w:rPr>
                    <w:t>mg/L</w:t>
                  </w:r>
                </w:p>
              </w:tc>
              <w:tc>
                <w:tcPr>
                  <w:tcW w:w="1003"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ascii="Times New Roman" w:hAnsi="Times New Roman" w:eastAsia="宋体" w:cs="Times New Roman"/>
                      <w:color w:val="auto"/>
                      <w:sz w:val="22"/>
                      <w:szCs w:val="22"/>
                      <w:lang w:eastAsia="zh-CN" w:bidi="ar"/>
                    </w:rPr>
                    <w:t>0.0683</w:t>
                  </w:r>
                </w:p>
              </w:tc>
              <w:tc>
                <w:tcPr>
                  <w:tcW w:w="862" w:type="dxa"/>
                  <w:vAlign w:val="center"/>
                </w:tcPr>
                <w:p>
                  <w:pPr>
                    <w:kinsoku/>
                    <w:jc w:val="center"/>
                    <w:textAlignment w:val="center"/>
                    <w:rPr>
                      <w:rFonts w:ascii="Times New Roman" w:hAnsi="Times New Roman" w:eastAsia="宋体" w:cs="Times New Roman"/>
                      <w:color w:val="auto"/>
                      <w:sz w:val="22"/>
                      <w:szCs w:val="22"/>
                      <w:lang w:eastAsia="zh-CN" w:bidi="ar"/>
                    </w:rPr>
                  </w:pPr>
                  <w:r>
                    <w:rPr>
                      <w:rFonts w:hint="eastAsia" w:ascii="Times New Roman" w:hAnsi="Times New Roman" w:eastAsia="宋体" w:cs="Times New Roman"/>
                      <w:color w:val="auto"/>
                      <w:sz w:val="22"/>
                      <w:szCs w:val="22"/>
                      <w:lang w:eastAsia="zh-CN" w:bidi="ar"/>
                    </w:rPr>
                    <w:t>400</w:t>
                  </w:r>
                </w:p>
              </w:tc>
            </w:tr>
          </w:tbl>
          <w:p>
            <w:pPr>
              <w:pStyle w:val="22"/>
              <w:kinsoku/>
              <w:spacing w:before="188" w:line="352" w:lineRule="auto"/>
              <w:ind w:left="107" w:right="101" w:firstLine="481"/>
              <w:rPr>
                <w:rFonts w:hint="eastAsia"/>
                <w:color w:val="auto"/>
                <w:spacing w:val="-2"/>
                <w:lang w:eastAsia="zh-CN"/>
              </w:rPr>
            </w:pPr>
            <w:r>
              <w:rPr>
                <w:color w:val="auto"/>
                <w:spacing w:val="3"/>
                <w:lang w:eastAsia="zh-CN"/>
              </w:rPr>
              <w:t>本项目产生的生活污水主要污染物包括</w:t>
            </w:r>
            <w:r>
              <w:rPr>
                <w:rFonts w:ascii="Times New Roman" w:hAnsi="Times New Roman" w:cs="Times New Roman"/>
                <w:color w:val="auto"/>
                <w:lang w:eastAsia="zh-CN"/>
              </w:rPr>
              <w:t>CODcr、</w:t>
            </w:r>
            <w:r>
              <w:rPr>
                <w:rFonts w:hint="eastAsia" w:ascii="Times New Roman" w:hAnsi="Times New Roman" w:cs="Times New Roman"/>
                <w:color w:val="auto"/>
                <w:lang w:eastAsia="zh-CN"/>
              </w:rPr>
              <w:t>SS、</w:t>
            </w:r>
            <w:r>
              <w:rPr>
                <w:rFonts w:ascii="Times New Roman" w:hAnsi="Times New Roman" w:cs="Times New Roman"/>
                <w:color w:val="auto"/>
                <w:lang w:eastAsia="zh-CN"/>
              </w:rPr>
              <w:t>总氮、BOD</w:t>
            </w:r>
            <w:r>
              <w:rPr>
                <w:rFonts w:ascii="Times New Roman" w:hAnsi="Times New Roman" w:cs="Times New Roman"/>
                <w:color w:val="auto"/>
                <w:vertAlign w:val="subscript"/>
                <w:lang w:eastAsia="zh-CN"/>
              </w:rPr>
              <w:t>5</w:t>
            </w:r>
            <w:r>
              <w:rPr>
                <w:rFonts w:ascii="Times New Roman" w:hAnsi="Times New Roman" w:cs="Times New Roman"/>
                <w:color w:val="auto"/>
                <w:lang w:eastAsia="zh-CN"/>
              </w:rPr>
              <w:t>、NH</w:t>
            </w:r>
            <w:r>
              <w:rPr>
                <w:rFonts w:ascii="Times New Roman" w:hAnsi="Times New Roman" w:cs="Times New Roman"/>
                <w:color w:val="auto"/>
                <w:vertAlign w:val="subscript"/>
                <w:lang w:eastAsia="zh-CN"/>
              </w:rPr>
              <w:t>3</w:t>
            </w:r>
            <w:r>
              <w:rPr>
                <w:rFonts w:ascii="Times New Roman" w:hAnsi="Times New Roman" w:cs="Times New Roman"/>
                <w:color w:val="auto"/>
                <w:lang w:eastAsia="zh-CN"/>
              </w:rPr>
              <w:t>-N、TP、动植物油</w:t>
            </w:r>
            <w:r>
              <w:rPr>
                <w:color w:val="auto"/>
                <w:spacing w:val="3"/>
                <w:lang w:eastAsia="zh-CN"/>
              </w:rPr>
              <w:t>，</w:t>
            </w:r>
            <w:r>
              <w:rPr>
                <w:color w:val="auto"/>
                <w:spacing w:val="4"/>
                <w:lang w:eastAsia="zh-CN"/>
              </w:rPr>
              <w:t>生活污水进入化粪池处理，经化粪池预处</w:t>
            </w:r>
            <w:r>
              <w:rPr>
                <w:color w:val="auto"/>
                <w:spacing w:val="1"/>
                <w:lang w:eastAsia="zh-CN"/>
              </w:rPr>
              <w:t>理后能够达到</w:t>
            </w:r>
            <w:r>
              <w:rPr>
                <w:rFonts w:ascii="Times New Roman" w:hAnsi="Times New Roman" w:cs="Times New Roman"/>
                <w:color w:val="auto"/>
                <w:lang w:eastAsia="zh-CN"/>
              </w:rPr>
              <w:t>《污水综合排放标准》（GB8978-1996）三级标准</w:t>
            </w:r>
            <w:r>
              <w:rPr>
                <w:color w:val="auto"/>
                <w:spacing w:val="1"/>
                <w:lang w:eastAsia="zh-CN"/>
              </w:rPr>
              <w:t>，对嵩明县第二污水处理厂的正常</w:t>
            </w:r>
            <w:r>
              <w:rPr>
                <w:color w:val="auto"/>
                <w:spacing w:val="-2"/>
                <w:lang w:eastAsia="zh-CN"/>
              </w:rPr>
              <w:t>运行影响较小。</w:t>
            </w:r>
          </w:p>
          <w:p>
            <w:pPr>
              <w:pStyle w:val="22"/>
              <w:kinsoku/>
              <w:spacing w:before="180" w:line="360" w:lineRule="auto"/>
              <w:ind w:firstLine="420" w:firstLineChars="182"/>
              <w:rPr>
                <w:rFonts w:hint="eastAsia"/>
                <w:b/>
                <w:bCs/>
                <w:color w:val="auto"/>
                <w:spacing w:val="-5"/>
                <w:lang w:eastAsia="zh-CN"/>
              </w:rPr>
            </w:pPr>
            <w:r>
              <w:rPr>
                <w:rFonts w:hint="eastAsia"/>
                <w:b/>
                <w:bCs/>
                <w:color w:val="auto"/>
                <w:spacing w:val="-5"/>
                <w:lang w:eastAsia="zh-CN"/>
              </w:rPr>
              <w:t>3、废水进入嵩明县第二污水处理厂处理的可行性分析</w:t>
            </w:r>
          </w:p>
          <w:p>
            <w:pPr>
              <w:kinsoku/>
              <w:spacing w:line="360" w:lineRule="auto"/>
              <w:ind w:firstLine="418" w:firstLineChars="17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 xml:space="preserve">（1）项目周边市政管网铺设情况 </w:t>
            </w:r>
          </w:p>
          <w:p>
            <w:pPr>
              <w:kinsoku/>
              <w:spacing w:line="360" w:lineRule="auto"/>
              <w:ind w:firstLine="418" w:firstLineChars="17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 xml:space="preserve">项目位于嵩明杨林工业园区杨林综合片区内，周边市政道路已配套建设市政污水管网。 </w:t>
            </w:r>
          </w:p>
          <w:p>
            <w:pPr>
              <w:kinsoku/>
              <w:spacing w:line="360" w:lineRule="auto"/>
              <w:ind w:firstLine="418" w:firstLineChars="17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（2）嵩明县第二污水处理厂建设情况</w:t>
            </w:r>
          </w:p>
          <w:p>
            <w:pPr>
              <w:kinsoku/>
              <w:spacing w:line="360" w:lineRule="auto"/>
              <w:ind w:firstLine="418" w:firstLineChars="17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嵩明县第二污水处理</w:t>
            </w:r>
            <w:r>
              <w:rPr>
                <w:rFonts w:ascii="Times New Roman" w:hAnsi="Times New Roman" w:eastAsia="宋体" w:cs="Times New Roman"/>
                <w:color w:val="auto"/>
                <w:spacing w:val="3"/>
                <w:sz w:val="24"/>
                <w:szCs w:val="24"/>
                <w:lang w:eastAsia="zh-CN"/>
              </w:rPr>
              <w:t>厂嵩明县第二污水处理厂位于云南嵩明老杨村附近（杨林镇官渡村委会第三村民小组），</w:t>
            </w:r>
            <w:r>
              <w:rPr>
                <w:rFonts w:ascii="Times New Roman" w:hAnsi="Times New Roman" w:eastAsia="宋体" w:cs="Times New Roman"/>
                <w:color w:val="auto"/>
                <w:spacing w:val="1"/>
                <w:sz w:val="24"/>
                <w:szCs w:val="24"/>
                <w:lang w:eastAsia="zh-CN"/>
              </w:rPr>
              <w:t>属于嵩明县第二污水处理厂服务范围内</w:t>
            </w:r>
            <w:r>
              <w:rPr>
                <w:rFonts w:ascii="Times New Roman" w:hAnsi="Times New Roman" w:eastAsia="宋体" w:cs="Times New Roman"/>
                <w:color w:val="auto"/>
                <w:spacing w:val="3"/>
                <w:sz w:val="24"/>
                <w:szCs w:val="24"/>
                <w:lang w:eastAsia="zh-CN"/>
              </w:rPr>
              <w:t>。建设规模为2万m</w:t>
            </w:r>
            <w:r>
              <w:rPr>
                <w:rFonts w:ascii="Times New Roman" w:hAnsi="Times New Roman" w:eastAsia="宋体" w:cs="Times New Roman"/>
                <w:color w:val="auto"/>
                <w:spacing w:val="3"/>
                <w:sz w:val="24"/>
                <w:szCs w:val="24"/>
                <w:vertAlign w:val="superscript"/>
                <w:lang w:eastAsia="zh-CN"/>
              </w:rPr>
              <w:t>3</w:t>
            </w:r>
            <w:r>
              <w:rPr>
                <w:rFonts w:ascii="Times New Roman" w:hAnsi="Times New Roman" w:eastAsia="宋体" w:cs="Times New Roman"/>
                <w:color w:val="auto"/>
                <w:spacing w:val="3"/>
                <w:sz w:val="24"/>
                <w:szCs w:val="24"/>
                <w:lang w:eastAsia="zh-CN"/>
              </w:rPr>
              <w:t>/d，</w:t>
            </w:r>
            <w:r>
              <w:rPr>
                <w:rFonts w:ascii="Times New Roman" w:hAnsi="Times New Roman" w:eastAsia="宋体" w:cs="Times New Roman"/>
                <w:bCs/>
                <w:color w:val="auto"/>
                <w:spacing w:val="3"/>
                <w:sz w:val="24"/>
                <w:szCs w:val="24"/>
                <w:lang w:eastAsia="zh-CN"/>
              </w:rPr>
              <w:t>主要收集杨林镇及工业园区污水。根据全国排污许可证管理信息平台许可信息公开</w:t>
            </w:r>
            <w:r>
              <w:rPr>
                <w:rFonts w:ascii="Times New Roman" w:hAnsi="Times New Roman" w:eastAsia="宋体" w:cs="Times New Roman"/>
                <w:bCs/>
                <w:color w:val="auto"/>
                <w:sz w:val="24"/>
                <w:szCs w:val="24"/>
                <w:shd w:val="clear" w:color="auto" w:fill="FFFFFF"/>
                <w:lang w:eastAsia="zh-CN"/>
              </w:rPr>
              <w:t>嵩明县第二污水处理厂</w:t>
            </w:r>
            <w:r>
              <w:rPr>
                <w:rFonts w:ascii="Times New Roman" w:hAnsi="Times New Roman" w:eastAsia="宋体" w:cs="Times New Roman"/>
                <w:bCs/>
                <w:color w:val="auto"/>
                <w:spacing w:val="3"/>
                <w:sz w:val="24"/>
                <w:szCs w:val="24"/>
                <w:lang w:eastAsia="zh-CN"/>
              </w:rPr>
              <w:t>（运营单位：</w:t>
            </w:r>
            <w:r>
              <w:rPr>
                <w:rFonts w:ascii="Times New Roman" w:hAnsi="Times New Roman" w:eastAsia="宋体" w:cs="Times New Roman"/>
                <w:bCs/>
                <w:color w:val="auto"/>
                <w:sz w:val="24"/>
                <w:szCs w:val="24"/>
                <w:shd w:val="clear" w:color="auto" w:fill="FFFFFF"/>
                <w:lang w:eastAsia="zh-CN"/>
              </w:rPr>
              <w:t>嵩明北控江源水务有限公司</w:t>
            </w:r>
            <w:r>
              <w:rPr>
                <w:rFonts w:ascii="Times New Roman" w:hAnsi="Times New Roman" w:eastAsia="宋体" w:cs="Times New Roman"/>
                <w:bCs/>
                <w:color w:val="auto"/>
                <w:spacing w:val="3"/>
                <w:sz w:val="24"/>
                <w:szCs w:val="24"/>
                <w:lang w:eastAsia="zh-CN"/>
              </w:rPr>
              <w:t>）2024年年度执行报告，2024年总排水量为5619036.61m</w:t>
            </w:r>
            <w:r>
              <w:rPr>
                <w:rFonts w:ascii="Times New Roman" w:hAnsi="Times New Roman" w:eastAsia="宋体" w:cs="Times New Roman"/>
                <w:bCs/>
                <w:color w:val="auto"/>
                <w:spacing w:val="3"/>
                <w:sz w:val="24"/>
                <w:szCs w:val="24"/>
                <w:vertAlign w:val="superscript"/>
                <w:lang w:eastAsia="zh-CN"/>
              </w:rPr>
              <w:t>3</w:t>
            </w:r>
            <w:r>
              <w:rPr>
                <w:rFonts w:ascii="Times New Roman" w:hAnsi="Times New Roman" w:eastAsia="宋体" w:cs="Times New Roman"/>
                <w:bCs/>
                <w:color w:val="auto"/>
                <w:spacing w:val="3"/>
                <w:sz w:val="24"/>
                <w:szCs w:val="24"/>
                <w:lang w:eastAsia="zh-CN"/>
              </w:rPr>
              <w:t>，15394.62m</w:t>
            </w:r>
            <w:r>
              <w:rPr>
                <w:rFonts w:ascii="Times New Roman" w:hAnsi="Times New Roman" w:eastAsia="宋体" w:cs="Times New Roman"/>
                <w:bCs/>
                <w:color w:val="auto"/>
                <w:spacing w:val="3"/>
                <w:sz w:val="24"/>
                <w:szCs w:val="24"/>
                <w:vertAlign w:val="superscript"/>
                <w:lang w:eastAsia="zh-CN"/>
              </w:rPr>
              <w:t>3</w:t>
            </w:r>
            <w:r>
              <w:rPr>
                <w:rFonts w:ascii="Times New Roman" w:hAnsi="Times New Roman" w:eastAsia="宋体" w:cs="Times New Roman"/>
                <w:bCs/>
                <w:color w:val="auto"/>
                <w:spacing w:val="3"/>
                <w:sz w:val="24"/>
                <w:szCs w:val="24"/>
                <w:lang w:eastAsia="zh-CN"/>
              </w:rPr>
              <w:t>/d，剩余处理能力4605.37m</w:t>
            </w:r>
            <w:r>
              <w:rPr>
                <w:rFonts w:ascii="Times New Roman" w:hAnsi="Times New Roman" w:eastAsia="宋体" w:cs="Times New Roman"/>
                <w:bCs/>
                <w:color w:val="auto"/>
                <w:spacing w:val="3"/>
                <w:sz w:val="24"/>
                <w:szCs w:val="24"/>
                <w:vertAlign w:val="superscript"/>
                <w:lang w:eastAsia="zh-CN"/>
              </w:rPr>
              <w:t>3</w:t>
            </w:r>
            <w:r>
              <w:rPr>
                <w:rFonts w:ascii="Times New Roman" w:hAnsi="Times New Roman" w:eastAsia="宋体" w:cs="Times New Roman"/>
                <w:bCs/>
                <w:color w:val="auto"/>
                <w:spacing w:val="3"/>
                <w:sz w:val="24"/>
                <w:szCs w:val="24"/>
                <w:lang w:eastAsia="zh-CN"/>
              </w:rPr>
              <w:t>/d</w:t>
            </w:r>
            <w:r>
              <w:rPr>
                <w:rFonts w:ascii="Times New Roman" w:hAnsi="Times New Roman" w:eastAsia="宋体" w:cs="Times New Roman"/>
                <w:color w:val="auto"/>
                <w:spacing w:val="3"/>
                <w:sz w:val="24"/>
                <w:szCs w:val="24"/>
                <w:lang w:eastAsia="zh-CN"/>
              </w:rPr>
              <w:t>。</w:t>
            </w:r>
            <w:r>
              <w:rPr>
                <w:rFonts w:ascii="Times New Roman" w:hAnsi="Times New Roman" w:eastAsia="宋体" w:cs="Times New Roman"/>
                <w:color w:val="auto"/>
                <w:spacing w:val="1"/>
                <w:sz w:val="24"/>
                <w:szCs w:val="24"/>
                <w:lang w:eastAsia="zh-CN"/>
              </w:rPr>
              <w:t>项目生产过程中不使用水，无生产废水外排，外排废水主要为生活污水，经化粪池处理，处理后可达到</w:t>
            </w:r>
            <w:r>
              <w:rPr>
                <w:rFonts w:hint="eastAsia" w:ascii="Times New Roman" w:hAnsi="Times New Roman" w:eastAsia="宋体" w:cs="Times New Roman"/>
                <w:color w:val="auto"/>
                <w:spacing w:val="1"/>
                <w:sz w:val="24"/>
                <w:szCs w:val="24"/>
                <w:lang w:eastAsia="zh-CN"/>
              </w:rPr>
              <w:t>《污水综合排放标准》（GB8978-1996）</w:t>
            </w:r>
            <w:r>
              <w:rPr>
                <w:rFonts w:hint="eastAsia" w:ascii="Times New Roman" w:hAnsi="Times New Roman" w:eastAsia="宋体" w:cs="Times New Roman"/>
                <w:color w:val="auto"/>
                <w:spacing w:val="1"/>
                <w:sz w:val="24"/>
                <w:szCs w:val="24"/>
                <w:lang w:val="en-US" w:eastAsia="zh-CN"/>
              </w:rPr>
              <w:t>表4</w:t>
            </w:r>
            <w:r>
              <w:rPr>
                <w:rFonts w:hint="eastAsia" w:ascii="Times New Roman" w:hAnsi="Times New Roman" w:eastAsia="宋体" w:cs="Times New Roman"/>
                <w:color w:val="auto"/>
                <w:spacing w:val="1"/>
                <w:sz w:val="24"/>
                <w:szCs w:val="24"/>
                <w:lang w:eastAsia="zh-CN"/>
              </w:rPr>
              <w:t>三级标准</w:t>
            </w:r>
            <w:r>
              <w:rPr>
                <w:rFonts w:ascii="Times New Roman" w:hAnsi="Times New Roman" w:eastAsia="宋体" w:cs="Times New Roman"/>
                <w:color w:val="auto"/>
                <w:spacing w:val="2"/>
                <w:sz w:val="24"/>
                <w:szCs w:val="24"/>
                <w:lang w:eastAsia="zh-CN"/>
              </w:rPr>
              <w:t>。</w:t>
            </w:r>
            <w:r>
              <w:rPr>
                <w:rFonts w:ascii="Times New Roman" w:hAnsi="Times New Roman" w:eastAsia="宋体" w:cs="Times New Roman"/>
                <w:color w:val="auto"/>
                <w:spacing w:val="3"/>
                <w:sz w:val="24"/>
                <w:szCs w:val="24"/>
                <w:lang w:eastAsia="zh-CN"/>
              </w:rPr>
              <w:t>项目运营期生活污水产生量为</w:t>
            </w:r>
            <w:r>
              <w:rPr>
                <w:rFonts w:hint="eastAsia" w:ascii="Times New Roman" w:hAnsi="Times New Roman" w:eastAsia="宋体" w:cs="Times New Roman"/>
                <w:color w:val="auto"/>
                <w:spacing w:val="3"/>
                <w:sz w:val="24"/>
                <w:szCs w:val="24"/>
                <w:lang w:eastAsia="zh-CN"/>
              </w:rPr>
              <w:t>1.79</w:t>
            </w:r>
            <w:r>
              <w:rPr>
                <w:rFonts w:ascii="Times New Roman" w:hAnsi="Times New Roman" w:eastAsia="宋体" w:cs="Times New Roman"/>
                <w:color w:val="auto"/>
                <w:spacing w:val="3"/>
                <w:sz w:val="24"/>
                <w:szCs w:val="24"/>
                <w:lang w:eastAsia="zh-CN"/>
              </w:rPr>
              <w:t>m</w:t>
            </w:r>
            <w:r>
              <w:rPr>
                <w:rFonts w:ascii="Times New Roman" w:hAnsi="Times New Roman" w:eastAsia="宋体" w:cs="Times New Roman"/>
                <w:color w:val="auto"/>
                <w:spacing w:val="3"/>
                <w:sz w:val="24"/>
                <w:szCs w:val="24"/>
                <w:vertAlign w:val="superscript"/>
                <w:lang w:eastAsia="zh-CN"/>
              </w:rPr>
              <w:t>3</w:t>
            </w:r>
            <w:r>
              <w:rPr>
                <w:rFonts w:ascii="Times New Roman" w:hAnsi="Times New Roman" w:eastAsia="宋体" w:cs="Times New Roman"/>
                <w:color w:val="auto"/>
                <w:spacing w:val="3"/>
                <w:sz w:val="24"/>
                <w:szCs w:val="24"/>
                <w:lang w:eastAsia="zh-CN"/>
              </w:rPr>
              <w:t>/d，</w:t>
            </w:r>
            <w:r>
              <w:rPr>
                <w:rFonts w:hint="eastAsia" w:ascii="Times New Roman" w:hAnsi="Times New Roman" w:eastAsia="宋体" w:cs="Times New Roman"/>
                <w:color w:val="auto"/>
                <w:spacing w:val="3"/>
                <w:sz w:val="24"/>
                <w:szCs w:val="24"/>
                <w:lang w:eastAsia="zh-CN"/>
              </w:rPr>
              <w:t>591.4</w:t>
            </w:r>
            <w:r>
              <w:rPr>
                <w:rFonts w:ascii="Times New Roman" w:hAnsi="Times New Roman" w:eastAsia="宋体" w:cs="Times New Roman"/>
                <w:color w:val="auto"/>
                <w:spacing w:val="3"/>
                <w:sz w:val="24"/>
                <w:szCs w:val="24"/>
                <w:lang w:eastAsia="zh-CN"/>
              </w:rPr>
              <w:t>m</w:t>
            </w:r>
            <w:r>
              <w:rPr>
                <w:rFonts w:ascii="Times New Roman" w:hAnsi="Times New Roman" w:eastAsia="宋体" w:cs="Times New Roman"/>
                <w:color w:val="auto"/>
                <w:spacing w:val="3"/>
                <w:sz w:val="24"/>
                <w:szCs w:val="24"/>
                <w:vertAlign w:val="superscript"/>
                <w:lang w:eastAsia="zh-CN"/>
              </w:rPr>
              <w:t>3</w:t>
            </w:r>
            <w:r>
              <w:rPr>
                <w:rFonts w:ascii="Times New Roman" w:hAnsi="Times New Roman" w:eastAsia="宋体" w:cs="Times New Roman"/>
                <w:color w:val="auto"/>
                <w:spacing w:val="3"/>
                <w:sz w:val="24"/>
                <w:szCs w:val="24"/>
                <w:lang w:eastAsia="zh-CN"/>
              </w:rPr>
              <w:t>/a，占污水处理厂处理能力比例较小，不会对污水处理厂的处理水量造成大的</w:t>
            </w:r>
            <w:r>
              <w:rPr>
                <w:rFonts w:hint="eastAsia" w:ascii="宋体" w:hAnsi="宋体" w:eastAsia="宋体" w:cs="宋体"/>
                <w:color w:val="auto"/>
                <w:spacing w:val="3"/>
                <w:sz w:val="24"/>
                <w:szCs w:val="24"/>
                <w:lang w:eastAsia="zh-CN"/>
              </w:rPr>
              <w:t>冲击。因此，从处理规模的角度考虑，项目废水接管进入嵩明县第二污水处理厂处理可行。</w:t>
            </w:r>
          </w:p>
          <w:p>
            <w:pPr>
              <w:pStyle w:val="22"/>
              <w:tabs>
                <w:tab w:val="left" w:pos="8820"/>
              </w:tabs>
              <w:kinsoku/>
              <w:spacing w:before="187" w:line="355" w:lineRule="auto"/>
              <w:ind w:left="116" w:right="2" w:firstLine="481"/>
              <w:rPr>
                <w:rFonts w:ascii="Times New Roman" w:hAnsi="Times New Roman" w:cs="Times New Roman"/>
                <w:color w:val="auto"/>
                <w:spacing w:val="-2"/>
                <w:lang w:eastAsia="zh-CN"/>
              </w:rPr>
            </w:pPr>
            <w:r>
              <w:rPr>
                <w:rFonts w:ascii="Times New Roman" w:hAnsi="Times New Roman" w:cs="Times New Roman"/>
                <w:color w:val="auto"/>
                <w:spacing w:val="1"/>
                <w:lang w:eastAsia="zh-CN"/>
              </w:rPr>
              <w:t>本项目位于</w:t>
            </w:r>
            <w:r>
              <w:rPr>
                <w:rFonts w:hint="eastAsia" w:ascii="Times New Roman" w:hAnsi="Times New Roman" w:cs="Times New Roman"/>
                <w:color w:val="auto"/>
                <w:spacing w:val="1"/>
                <w:lang w:eastAsia="zh-CN"/>
              </w:rPr>
              <w:t>云南省昆明市</w:t>
            </w:r>
            <w:r>
              <w:rPr>
                <w:rFonts w:ascii="Times New Roman" w:hAnsi="Times New Roman" w:cs="Times New Roman"/>
                <w:color w:val="auto"/>
                <w:spacing w:val="1"/>
                <w:lang w:eastAsia="zh-CN"/>
              </w:rPr>
              <w:t>嵩明县杨林经开区东环路东侧，景观大道北侧，属于嵩明县第二污水处理厂服务范围内。项目生产过程中不使用水，无生产废水外排，生活污水进入化粪池（10m</w:t>
            </w:r>
            <w:r>
              <w:rPr>
                <w:rFonts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）处理，处理达到</w:t>
            </w:r>
            <w:r>
              <w:rPr>
                <w:rFonts w:hint="eastAsia" w:ascii="Times New Roman" w:hAnsi="Times New Roman" w:cs="Times New Roman"/>
                <w:color w:val="auto"/>
                <w:lang w:eastAsia="zh-CN"/>
              </w:rPr>
              <w:t>《污水综合排放标准》（GB8978-1996）表4三级标准后</w:t>
            </w:r>
            <w:r>
              <w:rPr>
                <w:rFonts w:ascii="Times New Roman" w:hAnsi="Times New Roman" w:cs="Times New Roman"/>
                <w:color w:val="auto"/>
                <w:spacing w:val="2"/>
                <w:lang w:eastAsia="zh-CN"/>
              </w:rPr>
              <w:t>接</w:t>
            </w:r>
            <w:r>
              <w:rPr>
                <w:rFonts w:ascii="Times New Roman" w:hAnsi="Times New Roman" w:cs="Times New Roman"/>
                <w:color w:val="auto"/>
                <w:spacing w:val="1"/>
                <w:lang w:eastAsia="zh-CN"/>
              </w:rPr>
              <w:t>入杨林工业园区污水管网，最终进入嵩明县第二污水</w:t>
            </w:r>
            <w:r>
              <w:rPr>
                <w:rFonts w:ascii="Times New Roman" w:hAnsi="Times New Roman" w:cs="Times New Roman"/>
                <w:color w:val="auto"/>
                <w:spacing w:val="-2"/>
                <w:lang w:eastAsia="zh-CN"/>
              </w:rPr>
              <w:t>处理厂处理。</w:t>
            </w:r>
          </w:p>
          <w:p>
            <w:pPr>
              <w:pStyle w:val="22"/>
              <w:tabs>
                <w:tab w:val="left" w:pos="8820"/>
              </w:tabs>
              <w:spacing w:before="187" w:line="355" w:lineRule="auto"/>
              <w:ind w:left="116" w:right="2" w:firstLine="481"/>
              <w:rPr>
                <w:rFonts w:hint="eastAsia"/>
                <w:color w:val="auto"/>
                <w:spacing w:val="3"/>
                <w:lang w:eastAsia="zh-CN"/>
              </w:rPr>
            </w:pPr>
            <w:r>
              <w:rPr>
                <w:rFonts w:ascii="Times New Roman" w:hAnsi="Times New Roman" w:cs="Times New Roman"/>
                <w:color w:val="auto"/>
                <w:spacing w:val="1"/>
                <w:lang w:eastAsia="zh-CN"/>
              </w:rPr>
              <w:t>因此项目生活污水处理达标后接管进入杨林工业园区污水管网，最终</w:t>
            </w:r>
            <w:r>
              <w:rPr>
                <w:rFonts w:ascii="Times New Roman" w:hAnsi="Times New Roman" w:cs="Times New Roman"/>
                <w:color w:val="auto"/>
                <w:lang w:eastAsia="zh-CN"/>
              </w:rPr>
              <w:t>进入嵩明</w:t>
            </w:r>
            <w:r>
              <w:rPr>
                <w:rFonts w:ascii="Times New Roman" w:hAnsi="Times New Roman" w:cs="Times New Roman"/>
                <w:color w:val="auto"/>
                <w:spacing w:val="-1"/>
                <w:lang w:eastAsia="zh-CN"/>
              </w:rPr>
              <w:t>县第二污水处理厂集中处理可行。</w:t>
            </w:r>
          </w:p>
          <w:p>
            <w:pPr>
              <w:kinsoku/>
              <w:spacing w:line="360" w:lineRule="auto"/>
              <w:ind w:firstLine="481"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4</w:t>
            </w:r>
            <w:r>
              <w:rPr>
                <w:rFonts w:ascii="Times New Roman" w:hAnsi="Times New Roman" w:eastAsia="宋体" w:cs="Times New Roman"/>
                <w:b/>
                <w:color w:val="auto"/>
                <w:sz w:val="24"/>
                <w:lang w:eastAsia="zh-CN"/>
              </w:rPr>
              <w:t>、废水环境影响结论</w:t>
            </w:r>
          </w:p>
          <w:p>
            <w:pPr>
              <w:kinsoku/>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项目无生产废水产生，生活污水仅为洗漱及冲厕用使用，污染物浓度不高，</w:t>
            </w:r>
            <w:r>
              <w:rPr>
                <w:rFonts w:ascii="Times New Roman" w:hAnsi="Times New Roman" w:eastAsia="宋体" w:cs="Times New Roman"/>
                <w:color w:val="auto"/>
                <w:sz w:val="24"/>
                <w:szCs w:val="24"/>
                <w:lang w:eastAsia="zh-CN"/>
              </w:rPr>
              <w:t>项目生活污水进入化粪池处理后排入污水市政管网，最终进入嵩明县第二污水处理厂，</w:t>
            </w:r>
            <w:r>
              <w:rPr>
                <w:rFonts w:hint="eastAsia" w:ascii="Times New Roman" w:hAnsi="Times New Roman" w:eastAsia="宋体" w:cs="Times New Roman"/>
                <w:color w:val="auto"/>
                <w:sz w:val="24"/>
                <w:szCs w:val="24"/>
                <w:lang w:eastAsia="zh-CN"/>
              </w:rPr>
              <w:t>不设置生活污水单独排放口，故不进行监测，废水纳入嵩明县第二污水处理厂考核，</w:t>
            </w:r>
            <w:r>
              <w:rPr>
                <w:rFonts w:ascii="Times New Roman" w:hAnsi="Times New Roman" w:eastAsia="宋体" w:cs="Times New Roman"/>
                <w:color w:val="auto"/>
                <w:sz w:val="24"/>
                <w:lang w:eastAsia="zh-CN"/>
              </w:rPr>
              <w:t>对地表水环境影响较小。</w:t>
            </w:r>
          </w:p>
          <w:p>
            <w:pPr>
              <w:pStyle w:val="22"/>
              <w:kinsoku/>
              <w:spacing w:before="180" w:line="360" w:lineRule="auto"/>
              <w:ind w:firstLine="497" w:firstLineChars="200"/>
              <w:rPr>
                <w:rFonts w:ascii="Times New Roman" w:hAnsi="Times New Roman" w:cs="Times New Roman"/>
                <w:b/>
                <w:bCs/>
                <w:color w:val="auto"/>
                <w:spacing w:val="4"/>
                <w:lang w:eastAsia="zh-CN"/>
              </w:rPr>
            </w:pPr>
            <w:r>
              <w:rPr>
                <w:rFonts w:hint="eastAsia" w:ascii="Times New Roman" w:hAnsi="Times New Roman" w:cs="Times New Roman"/>
                <w:b/>
                <w:bCs/>
                <w:color w:val="auto"/>
                <w:spacing w:val="4"/>
                <w:lang w:eastAsia="zh-CN"/>
              </w:rPr>
              <w:t>三</w:t>
            </w:r>
            <w:r>
              <w:rPr>
                <w:rFonts w:ascii="Times New Roman" w:hAnsi="Times New Roman" w:cs="Times New Roman"/>
                <w:b/>
                <w:bCs/>
                <w:color w:val="auto"/>
                <w:spacing w:val="4"/>
                <w:lang w:eastAsia="zh-CN"/>
              </w:rPr>
              <w:t>、声环境影响分析</w:t>
            </w:r>
          </w:p>
          <w:p>
            <w:pPr>
              <w:kinsoku/>
              <w:spacing w:line="360" w:lineRule="auto"/>
              <w:ind w:firstLine="480" w:firstLineChars="200"/>
              <w:rPr>
                <w:b/>
                <w:color w:val="auto"/>
                <w:sz w:val="24"/>
                <w:lang w:eastAsia="zh-CN"/>
              </w:rPr>
            </w:pPr>
            <w:r>
              <w:rPr>
                <w:rFonts w:hint="eastAsia"/>
                <w:b/>
                <w:color w:val="auto"/>
                <w:sz w:val="24"/>
                <w:lang w:eastAsia="zh-CN"/>
              </w:rPr>
              <w:t>1、项目噪声源调查</w:t>
            </w:r>
          </w:p>
          <w:p>
            <w:pPr>
              <w:pStyle w:val="22"/>
              <w:kinsoku/>
              <w:spacing w:before="180" w:line="360" w:lineRule="auto"/>
              <w:ind w:firstLine="496" w:firstLineChars="200"/>
              <w:rPr>
                <w:rFonts w:hint="eastAsia"/>
                <w:color w:val="auto"/>
                <w:spacing w:val="-6"/>
                <w:lang w:eastAsia="zh-CN"/>
              </w:rPr>
            </w:pPr>
            <w:r>
              <w:rPr>
                <w:rFonts w:ascii="Times New Roman" w:hAnsi="Times New Roman" w:cs="Times New Roman"/>
                <w:color w:val="auto"/>
                <w:spacing w:val="4"/>
                <w:lang w:eastAsia="zh-CN"/>
              </w:rPr>
              <w:t>项目噪声主要为机械设备噪声，如</w:t>
            </w:r>
            <w:r>
              <w:rPr>
                <w:rFonts w:hint="eastAsia" w:ascii="Times New Roman" w:hAnsi="Times New Roman" w:cs="Times New Roman"/>
                <w:color w:val="auto"/>
                <w:spacing w:val="4"/>
                <w:lang w:eastAsia="zh-CN"/>
              </w:rPr>
              <w:t>钻孔机、封边机、空压机</w:t>
            </w:r>
            <w:r>
              <w:rPr>
                <w:rFonts w:ascii="Times New Roman" w:hAnsi="Times New Roman" w:cs="Times New Roman"/>
                <w:color w:val="auto"/>
                <w:spacing w:val="4"/>
                <w:lang w:eastAsia="zh-CN"/>
              </w:rPr>
              <w:t>等，噪声源强在</w:t>
            </w:r>
            <w:r>
              <w:rPr>
                <w:rFonts w:hint="eastAsia" w:ascii="Times New Roman" w:hAnsi="Times New Roman" w:cs="Times New Roman"/>
                <w:color w:val="auto"/>
                <w:spacing w:val="4"/>
                <w:lang w:eastAsia="zh-CN"/>
              </w:rPr>
              <w:t>80</w:t>
            </w:r>
            <w:r>
              <w:rPr>
                <w:rFonts w:ascii="Times New Roman" w:hAnsi="Times New Roman" w:cs="Times New Roman"/>
                <w:color w:val="auto"/>
                <w:spacing w:val="4"/>
                <w:lang w:eastAsia="zh-CN"/>
              </w:rPr>
              <w:t>~9</w:t>
            </w:r>
            <w:r>
              <w:rPr>
                <w:rFonts w:hint="eastAsia" w:ascii="Times New Roman" w:hAnsi="Times New Roman" w:cs="Times New Roman"/>
                <w:color w:val="auto"/>
                <w:spacing w:val="4"/>
                <w:lang w:eastAsia="zh-CN"/>
              </w:rPr>
              <w:t>0</w:t>
            </w:r>
            <w:r>
              <w:rPr>
                <w:rFonts w:ascii="Times New Roman" w:hAnsi="Times New Roman" w:cs="Times New Roman"/>
                <w:color w:val="auto"/>
                <w:spacing w:val="4"/>
                <w:lang w:eastAsia="zh-CN"/>
              </w:rPr>
              <w:t>dB（A）。</w:t>
            </w:r>
            <w:r>
              <w:rPr>
                <w:rFonts w:ascii="Times New Roman" w:hAnsi="Times New Roman" w:cs="Times New Roman"/>
                <w:color w:val="auto"/>
                <w:lang w:eastAsia="zh-CN"/>
              </w:rPr>
              <w:t>项目噪声预测原点坐标：103°2′32.521″</w:t>
            </w:r>
            <w:r>
              <w:rPr>
                <w:rFonts w:hint="eastAsia" w:ascii="Times New Roman" w:hAnsi="Times New Roman" w:cs="Times New Roman"/>
                <w:color w:val="auto"/>
                <w:lang w:eastAsia="zh-CN"/>
              </w:rPr>
              <w:t>E，</w:t>
            </w:r>
            <w:r>
              <w:rPr>
                <w:rFonts w:ascii="Times New Roman" w:hAnsi="Times New Roman" w:cs="Times New Roman"/>
                <w:color w:val="auto"/>
                <w:lang w:eastAsia="zh-CN"/>
              </w:rPr>
              <w:t>25°14′44.690″</w:t>
            </w:r>
            <w:r>
              <w:rPr>
                <w:rFonts w:hint="eastAsia" w:ascii="Times New Roman" w:hAnsi="Times New Roman" w:cs="Times New Roman"/>
                <w:color w:val="auto"/>
                <w:lang w:eastAsia="zh-CN"/>
              </w:rPr>
              <w:t>N。</w:t>
            </w:r>
            <w:r>
              <w:rPr>
                <w:rFonts w:ascii="Times New Roman" w:hAnsi="Times New Roman" w:cs="Times New Roman"/>
                <w:color w:val="auto"/>
                <w:spacing w:val="4"/>
                <w:lang w:eastAsia="zh-CN"/>
              </w:rPr>
              <w:t>项目噪声设备采用消声、吸声、隔声等措施后，其噪声源强可削减</w:t>
            </w:r>
            <w:r>
              <w:rPr>
                <w:rFonts w:hint="eastAsia" w:ascii="Times New Roman" w:hAnsi="Times New Roman" w:cs="Times New Roman"/>
                <w:color w:val="auto"/>
                <w:spacing w:val="4"/>
                <w:lang w:eastAsia="zh-CN"/>
              </w:rPr>
              <w:t>10-20</w:t>
            </w:r>
            <w:r>
              <w:rPr>
                <w:rFonts w:ascii="Times New Roman" w:hAnsi="Times New Roman" w:cs="Times New Roman"/>
                <w:color w:val="auto"/>
                <w:spacing w:val="4"/>
                <w:lang w:eastAsia="zh-CN"/>
              </w:rPr>
              <w:t>dB（A）。</w:t>
            </w:r>
          </w:p>
        </w:tc>
      </w:tr>
    </w:tbl>
    <w:p>
      <w:pPr>
        <w:pStyle w:val="8"/>
        <w:kinsoku/>
        <w:rPr>
          <w:color w:val="auto"/>
          <w:lang w:eastAsia="zh-CN"/>
        </w:rPr>
        <w:sectPr>
          <w:footerReference r:id="rId6" w:type="default"/>
          <w:pgSz w:w="11907" w:h="16840"/>
          <w:pgMar w:top="1404" w:right="1341" w:bottom="1014" w:left="1341" w:header="0" w:footer="852" w:gutter="0"/>
          <w:cols w:space="720" w:num="1"/>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8" w:type="dxa"/>
          </w:tcPr>
          <w:p>
            <w:pPr>
              <w:pStyle w:val="22"/>
              <w:widowControl w:val="0"/>
              <w:kinsoku/>
              <w:spacing w:before="37" w:line="228" w:lineRule="auto"/>
              <w:jc w:val="center"/>
              <w:rPr>
                <w:rFonts w:ascii="Times New Roman" w:hAnsi="Times New Roman" w:cs="Times New Roman"/>
                <w:b/>
                <w:bCs/>
                <w:color w:val="auto"/>
                <w:spacing w:val="5"/>
                <w:sz w:val="20"/>
                <w:szCs w:val="20"/>
                <w:lang w:eastAsia="zh-CN"/>
              </w:rPr>
            </w:pPr>
            <w:r>
              <w:rPr>
                <w:rFonts w:ascii="Times New Roman" w:hAnsi="Times New Roman" w:cs="Times New Roman"/>
                <w:b/>
                <w:bCs/>
                <w:color w:val="auto"/>
                <w:spacing w:val="5"/>
                <w:sz w:val="20"/>
                <w:szCs w:val="20"/>
                <w:lang w:eastAsia="zh-CN"/>
              </w:rPr>
              <w:t>表4-1</w:t>
            </w:r>
            <w:r>
              <w:rPr>
                <w:rFonts w:hint="eastAsia" w:ascii="Times New Roman" w:hAnsi="Times New Roman" w:cs="Times New Roman"/>
                <w:b/>
                <w:bCs/>
                <w:color w:val="auto"/>
                <w:spacing w:val="5"/>
                <w:sz w:val="20"/>
                <w:szCs w:val="20"/>
                <w:lang w:eastAsia="zh-CN"/>
              </w:rPr>
              <w:t>2</w:t>
            </w:r>
            <w:r>
              <w:rPr>
                <w:rFonts w:ascii="Times New Roman" w:hAnsi="Times New Roman" w:cs="Times New Roman"/>
                <w:b/>
                <w:bCs/>
                <w:color w:val="auto"/>
                <w:spacing w:val="5"/>
                <w:sz w:val="20"/>
                <w:szCs w:val="20"/>
                <w:lang w:eastAsia="zh-CN"/>
              </w:rPr>
              <w:t>室内噪声源强及排放情况一览表</w:t>
            </w:r>
          </w:p>
          <w:tbl>
            <w:tblPr>
              <w:tblStyle w:val="17"/>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426"/>
              <w:gridCol w:w="1246"/>
              <w:gridCol w:w="1278"/>
              <w:gridCol w:w="788"/>
              <w:gridCol w:w="1191"/>
              <w:gridCol w:w="466"/>
              <w:gridCol w:w="501"/>
              <w:gridCol w:w="507"/>
              <w:gridCol w:w="426"/>
              <w:gridCol w:w="426"/>
              <w:gridCol w:w="426"/>
              <w:gridCol w:w="457"/>
              <w:gridCol w:w="426"/>
              <w:gridCol w:w="426"/>
              <w:gridCol w:w="426"/>
              <w:gridCol w:w="458"/>
              <w:gridCol w:w="633"/>
              <w:gridCol w:w="894"/>
              <w:gridCol w:w="517"/>
              <w:gridCol w:w="426"/>
              <w:gridCol w:w="426"/>
              <w:gridCol w:w="45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55" w:type="pct"/>
                  <w:vMerge w:val="restart"/>
                  <w:vAlign w:val="center"/>
                </w:tcPr>
                <w:p>
                  <w:pPr>
                    <w:widowControl w:val="0"/>
                    <w:kinsoku/>
                    <w:jc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序号</w:t>
                  </w:r>
                </w:p>
              </w:tc>
              <w:tc>
                <w:tcPr>
                  <w:tcW w:w="145"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建筑物名称</w:t>
                  </w:r>
                </w:p>
              </w:tc>
              <w:tc>
                <w:tcPr>
                  <w:tcW w:w="427"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声源名称</w:t>
                  </w:r>
                </w:p>
              </w:tc>
              <w:tc>
                <w:tcPr>
                  <w:tcW w:w="437"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型号</w:t>
                  </w:r>
                </w:p>
              </w:tc>
              <w:tc>
                <w:tcPr>
                  <w:tcW w:w="269"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声功率级/dB（A）</w:t>
                  </w:r>
                </w:p>
              </w:tc>
              <w:tc>
                <w:tcPr>
                  <w:tcW w:w="408"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声源控</w:t>
                  </w:r>
                  <w:r>
                    <w:rPr>
                      <w:rFonts w:hint="eastAsia" w:ascii="Times New Roman" w:hAnsi="Times New Roman" w:eastAsia="宋体" w:cs="Times New Roman"/>
                      <w:color w:val="auto"/>
                      <w:lang w:eastAsia="zh-CN"/>
                    </w:rPr>
                    <w:t>制措施</w:t>
                  </w:r>
                </w:p>
              </w:tc>
              <w:tc>
                <w:tcPr>
                  <w:tcW w:w="506" w:type="pct"/>
                  <w:gridSpan w:val="3"/>
                  <w:vMerge w:val="restar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空间相对位置/m</w:t>
                  </w:r>
                </w:p>
              </w:tc>
              <w:tc>
                <w:tcPr>
                  <w:tcW w:w="592" w:type="pct"/>
                  <w:gridSpan w:val="4"/>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距室内边界距离/m</w:t>
                  </w:r>
                </w:p>
              </w:tc>
              <w:tc>
                <w:tcPr>
                  <w:tcW w:w="592" w:type="pct"/>
                  <w:gridSpan w:val="4"/>
                  <w:vMerge w:val="restar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室内边界声级/dB</w:t>
                  </w:r>
                </w:p>
              </w:tc>
              <w:tc>
                <w:tcPr>
                  <w:tcW w:w="217"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运行时段</w:t>
                  </w:r>
                </w:p>
              </w:tc>
              <w:tc>
                <w:tcPr>
                  <w:tcW w:w="306"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建筑物插入损失dB（A）</w:t>
                  </w:r>
                </w:p>
              </w:tc>
              <w:tc>
                <w:tcPr>
                  <w:tcW w:w="939" w:type="pct"/>
                  <w:gridSpan w:val="5"/>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55" w:type="pct"/>
                  <w:vMerge w:val="continue"/>
                  <w:vAlign w:val="center"/>
                </w:tcPr>
                <w:p>
                  <w:pPr>
                    <w:widowControl w:val="0"/>
                    <w:kinsoku/>
                    <w:jc w:val="center"/>
                    <w:rPr>
                      <w:rFonts w:ascii="Times New Roman" w:hAnsi="Times New Roman" w:eastAsia="宋体" w:cs="Times New Roman"/>
                      <w:color w:val="auto"/>
                      <w:sz w:val="20"/>
                      <w:szCs w:val="20"/>
                    </w:rPr>
                  </w:pP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vMerge w:val="continue"/>
                  <w:vAlign w:val="center"/>
                </w:tcPr>
                <w:p>
                  <w:pPr>
                    <w:widowControl w:val="0"/>
                    <w:kinsoku/>
                    <w:jc w:val="center"/>
                    <w:rPr>
                      <w:rFonts w:ascii="Times New Roman" w:hAnsi="Times New Roman" w:eastAsia="宋体" w:cs="Times New Roman"/>
                      <w:color w:val="auto"/>
                    </w:rPr>
                  </w:pPr>
                </w:p>
              </w:tc>
              <w:tc>
                <w:tcPr>
                  <w:tcW w:w="437" w:type="pct"/>
                  <w:vMerge w:val="continue"/>
                  <w:vAlign w:val="center"/>
                </w:tcPr>
                <w:p>
                  <w:pPr>
                    <w:widowControl w:val="0"/>
                    <w:kinsoku/>
                    <w:jc w:val="center"/>
                    <w:rPr>
                      <w:rFonts w:ascii="Times New Roman" w:hAnsi="Times New Roman" w:eastAsia="宋体" w:cs="Times New Roman"/>
                      <w:color w:val="auto"/>
                    </w:rPr>
                  </w:pPr>
                </w:p>
              </w:tc>
              <w:tc>
                <w:tcPr>
                  <w:tcW w:w="269" w:type="pct"/>
                  <w:vMerge w:val="continue"/>
                  <w:vAlign w:val="center"/>
                </w:tcPr>
                <w:p>
                  <w:pPr>
                    <w:widowControl w:val="0"/>
                    <w:kinsoku/>
                    <w:jc w:val="center"/>
                    <w:rPr>
                      <w:rFonts w:ascii="Times New Roman" w:hAnsi="Times New Roman" w:eastAsia="宋体" w:cs="Times New Roman"/>
                      <w:color w:val="auto"/>
                    </w:rPr>
                  </w:pPr>
                </w:p>
              </w:tc>
              <w:tc>
                <w:tcPr>
                  <w:tcW w:w="408" w:type="pct"/>
                  <w:vMerge w:val="continue"/>
                  <w:vAlign w:val="center"/>
                </w:tcPr>
                <w:p>
                  <w:pPr>
                    <w:widowControl w:val="0"/>
                    <w:kinsoku/>
                    <w:jc w:val="center"/>
                    <w:rPr>
                      <w:rFonts w:ascii="Times New Roman" w:hAnsi="Times New Roman" w:eastAsia="宋体" w:cs="Times New Roman"/>
                      <w:color w:val="auto"/>
                    </w:rPr>
                  </w:pPr>
                </w:p>
              </w:tc>
              <w:tc>
                <w:tcPr>
                  <w:tcW w:w="506" w:type="pct"/>
                  <w:gridSpan w:val="3"/>
                  <w:vMerge w:val="continue"/>
                  <w:shd w:val="clear" w:color="auto" w:fill="auto"/>
                  <w:vAlign w:val="center"/>
                </w:tcPr>
                <w:p>
                  <w:pPr>
                    <w:widowControl w:val="0"/>
                    <w:kinsoku/>
                    <w:jc w:val="center"/>
                    <w:rPr>
                      <w:rFonts w:ascii="Times New Roman" w:hAnsi="Times New Roman" w:eastAsia="宋体" w:cs="Times New Roman"/>
                      <w:color w:val="auto"/>
                      <w:kern w:val="2"/>
                      <w:szCs w:val="24"/>
                      <w:lang w:eastAsia="zh-CN"/>
                    </w:rPr>
                  </w:pPr>
                </w:p>
              </w:tc>
              <w:tc>
                <w:tcPr>
                  <w:tcW w:w="592" w:type="pct"/>
                  <w:gridSpan w:val="4"/>
                  <w:vMerge w:val="continue"/>
                  <w:vAlign w:val="center"/>
                </w:tcPr>
                <w:p>
                  <w:pPr>
                    <w:widowControl w:val="0"/>
                    <w:kinsoku/>
                    <w:jc w:val="center"/>
                    <w:rPr>
                      <w:rFonts w:ascii="Times New Roman" w:hAnsi="Times New Roman" w:eastAsia="宋体" w:cs="Times New Roman"/>
                      <w:color w:val="auto"/>
                      <w:lang w:eastAsia="zh-CN"/>
                    </w:rPr>
                  </w:pPr>
                </w:p>
              </w:tc>
              <w:tc>
                <w:tcPr>
                  <w:tcW w:w="592" w:type="pct"/>
                  <w:gridSpan w:val="4"/>
                  <w:vMerge w:val="continue"/>
                  <w:vAlign w:val="center"/>
                </w:tcPr>
                <w:p>
                  <w:pPr>
                    <w:widowControl w:val="0"/>
                    <w:kinsoku/>
                    <w:jc w:val="center"/>
                    <w:rPr>
                      <w:rFonts w:ascii="Times New Roman" w:hAnsi="Times New Roman" w:eastAsia="宋体" w:cs="Times New Roman"/>
                      <w:color w:val="auto"/>
                    </w:rPr>
                  </w:pPr>
                </w:p>
              </w:tc>
              <w:tc>
                <w:tcPr>
                  <w:tcW w:w="217" w:type="pct"/>
                  <w:vMerge w:val="continue"/>
                  <w:vAlign w:val="center"/>
                </w:tcPr>
                <w:p>
                  <w:pPr>
                    <w:widowControl w:val="0"/>
                    <w:kinsoku/>
                    <w:jc w:val="center"/>
                    <w:rPr>
                      <w:rFonts w:ascii="Times New Roman" w:hAnsi="Times New Roman" w:eastAsia="宋体" w:cs="Times New Roman"/>
                      <w:color w:val="auto"/>
                    </w:rPr>
                  </w:pPr>
                </w:p>
              </w:tc>
              <w:tc>
                <w:tcPr>
                  <w:tcW w:w="306" w:type="pct"/>
                  <w:vMerge w:val="continue"/>
                  <w:vAlign w:val="center"/>
                </w:tcPr>
                <w:p>
                  <w:pPr>
                    <w:widowControl w:val="0"/>
                    <w:kinsoku/>
                    <w:jc w:val="center"/>
                    <w:rPr>
                      <w:rFonts w:ascii="Times New Roman" w:hAnsi="Times New Roman" w:eastAsia="宋体" w:cs="Times New Roman"/>
                      <w:color w:val="auto"/>
                    </w:rPr>
                  </w:pPr>
                </w:p>
              </w:tc>
              <w:tc>
                <w:tcPr>
                  <w:tcW w:w="623" w:type="pct"/>
                  <w:gridSpan w:val="4"/>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声压级dB（A）</w:t>
                  </w:r>
                </w:p>
              </w:tc>
              <w:tc>
                <w:tcPr>
                  <w:tcW w:w="316"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5" w:type="pct"/>
                  <w:vMerge w:val="continue"/>
                  <w:vAlign w:val="center"/>
                </w:tcPr>
                <w:p>
                  <w:pPr>
                    <w:widowControl w:val="0"/>
                    <w:kinsoku/>
                    <w:jc w:val="center"/>
                    <w:rPr>
                      <w:rFonts w:ascii="Times New Roman" w:hAnsi="Times New Roman" w:eastAsia="宋体" w:cs="Times New Roman"/>
                      <w:color w:val="auto"/>
                      <w:sz w:val="20"/>
                      <w:szCs w:val="20"/>
                    </w:rPr>
                  </w:pP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vMerge w:val="continue"/>
                  <w:vAlign w:val="center"/>
                </w:tcPr>
                <w:p>
                  <w:pPr>
                    <w:widowControl w:val="0"/>
                    <w:kinsoku/>
                    <w:jc w:val="center"/>
                    <w:rPr>
                      <w:rFonts w:ascii="Times New Roman" w:hAnsi="Times New Roman" w:eastAsia="宋体" w:cs="Times New Roman"/>
                      <w:color w:val="auto"/>
                    </w:rPr>
                  </w:pPr>
                </w:p>
              </w:tc>
              <w:tc>
                <w:tcPr>
                  <w:tcW w:w="437" w:type="pct"/>
                  <w:vMerge w:val="continue"/>
                  <w:vAlign w:val="center"/>
                </w:tcPr>
                <w:p>
                  <w:pPr>
                    <w:widowControl w:val="0"/>
                    <w:kinsoku/>
                    <w:jc w:val="center"/>
                    <w:rPr>
                      <w:rFonts w:ascii="Times New Roman" w:hAnsi="Times New Roman" w:eastAsia="宋体" w:cs="Times New Roman"/>
                      <w:color w:val="auto"/>
                    </w:rPr>
                  </w:pPr>
                </w:p>
              </w:tc>
              <w:tc>
                <w:tcPr>
                  <w:tcW w:w="269" w:type="pct"/>
                  <w:vMerge w:val="continue"/>
                  <w:vAlign w:val="center"/>
                </w:tcPr>
                <w:p>
                  <w:pPr>
                    <w:widowControl w:val="0"/>
                    <w:kinsoku/>
                    <w:jc w:val="center"/>
                    <w:rPr>
                      <w:rFonts w:ascii="Times New Roman" w:hAnsi="Times New Roman" w:eastAsia="宋体" w:cs="Times New Roman"/>
                      <w:color w:val="auto"/>
                    </w:rPr>
                  </w:pP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X</w:t>
                  </w:r>
                </w:p>
              </w:tc>
              <w:tc>
                <w:tcPr>
                  <w:tcW w:w="172" w:type="pc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Y</w:t>
                  </w:r>
                </w:p>
              </w:tc>
              <w:tc>
                <w:tcPr>
                  <w:tcW w:w="172" w:type="pc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Z</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南</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西</w:t>
                  </w:r>
                </w:p>
              </w:tc>
              <w:tc>
                <w:tcPr>
                  <w:tcW w:w="15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北</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南</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西</w:t>
                  </w:r>
                </w:p>
              </w:tc>
              <w:tc>
                <w:tcPr>
                  <w:tcW w:w="154"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北</w:t>
                  </w:r>
                </w:p>
              </w:tc>
              <w:tc>
                <w:tcPr>
                  <w:tcW w:w="217" w:type="pct"/>
                  <w:vMerge w:val="continue"/>
                  <w:vAlign w:val="center"/>
                </w:tcPr>
                <w:p>
                  <w:pPr>
                    <w:widowControl w:val="0"/>
                    <w:kinsoku/>
                    <w:jc w:val="center"/>
                    <w:rPr>
                      <w:rFonts w:ascii="Times New Roman" w:hAnsi="Times New Roman" w:eastAsia="宋体" w:cs="Times New Roman"/>
                      <w:color w:val="auto"/>
                    </w:rPr>
                  </w:pPr>
                </w:p>
              </w:tc>
              <w:tc>
                <w:tcPr>
                  <w:tcW w:w="306" w:type="pct"/>
                  <w:vMerge w:val="continue"/>
                  <w:vAlign w:val="center"/>
                </w:tcPr>
                <w:p>
                  <w:pPr>
                    <w:widowControl w:val="0"/>
                    <w:kinsoku/>
                    <w:jc w:val="center"/>
                    <w:rPr>
                      <w:rFonts w:ascii="Times New Roman" w:hAnsi="Times New Roman" w:eastAsia="宋体" w:cs="Times New Roman"/>
                      <w:color w:val="auto"/>
                    </w:rPr>
                  </w:pPr>
                </w:p>
              </w:tc>
              <w:tc>
                <w:tcPr>
                  <w:tcW w:w="177"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南</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西</w:t>
                  </w:r>
                </w:p>
              </w:tc>
              <w:tc>
                <w:tcPr>
                  <w:tcW w:w="153"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北</w:t>
                  </w:r>
                </w:p>
              </w:tc>
              <w:tc>
                <w:tcPr>
                  <w:tcW w:w="316" w:type="pct"/>
                  <w:vMerge w:val="continue"/>
                  <w:vAlign w:val="center"/>
                </w:tcPr>
                <w:p>
                  <w:pPr>
                    <w:widowControl w:val="0"/>
                    <w:kinsoku/>
                    <w:jc w:val="center"/>
                    <w:rPr>
                      <w:rFonts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1</w:t>
                  </w:r>
                </w:p>
              </w:tc>
              <w:tc>
                <w:tcPr>
                  <w:tcW w:w="145"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生产车间</w:t>
                  </w: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德玛克智能装备</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GB12257</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85</w:t>
                  </w:r>
                </w:p>
              </w:tc>
              <w:tc>
                <w:tcPr>
                  <w:tcW w:w="408" w:type="pct"/>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设备基础减振、加固、合理布局、风机安装消声设备、厂房隔声降噪</w:t>
                  </w:r>
                </w:p>
              </w:tc>
              <w:tc>
                <w:tcPr>
                  <w:tcW w:w="160"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217"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34</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38</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2</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六面钻</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SKD-6125B</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14</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52</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56</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31</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35</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六面钻</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SKD-6125B</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18</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22</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56</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35</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4</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六面钻</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SKD-6125B</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67</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56</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33</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35</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5</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33</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6</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33</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7</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8</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48</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9</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36</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36</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68</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10</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NB6J</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6</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11</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自动双锯片切角机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HZJ3135</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w:t>
                  </w:r>
                  <w:r>
                    <w:rPr>
                      <w:rFonts w:hint="eastAsia" w:ascii="Times New Roman" w:hAnsi="Times New Roman" w:eastAsia="宋体" w:cs="Times New Roman"/>
                      <w:color w:val="auto"/>
                      <w:lang w:eastAsia="zh-CN"/>
                    </w:rPr>
                    <w:t>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26</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74</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48</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27</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12</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打孔机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SKH-640/690/612</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83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13</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打孔机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SKH-640/690/612</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23</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83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58</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37</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14</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打孔机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SKH-640/690/612</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85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15</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下料机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BLA-2813M</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38</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44</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16</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下料机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BLA-2813M</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44</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17</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下料机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BLA-2813M</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34</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44</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18</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下料机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BLA-2813M</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44</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19</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38</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10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70</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45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55</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20</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76</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21</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70</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49</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22</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66</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41</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23</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58</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64</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43</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24</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62</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41</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25</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-46</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26</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升降机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MS90L04</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32</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38</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27</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立式单抽木工铣床</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MX5117A</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73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48</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27</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28</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rPr>
                    <w:t>打孔机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IZ73031A</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23</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85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58</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39</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37</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29</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数控双头锯</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JD-W3700</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39</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30</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螺杆式空气压缩机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90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36</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31</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螺杆式空气压缩机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269"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92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44</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34</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25</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32</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螺杆式空气压缩机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51</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32</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95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67</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55</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34</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33</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螺杆式空气压缩机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50PMA</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95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71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54</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45</w:t>
                  </w:r>
                </w:p>
              </w:tc>
              <w:tc>
                <w:tcPr>
                  <w:tcW w:w="217" w:type="pct"/>
                  <w:vAlign w:val="center"/>
                </w:tcPr>
                <w:p>
                  <w:pPr>
                    <w:widowControl w:val="0"/>
                    <w:kinsoku/>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33</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24</w:t>
                  </w:r>
                </w:p>
              </w:tc>
              <w:tc>
                <w:tcPr>
                  <w:tcW w:w="316"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34</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工业钻床</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ZQ4116S</w:t>
                  </w: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32</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75</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50</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42</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41</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31</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29</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21</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35</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打包机</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p>
              </w:tc>
              <w:tc>
                <w:tcPr>
                  <w:tcW w:w="269" w:type="pc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70</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92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56</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52</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39</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31</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35</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31</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18</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10</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36</w:t>
                  </w:r>
                </w:p>
              </w:tc>
              <w:tc>
                <w:tcPr>
                  <w:tcW w:w="145" w:type="pct"/>
                  <w:vMerge w:val="continue"/>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叉车</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TYPE</w:t>
                  </w:r>
                </w:p>
              </w:tc>
              <w:tc>
                <w:tcPr>
                  <w:tcW w:w="269"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45</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-14</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w:t>
                  </w:r>
                </w:p>
              </w:tc>
              <w:tc>
                <w:tcPr>
                  <w:tcW w:w="145"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20</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50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59</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51</w:t>
                  </w:r>
                </w:p>
              </w:tc>
              <w:tc>
                <w:tcPr>
                  <w:tcW w:w="217"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c>
                <w:tcPr>
                  <w:tcW w:w="306" w:type="pct"/>
                  <w:vAlign w:val="center"/>
                </w:tcPr>
                <w:p>
                  <w:pPr>
                    <w:widowControl w:val="0"/>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38</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30</w:t>
                  </w:r>
                </w:p>
              </w:tc>
              <w:tc>
                <w:tcPr>
                  <w:tcW w:w="316" w:type="pct"/>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Align w:val="center"/>
                </w:tcPr>
                <w:p>
                  <w:pPr>
                    <w:widowControl w:val="0"/>
                    <w:kinsoku/>
                    <w:jc w:val="center"/>
                    <w:rPr>
                      <w:rFonts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37</w:t>
                  </w:r>
                </w:p>
              </w:tc>
              <w:tc>
                <w:tcPr>
                  <w:tcW w:w="145" w:type="pct"/>
                  <w:vAlign w:val="center"/>
                </w:tcPr>
                <w:p>
                  <w:pPr>
                    <w:widowControl w:val="0"/>
                    <w:kinsoku/>
                    <w:jc w:val="center"/>
                    <w:rPr>
                      <w:rFonts w:ascii="Times New Roman" w:hAnsi="Times New Roman" w:eastAsia="宋体" w:cs="Times New Roman"/>
                      <w:color w:val="auto"/>
                    </w:rPr>
                  </w:pPr>
                </w:p>
              </w:tc>
              <w:tc>
                <w:tcPr>
                  <w:tcW w:w="427" w:type="pct"/>
                  <w:shd w:val="clear" w:color="auto" w:fill="auto"/>
                  <w:vAlign w:val="center"/>
                </w:tcPr>
                <w:p>
                  <w:pPr>
                    <w:widowControl w:val="0"/>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叉车</w:t>
                  </w:r>
                </w:p>
              </w:tc>
              <w:tc>
                <w:tcPr>
                  <w:tcW w:w="43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TYPE</w:t>
                  </w:r>
                </w:p>
              </w:tc>
              <w:tc>
                <w:tcPr>
                  <w:tcW w:w="269"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85</w:t>
                  </w:r>
                </w:p>
              </w:tc>
              <w:tc>
                <w:tcPr>
                  <w:tcW w:w="408" w:type="pct"/>
                  <w:vMerge w:val="continue"/>
                  <w:vAlign w:val="center"/>
                </w:tcPr>
                <w:p>
                  <w:pPr>
                    <w:widowControl w:val="0"/>
                    <w:kinsoku/>
                    <w:jc w:val="center"/>
                    <w:rPr>
                      <w:rFonts w:ascii="Times New Roman" w:hAnsi="Times New Roman" w:eastAsia="宋体" w:cs="Times New Roman"/>
                      <w:color w:val="auto"/>
                    </w:rPr>
                  </w:pPr>
                </w:p>
              </w:tc>
              <w:tc>
                <w:tcPr>
                  <w:tcW w:w="160"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48</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w:t>
                  </w:r>
                </w:p>
              </w:tc>
              <w:tc>
                <w:tcPr>
                  <w:tcW w:w="172"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45"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w:t>
                  </w:r>
                </w:p>
              </w:tc>
              <w:tc>
                <w:tcPr>
                  <w:tcW w:w="154"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60</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61</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53</w:t>
                  </w:r>
                </w:p>
              </w:tc>
              <w:tc>
                <w:tcPr>
                  <w:tcW w:w="145"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57</w:t>
                  </w:r>
                </w:p>
              </w:tc>
              <w:tc>
                <w:tcPr>
                  <w:tcW w:w="154" w:type="pct"/>
                  <w:vAlign w:val="center"/>
                </w:tcPr>
                <w:p>
                  <w:pPr>
                    <w:widowControl/>
                    <w:kinsoku/>
                    <w:jc w:val="right"/>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49</w:t>
                  </w:r>
                </w:p>
              </w:tc>
              <w:tc>
                <w:tcPr>
                  <w:tcW w:w="217" w:type="pct"/>
                  <w:shd w:val="clear" w:color="auto" w:fill="auto"/>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8h/d</w:t>
                  </w:r>
                </w:p>
              </w:tc>
              <w:tc>
                <w:tcPr>
                  <w:tcW w:w="306" w:type="pct"/>
                  <w:shd w:val="clear" w:color="auto" w:fill="auto"/>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46</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38</w:t>
                  </w:r>
                </w:p>
              </w:tc>
              <w:tc>
                <w:tcPr>
                  <w:tcW w:w="145"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42</w:t>
                  </w:r>
                </w:p>
              </w:tc>
              <w:tc>
                <w:tcPr>
                  <w:tcW w:w="153" w:type="pct"/>
                  <w:vAlign w:val="center"/>
                </w:tcPr>
                <w:p>
                  <w:pPr>
                    <w:widowControl/>
                    <w:kinsoku/>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34</w:t>
                  </w:r>
                </w:p>
              </w:tc>
              <w:tc>
                <w:tcPr>
                  <w:tcW w:w="316" w:type="pct"/>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r>
          </w:tbl>
          <w:p>
            <w:pPr>
              <w:pStyle w:val="8"/>
              <w:widowControl w:val="0"/>
              <w:kinsoku/>
              <w:jc w:val="both"/>
              <w:rPr>
                <w:color w:val="auto"/>
                <w:lang w:eastAsia="zh-CN"/>
              </w:rPr>
            </w:pPr>
          </w:p>
        </w:tc>
      </w:tr>
    </w:tbl>
    <w:p>
      <w:pPr>
        <w:pStyle w:val="8"/>
        <w:kinsoku/>
        <w:rPr>
          <w:color w:val="auto"/>
          <w:lang w:eastAsia="zh-CN"/>
        </w:rPr>
      </w:pPr>
    </w:p>
    <w:p>
      <w:pPr>
        <w:kinsoku/>
        <w:rPr>
          <w:color w:val="auto"/>
          <w:lang w:eastAsia="zh-CN"/>
        </w:rPr>
        <w:sectPr>
          <w:pgSz w:w="16840" w:h="11907" w:orient="landscape"/>
          <w:pgMar w:top="1341" w:right="1404" w:bottom="1341" w:left="1014" w:header="0" w:footer="852" w:gutter="0"/>
          <w:cols w:space="720" w:num="1"/>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2" w:hRule="atLeast"/>
        </w:trPr>
        <w:tc>
          <w:tcPr>
            <w:tcW w:w="483" w:type="dxa"/>
          </w:tcPr>
          <w:p>
            <w:pPr>
              <w:widowControl w:val="0"/>
              <w:kinsoku/>
              <w:jc w:val="both"/>
              <w:rPr>
                <w:color w:val="auto"/>
                <w:lang w:eastAsia="zh-CN"/>
              </w:rPr>
            </w:pPr>
          </w:p>
        </w:tc>
        <w:tc>
          <w:tcPr>
            <w:tcW w:w="8958" w:type="dxa"/>
          </w:tcPr>
          <w:p>
            <w:pPr>
              <w:widowControl w:val="0"/>
              <w:kinsoku/>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表4-1</w:t>
            </w:r>
            <w:r>
              <w:rPr>
                <w:rFonts w:hint="eastAsia" w:ascii="Times New Roman" w:hAnsi="Times New Roman" w:eastAsia="宋体" w:cs="Times New Roman"/>
                <w:b/>
                <w:bCs/>
                <w:color w:val="auto"/>
                <w:lang w:eastAsia="zh-CN"/>
              </w:rPr>
              <w:t>3</w:t>
            </w:r>
            <w:r>
              <w:rPr>
                <w:rFonts w:ascii="Times New Roman" w:hAnsi="Times New Roman" w:eastAsia="宋体" w:cs="Times New Roman"/>
                <w:b/>
                <w:bCs/>
                <w:color w:val="auto"/>
                <w:lang w:eastAsia="zh-CN"/>
              </w:rPr>
              <w:t>室外噪声源强及排放情况一览表</w:t>
            </w:r>
          </w:p>
          <w:tbl>
            <w:tblPr>
              <w:tblStyle w:val="17"/>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159"/>
              <w:gridCol w:w="1136"/>
              <w:gridCol w:w="580"/>
              <w:gridCol w:w="705"/>
              <w:gridCol w:w="645"/>
              <w:gridCol w:w="1185"/>
              <w:gridCol w:w="143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序号</w:t>
                  </w:r>
                </w:p>
              </w:tc>
              <w:tc>
                <w:tcPr>
                  <w:tcW w:w="1159" w:type="dxa"/>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声源名称</w:t>
                  </w:r>
                </w:p>
              </w:tc>
              <w:tc>
                <w:tcPr>
                  <w:tcW w:w="1136" w:type="dxa"/>
                  <w:vMerge w:val="restart"/>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型号</w:t>
                  </w:r>
                </w:p>
              </w:tc>
              <w:tc>
                <w:tcPr>
                  <w:tcW w:w="1930" w:type="dxa"/>
                  <w:gridSpan w:val="3"/>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空间相对位置/m</w:t>
                  </w:r>
                </w:p>
              </w:tc>
              <w:tc>
                <w:tcPr>
                  <w:tcW w:w="1185" w:type="dxa"/>
                  <w:vMerge w:val="restar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声功率级/dB（A）</w:t>
                  </w:r>
                </w:p>
              </w:tc>
              <w:tc>
                <w:tcPr>
                  <w:tcW w:w="1430" w:type="dxa"/>
                  <w:vMerge w:val="restar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声源控制措施</w:t>
                  </w:r>
                </w:p>
              </w:tc>
              <w:tc>
                <w:tcPr>
                  <w:tcW w:w="1116" w:type="dxa"/>
                  <w:vMerge w:val="restart"/>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vAlign w:val="center"/>
                </w:tcPr>
                <w:p>
                  <w:pPr>
                    <w:widowControl w:val="0"/>
                    <w:kinsoku/>
                    <w:jc w:val="center"/>
                    <w:rPr>
                      <w:rFonts w:ascii="Times New Roman" w:hAnsi="Times New Roman" w:eastAsia="宋体" w:cs="Times New Roman"/>
                      <w:color w:val="auto"/>
                    </w:rPr>
                  </w:pPr>
                </w:p>
              </w:tc>
              <w:tc>
                <w:tcPr>
                  <w:tcW w:w="1159" w:type="dxa"/>
                  <w:vMerge w:val="continue"/>
                  <w:vAlign w:val="center"/>
                </w:tcPr>
                <w:p>
                  <w:pPr>
                    <w:widowControl w:val="0"/>
                    <w:kinsoku/>
                    <w:jc w:val="center"/>
                    <w:rPr>
                      <w:rFonts w:ascii="Times New Roman" w:hAnsi="Times New Roman" w:eastAsia="宋体" w:cs="Times New Roman"/>
                      <w:color w:val="auto"/>
                    </w:rPr>
                  </w:pPr>
                </w:p>
              </w:tc>
              <w:tc>
                <w:tcPr>
                  <w:tcW w:w="1136" w:type="dxa"/>
                  <w:vMerge w:val="continue"/>
                  <w:vAlign w:val="center"/>
                </w:tcPr>
                <w:p>
                  <w:pPr>
                    <w:widowControl w:val="0"/>
                    <w:kinsoku/>
                    <w:jc w:val="center"/>
                    <w:rPr>
                      <w:rFonts w:ascii="Times New Roman" w:hAnsi="Times New Roman" w:eastAsia="宋体" w:cs="Times New Roman"/>
                      <w:color w:val="auto"/>
                    </w:rPr>
                  </w:pPr>
                </w:p>
              </w:tc>
              <w:tc>
                <w:tcPr>
                  <w:tcW w:w="580"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X</w:t>
                  </w:r>
                </w:p>
              </w:tc>
              <w:tc>
                <w:tcPr>
                  <w:tcW w:w="705"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Y</w:t>
                  </w:r>
                </w:p>
              </w:tc>
              <w:tc>
                <w:tcPr>
                  <w:tcW w:w="645"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Z</w:t>
                  </w:r>
                </w:p>
              </w:tc>
              <w:tc>
                <w:tcPr>
                  <w:tcW w:w="1185" w:type="dxa"/>
                  <w:vMerge w:val="continue"/>
                  <w:shd w:val="clear" w:color="auto" w:fill="auto"/>
                  <w:vAlign w:val="center"/>
                </w:tcPr>
                <w:p>
                  <w:pPr>
                    <w:widowControl w:val="0"/>
                    <w:kinsoku/>
                    <w:jc w:val="center"/>
                    <w:rPr>
                      <w:rFonts w:ascii="Times New Roman" w:hAnsi="Times New Roman" w:eastAsia="宋体" w:cs="Times New Roman"/>
                      <w:color w:val="auto"/>
                      <w:kern w:val="2"/>
                      <w:szCs w:val="24"/>
                      <w:lang w:eastAsia="zh-CN"/>
                    </w:rPr>
                  </w:pPr>
                </w:p>
              </w:tc>
              <w:tc>
                <w:tcPr>
                  <w:tcW w:w="1430" w:type="dxa"/>
                  <w:vMerge w:val="continue"/>
                  <w:shd w:val="clear" w:color="auto" w:fill="auto"/>
                  <w:vAlign w:val="center"/>
                </w:tcPr>
                <w:p>
                  <w:pPr>
                    <w:widowControl w:val="0"/>
                    <w:kinsoku/>
                    <w:jc w:val="center"/>
                    <w:rPr>
                      <w:rFonts w:ascii="Times New Roman" w:hAnsi="Times New Roman" w:eastAsia="宋体" w:cs="Times New Roman"/>
                      <w:color w:val="auto"/>
                      <w:kern w:val="2"/>
                      <w:szCs w:val="24"/>
                      <w:lang w:eastAsia="zh-CN"/>
                    </w:rPr>
                  </w:pPr>
                </w:p>
              </w:tc>
              <w:tc>
                <w:tcPr>
                  <w:tcW w:w="1116" w:type="dxa"/>
                  <w:vMerge w:val="continue"/>
                  <w:shd w:val="clear" w:color="auto" w:fill="auto"/>
                  <w:vAlign w:val="center"/>
                </w:tcPr>
                <w:p>
                  <w:pPr>
                    <w:widowControl w:val="0"/>
                    <w:kinsoku/>
                    <w:jc w:val="center"/>
                    <w:rPr>
                      <w:rFonts w:ascii="Times New Roman" w:hAnsi="Times New Roman" w:eastAsia="宋体" w:cs="Times New Roman"/>
                      <w:color w:val="auto"/>
                      <w:kern w:val="2"/>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1159" w:type="dxa"/>
                  <w:shd w:val="clear" w:color="auto" w:fill="auto"/>
                  <w:vAlign w:val="center"/>
                </w:tcPr>
                <w:p>
                  <w:pPr>
                    <w:widowControl w:val="0"/>
                    <w:kinsoku/>
                    <w:jc w:val="center"/>
                    <w:rPr>
                      <w:rFonts w:ascii="Times New Roman" w:hAnsi="Times New Roman" w:eastAsia="宋体" w:cs="Times New Roman"/>
                      <w:color w:val="auto"/>
                      <w:kern w:val="2"/>
                      <w:lang w:eastAsia="zh-CN"/>
                    </w:rPr>
                  </w:pPr>
                  <w:r>
                    <w:rPr>
                      <w:rFonts w:ascii="Times New Roman" w:hAnsi="Times New Roman" w:eastAsia="宋体" w:cs="Times New Roman"/>
                      <w:color w:val="auto"/>
                      <w:lang w:eastAsia="zh-CN"/>
                    </w:rPr>
                    <w:t>中央除尘风机</w:t>
                  </w:r>
                </w:p>
              </w:tc>
              <w:tc>
                <w:tcPr>
                  <w:tcW w:w="1136" w:type="dxa"/>
                  <w:shd w:val="clear" w:color="auto" w:fill="auto"/>
                  <w:vAlign w:val="center"/>
                </w:tcPr>
                <w:p>
                  <w:pPr>
                    <w:widowControl w:val="0"/>
                    <w:kinsoku/>
                    <w:jc w:val="center"/>
                    <w:rPr>
                      <w:rFonts w:ascii="Times New Roman" w:hAnsi="Times New Roman" w:eastAsia="宋体" w:cs="Times New Roman"/>
                      <w:color w:val="auto"/>
                      <w:kern w:val="2"/>
                      <w:lang w:eastAsia="zh-CN"/>
                    </w:rPr>
                  </w:pPr>
                  <w:r>
                    <w:rPr>
                      <w:rFonts w:ascii="Times New Roman" w:hAnsi="Times New Roman" w:eastAsia="宋体" w:cs="Times New Roman"/>
                      <w:snapToGrid/>
                      <w:color w:val="auto"/>
                      <w:kern w:val="2"/>
                      <w:lang w:eastAsia="zh-CN"/>
                    </w:rPr>
                    <w:t>5000m</w:t>
                  </w:r>
                  <w:r>
                    <w:rPr>
                      <w:rFonts w:ascii="Times New Roman" w:hAnsi="Times New Roman" w:eastAsia="宋体" w:cs="Times New Roman"/>
                      <w:snapToGrid/>
                      <w:color w:val="auto"/>
                      <w:kern w:val="2"/>
                      <w:vertAlign w:val="superscript"/>
                      <w:lang w:eastAsia="zh-CN"/>
                    </w:rPr>
                    <w:t>3</w:t>
                  </w:r>
                  <w:r>
                    <w:rPr>
                      <w:rFonts w:ascii="Times New Roman" w:hAnsi="Times New Roman" w:eastAsia="宋体" w:cs="Times New Roman"/>
                      <w:snapToGrid/>
                      <w:color w:val="auto"/>
                      <w:kern w:val="2"/>
                      <w:lang w:eastAsia="zh-CN"/>
                    </w:rPr>
                    <w:t>/h</w:t>
                  </w:r>
                </w:p>
              </w:tc>
              <w:tc>
                <w:tcPr>
                  <w:tcW w:w="580"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w:t>
                  </w:r>
                </w:p>
              </w:tc>
              <w:tc>
                <w:tcPr>
                  <w:tcW w:w="70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64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18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30"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隔声降噪</w:t>
                  </w:r>
                </w:p>
              </w:tc>
              <w:tc>
                <w:tcPr>
                  <w:tcW w:w="1116" w:type="dxa"/>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lang w:eastAsia="zh-CN" w:bidi="ar"/>
                    </w:rPr>
                    <w:t>8h/d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1159" w:type="dxa"/>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color w:val="auto"/>
                      <w:lang w:eastAsia="zh-CN"/>
                    </w:rPr>
                    <w:t>活性炭废气处理器风机</w:t>
                  </w:r>
                </w:p>
              </w:tc>
              <w:tc>
                <w:tcPr>
                  <w:tcW w:w="1136" w:type="dxa"/>
                  <w:shd w:val="clear" w:color="auto" w:fill="auto"/>
                  <w:vAlign w:val="center"/>
                </w:tcPr>
                <w:p>
                  <w:pPr>
                    <w:widowControl w:val="0"/>
                    <w:kinsoku/>
                    <w:jc w:val="center"/>
                    <w:rPr>
                      <w:rFonts w:ascii="Times New Roman" w:hAnsi="Times New Roman" w:eastAsia="宋体" w:cs="Times New Roman"/>
                      <w:color w:val="auto"/>
                      <w:kern w:val="2"/>
                      <w:szCs w:val="24"/>
                      <w:lang w:eastAsia="zh-CN"/>
                    </w:rPr>
                  </w:pPr>
                  <w:r>
                    <w:rPr>
                      <w:rFonts w:ascii="Times New Roman" w:hAnsi="Times New Roman" w:eastAsia="宋体" w:cs="Times New Roman"/>
                      <w:snapToGrid/>
                      <w:color w:val="auto"/>
                      <w:kern w:val="2"/>
                      <w:lang w:eastAsia="zh-CN"/>
                    </w:rPr>
                    <w:t>5000m</w:t>
                  </w:r>
                  <w:r>
                    <w:rPr>
                      <w:rFonts w:ascii="Times New Roman" w:hAnsi="Times New Roman" w:eastAsia="宋体" w:cs="Times New Roman"/>
                      <w:snapToGrid/>
                      <w:color w:val="auto"/>
                      <w:kern w:val="2"/>
                      <w:vertAlign w:val="superscript"/>
                      <w:lang w:eastAsia="zh-CN"/>
                    </w:rPr>
                    <w:t>3</w:t>
                  </w:r>
                  <w:r>
                    <w:rPr>
                      <w:rFonts w:ascii="Times New Roman" w:hAnsi="Times New Roman" w:eastAsia="宋体" w:cs="Times New Roman"/>
                      <w:snapToGrid/>
                      <w:color w:val="auto"/>
                      <w:kern w:val="2"/>
                      <w:lang w:eastAsia="zh-CN"/>
                    </w:rPr>
                    <w:t>/h</w:t>
                  </w:r>
                </w:p>
              </w:tc>
              <w:tc>
                <w:tcPr>
                  <w:tcW w:w="580"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68</w:t>
                  </w:r>
                </w:p>
              </w:tc>
              <w:tc>
                <w:tcPr>
                  <w:tcW w:w="70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64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w:t>
                  </w:r>
                </w:p>
              </w:tc>
              <w:tc>
                <w:tcPr>
                  <w:tcW w:w="1185" w:type="dxa"/>
                  <w:vAlign w:val="center"/>
                </w:tcPr>
                <w:p>
                  <w:pPr>
                    <w:widowControl w:val="0"/>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430"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隔声降噪</w:t>
                  </w:r>
                </w:p>
              </w:tc>
              <w:tc>
                <w:tcPr>
                  <w:tcW w:w="111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8h/d</w:t>
                  </w:r>
                </w:p>
              </w:tc>
            </w:tr>
          </w:tbl>
          <w:p>
            <w:pPr>
              <w:widowControl w:val="0"/>
              <w:kinsoku/>
              <w:spacing w:line="360" w:lineRule="auto"/>
              <w:ind w:firstLine="480" w:firstLineChars="200"/>
              <w:jc w:val="both"/>
              <w:rPr>
                <w:b/>
                <w:color w:val="auto"/>
                <w:sz w:val="24"/>
                <w:lang w:eastAsia="zh-CN"/>
              </w:rPr>
            </w:pPr>
            <w:r>
              <w:rPr>
                <w:rFonts w:hint="eastAsia"/>
                <w:b/>
                <w:color w:val="auto"/>
                <w:sz w:val="24"/>
                <w:lang w:eastAsia="zh-CN"/>
              </w:rPr>
              <w:t>2、</w:t>
            </w:r>
            <w:r>
              <w:rPr>
                <w:b/>
                <w:color w:val="auto"/>
                <w:sz w:val="24"/>
                <w:lang w:eastAsia="zh-CN"/>
              </w:rPr>
              <w:t>预测模式</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预测模式根据《环境影响评价技术导则声环境》（HJ2.4-2021）附录A及文本中推荐的预测模式，预测分析项目运营期噪声对声环境的影响。预测模式及参数如下：</w:t>
            </w:r>
          </w:p>
          <w:p>
            <w:pPr>
              <w:widowControl w:val="0"/>
              <w:numPr>
                <w:ilvl w:val="0"/>
                <w:numId w:val="6"/>
              </w:numPr>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项目设备多个噪声源叠加的综合噪声计算公式如下：</w:t>
            </w:r>
          </w:p>
          <w:p>
            <w:pPr>
              <w:widowControl w:val="0"/>
              <w:kinsoku/>
              <w:spacing w:line="360" w:lineRule="auto"/>
              <w:jc w:val="center"/>
              <w:rPr>
                <w:rFonts w:ascii="Times New Roman" w:hAnsi="Times New Roman" w:eastAsia="宋体" w:cs="Times New Roman"/>
                <w:color w:val="auto"/>
                <w:sz w:val="24"/>
                <w:lang w:eastAsia="zh-CN"/>
              </w:rPr>
            </w:pPr>
            <w:r>
              <w:rPr>
                <w:rFonts w:ascii="Times New Roman" w:hAnsi="Times New Roman" w:eastAsia="宋体" w:cs="Times New Roman"/>
                <w:color w:val="auto"/>
                <w:position w:val="-30"/>
                <w:sz w:val="24"/>
                <w:lang w:eastAsia="zh-CN"/>
              </w:rPr>
              <w:object>
                <v:shape id="_x0000_i1025" o:spt="75" type="#_x0000_t75" style="height:36pt;width:101.3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pPr>
              <w:widowControl w:val="0"/>
              <w:kinsoku/>
              <w:spacing w:line="360" w:lineRule="auto"/>
              <w:ind w:firstLine="420" w:firstLineChars="175"/>
              <w:jc w:val="left"/>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式中：L</w:t>
            </w:r>
            <w:r>
              <w:rPr>
                <w:rFonts w:ascii="Times New Roman" w:hAnsi="Times New Roman" w:eastAsia="宋体" w:cs="Times New Roman"/>
                <w:color w:val="auto"/>
                <w:sz w:val="24"/>
                <w:vertAlign w:val="subscript"/>
                <w:lang w:eastAsia="zh-CN"/>
              </w:rPr>
              <w:t>A</w:t>
            </w:r>
            <w:r>
              <w:rPr>
                <w:rFonts w:ascii="Times New Roman" w:hAnsi="Times New Roman" w:eastAsia="宋体" w:cs="Times New Roman"/>
                <w:color w:val="auto"/>
                <w:sz w:val="24"/>
                <w:lang w:eastAsia="zh-CN"/>
              </w:rPr>
              <w:t>---多个噪声源叠加的综合噪声声级，dB（A）；</w:t>
            </w:r>
          </w:p>
          <w:p>
            <w:pPr>
              <w:widowControl w:val="0"/>
              <w:kinsoku/>
              <w:spacing w:line="360" w:lineRule="auto"/>
              <w:ind w:firstLine="1200" w:firstLineChars="500"/>
              <w:jc w:val="left"/>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i</w:t>
            </w:r>
            <w:r>
              <w:rPr>
                <w:rFonts w:ascii="Times New Roman" w:hAnsi="Times New Roman" w:eastAsia="宋体" w:cs="Times New Roman"/>
                <w:color w:val="auto"/>
                <w:sz w:val="24"/>
                <w:lang w:eastAsia="zh-CN"/>
              </w:rPr>
              <w:t>---第I个噪声源的声级，dB（A）；</w:t>
            </w:r>
          </w:p>
          <w:p>
            <w:pPr>
              <w:widowControl w:val="0"/>
              <w:kinsoku/>
              <w:spacing w:line="360" w:lineRule="auto"/>
              <w:ind w:firstLine="1140" w:firstLineChars="475"/>
              <w:jc w:val="left"/>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n---噪声源的个数。</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（2）室内声源等效室外声源声功率级计算</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声源位于室内，室内声源可采用等效室外声源声功率级法进行计算，设靠近开口处（或窗户）室内、室外某倍频带的声压级分别为L</w:t>
            </w:r>
            <w:r>
              <w:rPr>
                <w:rFonts w:ascii="Times New Roman" w:hAnsi="Times New Roman" w:eastAsia="宋体" w:cs="Times New Roman"/>
                <w:color w:val="auto"/>
                <w:sz w:val="24"/>
                <w:vertAlign w:val="subscript"/>
                <w:lang w:eastAsia="zh-CN"/>
              </w:rPr>
              <w:t>p1</w:t>
            </w:r>
            <w:r>
              <w:rPr>
                <w:rFonts w:ascii="Times New Roman" w:hAnsi="Times New Roman" w:eastAsia="宋体" w:cs="Times New Roman"/>
                <w:color w:val="auto"/>
                <w:sz w:val="24"/>
                <w:lang w:eastAsia="zh-CN"/>
              </w:rPr>
              <w:t>和L</w:t>
            </w:r>
            <w:r>
              <w:rPr>
                <w:rFonts w:ascii="Times New Roman" w:hAnsi="Times New Roman" w:eastAsia="宋体" w:cs="Times New Roman"/>
                <w:color w:val="auto"/>
                <w:sz w:val="24"/>
                <w:vertAlign w:val="subscript"/>
                <w:lang w:eastAsia="zh-CN"/>
              </w:rPr>
              <w:t>p2</w:t>
            </w:r>
            <w:r>
              <w:rPr>
                <w:rFonts w:ascii="Times New Roman" w:hAnsi="Times New Roman" w:eastAsia="宋体" w:cs="Times New Roman"/>
                <w:color w:val="auto"/>
                <w:sz w:val="24"/>
                <w:lang w:eastAsia="zh-CN"/>
              </w:rPr>
              <w:t>。若声源所在室内声场为近似扩散声场，则室外的倍频带声压组按下式近似求出：</w:t>
            </w:r>
          </w:p>
          <w:p>
            <w:pPr>
              <w:widowControl w:val="0"/>
              <w:kinsoku/>
              <w:spacing w:line="360" w:lineRule="auto"/>
              <w:jc w:val="center"/>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p2</w:t>
            </w: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p1</w:t>
            </w: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TL+6</w:t>
            </w:r>
            <w:r>
              <w:rPr>
                <w:rFonts w:hint="eastAsia" w:ascii="Times New Roman" w:hAnsi="Times New Roman" w:eastAsia="宋体" w:cs="Times New Roman"/>
                <w:color w:val="auto"/>
                <w:sz w:val="24"/>
                <w:lang w:eastAsia="zh-CN"/>
              </w:rPr>
              <w:t>)</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式中，L</w:t>
            </w:r>
            <w:r>
              <w:rPr>
                <w:rFonts w:ascii="Times New Roman" w:hAnsi="Times New Roman" w:eastAsia="宋体" w:cs="Times New Roman"/>
                <w:color w:val="auto"/>
                <w:sz w:val="24"/>
                <w:vertAlign w:val="subscript"/>
                <w:lang w:eastAsia="zh-CN"/>
              </w:rPr>
              <w:t>P2</w:t>
            </w:r>
            <w:r>
              <w:rPr>
                <w:rFonts w:hint="eastAsia" w:ascii="Times New Roman" w:hAnsi="Times New Roman" w:eastAsia="宋体" w:cs="Times New Roman"/>
                <w:color w:val="auto"/>
                <w:sz w:val="24"/>
                <w:vertAlign w:val="subscript"/>
                <w:lang w:eastAsia="zh-CN"/>
              </w:rPr>
              <w:t>：</w:t>
            </w:r>
            <w:r>
              <w:rPr>
                <w:rFonts w:ascii="Times New Roman" w:hAnsi="Times New Roman" w:eastAsia="宋体" w:cs="Times New Roman"/>
                <w:color w:val="auto"/>
                <w:sz w:val="24"/>
                <w:lang w:eastAsia="zh-CN"/>
              </w:rPr>
              <w:t>靠近开口处（或窗户）室外某倍频带的声压级或A声级，dB；</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P1</w:t>
            </w:r>
            <w:r>
              <w:rPr>
                <w:rFonts w:hint="eastAsia" w:ascii="Times New Roman" w:hAnsi="Times New Roman" w:eastAsia="宋体" w:cs="Times New Roman"/>
                <w:color w:val="auto"/>
                <w:sz w:val="24"/>
                <w:vertAlign w:val="subscript"/>
                <w:lang w:eastAsia="zh-CN"/>
              </w:rPr>
              <w:t>：</w:t>
            </w:r>
            <w:r>
              <w:rPr>
                <w:rFonts w:ascii="Times New Roman" w:hAnsi="Times New Roman" w:eastAsia="宋体" w:cs="Times New Roman"/>
                <w:color w:val="auto"/>
                <w:sz w:val="24"/>
                <w:lang w:eastAsia="zh-CN"/>
              </w:rPr>
              <w:t>靠近开口处（或窗户）室内某倍频带的声压级或A声级，dB；</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TL—隔墙（或窗户）倍频带的隔声量，dB，根据《环境影响评价技术导则 声环境》（HJ2.4-2021）A3.4，</w:t>
            </w:r>
            <w:r>
              <w:rPr>
                <w:rFonts w:hint="eastAsia" w:ascii="Times New Roman" w:hAnsi="Times New Roman" w:eastAsia="宋体" w:cs="Times New Roman"/>
                <w:color w:val="auto"/>
                <w:sz w:val="24"/>
                <w:lang w:eastAsia="zh-CN"/>
              </w:rPr>
              <w:t>屏障衰减在单绕射（即薄屏障）情况，衰减最大取20dB。</w:t>
            </w:r>
            <w:r>
              <w:rPr>
                <w:rFonts w:ascii="Times New Roman" w:hAnsi="Times New Roman" w:eastAsia="宋体" w:cs="Times New Roman"/>
                <w:color w:val="auto"/>
                <w:sz w:val="24"/>
                <w:lang w:eastAsia="zh-CN"/>
              </w:rPr>
              <w:t>本项目TL—隔墙（或窗户）倍频带的隔声量取值</w:t>
            </w:r>
            <w:r>
              <w:rPr>
                <w:rFonts w:hint="eastAsia" w:ascii="Times New Roman" w:hAnsi="Times New Roman" w:eastAsia="宋体" w:cs="Times New Roman"/>
                <w:color w:val="auto"/>
                <w:sz w:val="24"/>
                <w:lang w:eastAsia="zh-CN"/>
              </w:rPr>
              <w:t>15</w:t>
            </w:r>
            <w:r>
              <w:rPr>
                <w:rFonts w:ascii="Times New Roman" w:hAnsi="Times New Roman" w:eastAsia="宋体" w:cs="Times New Roman"/>
                <w:color w:val="auto"/>
                <w:sz w:val="24"/>
                <w:lang w:eastAsia="zh-CN"/>
              </w:rPr>
              <w:t>dB。</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（3）点源衰减模式为：</w:t>
            </w:r>
          </w:p>
          <w:p>
            <w:pPr>
              <w:widowControl w:val="0"/>
              <w:kinsoku/>
              <w:spacing w:line="360" w:lineRule="auto"/>
              <w:ind w:firstLine="480" w:firstLineChars="200"/>
              <w:jc w:val="center"/>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p(r)</w:t>
            </w: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p(r0)</w:t>
            </w:r>
            <w:r>
              <w:rPr>
                <w:rFonts w:ascii="Times New Roman" w:hAnsi="Times New Roman" w:eastAsia="宋体" w:cs="Times New Roman"/>
                <w:color w:val="auto"/>
                <w:sz w:val="24"/>
                <w:lang w:eastAsia="zh-CN"/>
              </w:rPr>
              <w:t>-20lg</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r/r</w:t>
            </w:r>
            <w:r>
              <w:rPr>
                <w:rFonts w:ascii="Times New Roman" w:hAnsi="Times New Roman" w:eastAsia="宋体" w:cs="Times New Roman"/>
                <w:color w:val="auto"/>
                <w:sz w:val="24"/>
                <w:vertAlign w:val="subscript"/>
                <w:lang w:eastAsia="zh-CN"/>
              </w:rPr>
              <w:t>0</w:t>
            </w:r>
            <w:r>
              <w:rPr>
                <w:rFonts w:hint="eastAsia" w:ascii="Times New Roman" w:hAnsi="Times New Roman" w:eastAsia="宋体" w:cs="Times New Roman"/>
                <w:color w:val="auto"/>
                <w:sz w:val="24"/>
                <w:vertAlign w:val="subscript"/>
                <w:lang w:eastAsia="zh-CN"/>
              </w:rPr>
              <w:t>)</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式中，L</w:t>
            </w:r>
            <w:r>
              <w:rPr>
                <w:rFonts w:ascii="Times New Roman" w:hAnsi="Times New Roman" w:eastAsia="宋体" w:cs="Times New Roman"/>
                <w:color w:val="auto"/>
                <w:sz w:val="24"/>
                <w:vertAlign w:val="subscript"/>
                <w:lang w:eastAsia="zh-CN"/>
              </w:rPr>
              <w:t>p(r)</w:t>
            </w:r>
            <w:r>
              <w:rPr>
                <w:rFonts w:ascii="Times New Roman" w:hAnsi="Times New Roman" w:eastAsia="宋体" w:cs="Times New Roman"/>
                <w:color w:val="auto"/>
                <w:sz w:val="24"/>
                <w:lang w:eastAsia="zh-CN"/>
              </w:rPr>
              <w:t>—在距离声源r米处的声级，dB（A）；</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L</w:t>
            </w:r>
            <w:r>
              <w:rPr>
                <w:rFonts w:ascii="Times New Roman" w:hAnsi="Times New Roman" w:eastAsia="宋体" w:cs="Times New Roman"/>
                <w:color w:val="auto"/>
                <w:sz w:val="24"/>
                <w:vertAlign w:val="subscript"/>
                <w:lang w:eastAsia="zh-CN"/>
              </w:rPr>
              <w:t>p(r0)</w:t>
            </w:r>
            <w:r>
              <w:rPr>
                <w:rFonts w:ascii="Times New Roman" w:hAnsi="Times New Roman" w:eastAsia="宋体" w:cs="Times New Roman"/>
                <w:color w:val="auto"/>
                <w:sz w:val="24"/>
                <w:lang w:eastAsia="zh-CN"/>
              </w:rPr>
              <w:t>—距离声源r</w:t>
            </w:r>
            <w:r>
              <w:rPr>
                <w:rFonts w:ascii="Times New Roman" w:hAnsi="Times New Roman" w:eastAsia="宋体" w:cs="Times New Roman"/>
                <w:color w:val="auto"/>
                <w:sz w:val="24"/>
                <w:vertAlign w:val="subscript"/>
                <w:lang w:eastAsia="zh-CN"/>
              </w:rPr>
              <w:t>0</w:t>
            </w:r>
            <w:r>
              <w:rPr>
                <w:rFonts w:ascii="Times New Roman" w:hAnsi="Times New Roman" w:eastAsia="宋体" w:cs="Times New Roman"/>
                <w:color w:val="auto"/>
                <w:sz w:val="24"/>
                <w:lang w:eastAsia="zh-CN"/>
              </w:rPr>
              <w:t>米处的声级，dB（A）。</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（4）噪声贡献值计算</w:t>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环境影响评价技术导则声环境》（HJ2.4-2021）的规定，设第i个室外声源在预测点产生的A声级为LAi，在T时间内该声源工作时间为ti；第j个等效室外声源在预测点产生的A声级为LAj，在T时间内该声源工作时间为tj，在建设工程声源对预测点产生的贡献值（Leqg）为：</w:t>
            </w:r>
          </w:p>
          <w:p>
            <w:pPr>
              <w:widowControl w:val="0"/>
              <w:kinsoku/>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lang w:eastAsia="zh-CN"/>
              </w:rPr>
              <w:drawing>
                <wp:inline distT="0" distB="0" distL="114300" distR="114300">
                  <wp:extent cx="2848610" cy="55245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2848610" cy="552450"/>
                          </a:xfrm>
                          <a:prstGeom prst="rect">
                            <a:avLst/>
                          </a:prstGeom>
                          <a:noFill/>
                          <a:ln>
                            <a:noFill/>
                          </a:ln>
                        </pic:spPr>
                      </pic:pic>
                    </a:graphicData>
                  </a:graphic>
                </wp:inline>
              </w:drawing>
            </w:r>
          </w:p>
          <w:p>
            <w:pPr>
              <w:widowControl w:val="0"/>
              <w:kinsoku/>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式中：Leqg—建设项目声源在预测点产生的噪声贡献值，dB；</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T—用于计算等效声级的时间，s；</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N—室外声源个数；</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ti—在T时间内i声源工作时间，s；</w:t>
            </w:r>
          </w:p>
          <w:p>
            <w:pPr>
              <w:widowControl w:val="0"/>
              <w:kinsoku/>
              <w:spacing w:line="360" w:lineRule="auto"/>
              <w:ind w:firstLine="1200" w:firstLineChars="5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M—等效室外声源个数；</w:t>
            </w:r>
          </w:p>
          <w:p>
            <w:pPr>
              <w:widowControl w:val="0"/>
              <w:kinsoku/>
              <w:spacing w:line="360" w:lineRule="auto"/>
              <w:ind w:firstLine="1200" w:firstLineChars="500"/>
              <w:jc w:val="both"/>
              <w:rPr>
                <w:color w:val="auto"/>
                <w:sz w:val="24"/>
                <w:lang w:eastAsia="zh-CN"/>
              </w:rPr>
            </w:pPr>
            <w:r>
              <w:rPr>
                <w:rFonts w:ascii="Times New Roman" w:hAnsi="Times New Roman" w:eastAsia="宋体" w:cs="Times New Roman"/>
                <w:color w:val="auto"/>
                <w:sz w:val="24"/>
                <w:lang w:eastAsia="zh-CN"/>
              </w:rPr>
              <w:t>tj—在T时间内j声源工作时间，s</w:t>
            </w:r>
            <w:r>
              <w:rPr>
                <w:rFonts w:hint="eastAsia"/>
                <w:color w:val="auto"/>
                <w:sz w:val="24"/>
                <w:lang w:eastAsia="zh-CN"/>
              </w:rPr>
              <w:t>。</w:t>
            </w:r>
          </w:p>
          <w:p>
            <w:pPr>
              <w:widowControl w:val="0"/>
              <w:kinsoku/>
              <w:spacing w:line="360" w:lineRule="auto"/>
              <w:ind w:firstLine="480" w:firstLineChars="200"/>
              <w:jc w:val="both"/>
              <w:rPr>
                <w:b/>
                <w:color w:val="auto"/>
                <w:sz w:val="24"/>
                <w:lang w:eastAsia="zh-CN"/>
              </w:rPr>
            </w:pPr>
            <w:r>
              <w:rPr>
                <w:rFonts w:hint="eastAsia"/>
                <w:b/>
                <w:color w:val="auto"/>
                <w:sz w:val="24"/>
                <w:lang w:eastAsia="zh-CN"/>
              </w:rPr>
              <w:t>3、</w:t>
            </w:r>
            <w:r>
              <w:rPr>
                <w:b/>
                <w:color w:val="auto"/>
                <w:sz w:val="24"/>
                <w:lang w:eastAsia="zh-CN"/>
              </w:rPr>
              <w:t>预测结果及评价</w:t>
            </w:r>
          </w:p>
          <w:p>
            <w:pPr>
              <w:widowControl w:val="0"/>
              <w:kinsoku/>
              <w:spacing w:line="360" w:lineRule="auto"/>
              <w:ind w:firstLine="480" w:firstLineChars="200"/>
              <w:jc w:val="both"/>
              <w:rPr>
                <w:rFonts w:ascii="Times New Roman" w:hAnsi="Times New Roman" w:eastAsia="宋体" w:cs="Times New Roman"/>
                <w:color w:val="auto"/>
                <w:spacing w:val="4"/>
                <w:sz w:val="24"/>
                <w:szCs w:val="24"/>
                <w:lang w:eastAsia="zh-CN"/>
              </w:rPr>
            </w:pPr>
            <w:r>
              <w:rPr>
                <w:rFonts w:ascii="Times New Roman" w:hAnsi="Times New Roman" w:eastAsia="宋体" w:cs="Times New Roman"/>
                <w:color w:val="auto"/>
                <w:sz w:val="24"/>
                <w:lang w:eastAsia="zh-CN"/>
              </w:rPr>
              <w:t>根据调查，厂界外50m范围内不存在声环境保护目标。厂界噪声的预测按照等间距10m步长进行设置，共设置厂界东、南、西、北四个预测方向，取最大预测值。项目空间相对位置坐标原点为项目选址中心位置为东经：103°</w:t>
            </w:r>
            <w:r>
              <w:rPr>
                <w:rFonts w:hint="eastAsia" w:ascii="Times New Roman" w:hAnsi="Times New Roman" w:eastAsia="宋体" w:cs="Times New Roman"/>
                <w:color w:val="auto"/>
                <w:sz w:val="24"/>
                <w:lang w:eastAsia="zh-CN"/>
              </w:rPr>
              <w:t>2</w:t>
            </w: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34.221</w:t>
            </w:r>
            <w:r>
              <w:rPr>
                <w:rFonts w:ascii="Times New Roman" w:hAnsi="Times New Roman" w:eastAsia="宋体" w:cs="Times New Roman"/>
                <w:color w:val="auto"/>
                <w:sz w:val="24"/>
                <w:lang w:eastAsia="zh-CN"/>
              </w:rPr>
              <w:t>″，北纬：25°14′4</w:t>
            </w:r>
            <w:r>
              <w:rPr>
                <w:rFonts w:hint="eastAsia" w:ascii="Times New Roman" w:hAnsi="Times New Roman" w:eastAsia="宋体" w:cs="Times New Roman"/>
                <w:color w:val="auto"/>
                <w:sz w:val="24"/>
                <w:lang w:eastAsia="zh-CN"/>
              </w:rPr>
              <w:t>3.459</w:t>
            </w:r>
            <w:r>
              <w:rPr>
                <w:rFonts w:ascii="Times New Roman" w:hAnsi="Times New Roman" w:eastAsia="宋体" w:cs="Times New Roman"/>
                <w:color w:val="auto"/>
                <w:sz w:val="24"/>
                <w:lang w:eastAsia="zh-CN"/>
              </w:rPr>
              <w:t>″，高程为1928m，项目夜间不生产，仅预测昼间厂界噪声，根据噪声预测软件进行预测</w:t>
            </w:r>
            <w:r>
              <w:rPr>
                <w:rFonts w:ascii="Times New Roman" w:hAnsi="Times New Roman" w:eastAsia="宋体" w:cs="Times New Roman"/>
                <w:color w:val="auto"/>
                <w:spacing w:val="4"/>
                <w:sz w:val="24"/>
                <w:szCs w:val="24"/>
                <w:lang w:eastAsia="zh-CN"/>
              </w:rPr>
              <w:t>，厂界噪声预测结果与达标分析见表4-1</w:t>
            </w:r>
            <w:r>
              <w:rPr>
                <w:rFonts w:hint="eastAsia" w:ascii="Times New Roman" w:hAnsi="Times New Roman" w:eastAsia="宋体" w:cs="Times New Roman"/>
                <w:color w:val="auto"/>
                <w:spacing w:val="4"/>
                <w:sz w:val="24"/>
                <w:szCs w:val="24"/>
                <w:lang w:eastAsia="zh-CN"/>
              </w:rPr>
              <w:t>4</w:t>
            </w:r>
            <w:r>
              <w:rPr>
                <w:rFonts w:ascii="Times New Roman" w:hAnsi="Times New Roman" w:eastAsia="宋体" w:cs="Times New Roman"/>
                <w:color w:val="auto"/>
                <w:spacing w:val="4"/>
                <w:sz w:val="24"/>
                <w:szCs w:val="24"/>
                <w:lang w:eastAsia="zh-CN"/>
              </w:rPr>
              <w:t>。</w:t>
            </w:r>
          </w:p>
          <w:p>
            <w:pPr>
              <w:pStyle w:val="22"/>
              <w:widowControl w:val="0"/>
              <w:kinsoku/>
              <w:spacing w:before="44" w:line="211" w:lineRule="auto"/>
              <w:ind w:left="2279"/>
              <w:jc w:val="both"/>
              <w:rPr>
                <w:rFonts w:hint="eastAsia"/>
                <w:b/>
                <w:bCs/>
                <w:color w:val="auto"/>
                <w:spacing w:val="-2"/>
                <w:sz w:val="21"/>
                <w:szCs w:val="21"/>
                <w:lang w:eastAsia="zh-CN"/>
              </w:rPr>
            </w:pPr>
            <w:r>
              <w:rPr>
                <w:b/>
                <w:bCs/>
                <w:color w:val="auto"/>
                <w:spacing w:val="-2"/>
                <w:sz w:val="21"/>
                <w:szCs w:val="21"/>
                <w:lang w:eastAsia="zh-CN"/>
              </w:rPr>
              <w:t>表</w:t>
            </w:r>
            <w:r>
              <w:rPr>
                <w:rFonts w:ascii="Times New Roman" w:hAnsi="Times New Roman" w:eastAsia="Times New Roman" w:cs="Times New Roman"/>
                <w:b/>
                <w:bCs/>
                <w:color w:val="auto"/>
                <w:spacing w:val="-2"/>
                <w:sz w:val="21"/>
                <w:szCs w:val="21"/>
                <w:lang w:eastAsia="zh-CN"/>
              </w:rPr>
              <w:t>4-1</w:t>
            </w:r>
            <w:r>
              <w:rPr>
                <w:rFonts w:hint="eastAsia" w:ascii="Times New Roman" w:hAnsi="Times New Roman" w:eastAsia="Times New Roman" w:cs="Times New Roman"/>
                <w:b/>
                <w:bCs/>
                <w:color w:val="auto"/>
                <w:spacing w:val="-2"/>
                <w:sz w:val="21"/>
                <w:szCs w:val="21"/>
                <w:lang w:eastAsia="zh-CN"/>
              </w:rPr>
              <w:t>4</w:t>
            </w:r>
            <w:r>
              <w:rPr>
                <w:b/>
                <w:bCs/>
                <w:color w:val="auto"/>
                <w:spacing w:val="-2"/>
                <w:sz w:val="21"/>
                <w:szCs w:val="21"/>
                <w:lang w:eastAsia="zh-CN"/>
              </w:rPr>
              <w:t>厂界噪声预测结果与达标分析表</w:t>
            </w:r>
          </w:p>
          <w:tbl>
            <w:tblPr>
              <w:tblStyle w:val="21"/>
              <w:tblW w:w="8451"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1"/>
              <w:gridCol w:w="2400"/>
              <w:gridCol w:w="1875"/>
              <w:gridCol w:w="2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1491"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项目厂界</w:t>
                  </w:r>
                </w:p>
              </w:tc>
              <w:tc>
                <w:tcPr>
                  <w:tcW w:w="2400"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昼间</w:t>
                  </w:r>
                  <w:r>
                    <w:rPr>
                      <w:rFonts w:hint="eastAsia" w:ascii="Times New Roman" w:hAnsi="Times New Roman" w:eastAsia="宋体" w:cs="Times New Roman"/>
                      <w:b/>
                      <w:bCs/>
                      <w:color w:val="auto"/>
                      <w:lang w:eastAsia="zh-CN"/>
                    </w:rPr>
                    <w:t>最大</w:t>
                  </w:r>
                  <w:r>
                    <w:rPr>
                      <w:rFonts w:ascii="Times New Roman" w:hAnsi="Times New Roman" w:eastAsia="宋体" w:cs="Times New Roman"/>
                      <w:b/>
                      <w:bCs/>
                      <w:color w:val="auto"/>
                    </w:rPr>
                    <w:t>贡献值</w:t>
                  </w:r>
                </w:p>
              </w:tc>
              <w:tc>
                <w:tcPr>
                  <w:tcW w:w="1875"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标准限值dB(A)</w:t>
                  </w:r>
                </w:p>
              </w:tc>
              <w:tc>
                <w:tcPr>
                  <w:tcW w:w="2685" w:type="dxa"/>
                  <w:vMerge w:val="restart"/>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491" w:type="dxa"/>
                  <w:vMerge w:val="continue"/>
                  <w:vAlign w:val="center"/>
                </w:tcPr>
                <w:p>
                  <w:pPr>
                    <w:kinsoku/>
                    <w:jc w:val="center"/>
                    <w:rPr>
                      <w:rFonts w:ascii="Times New Roman" w:hAnsi="Times New Roman" w:eastAsia="宋体" w:cs="Times New Roman"/>
                      <w:color w:val="auto"/>
                      <w:lang w:eastAsia="zh-CN"/>
                    </w:rPr>
                  </w:pPr>
                </w:p>
              </w:tc>
              <w:tc>
                <w:tcPr>
                  <w:tcW w:w="2400" w:type="dxa"/>
                  <w:vMerge w:val="continue"/>
                  <w:vAlign w:val="center"/>
                </w:tcPr>
                <w:p>
                  <w:pPr>
                    <w:kinsoku/>
                    <w:jc w:val="center"/>
                    <w:rPr>
                      <w:rFonts w:ascii="Times New Roman" w:hAnsi="Times New Roman" w:eastAsia="宋体" w:cs="Times New Roman"/>
                      <w:color w:val="auto"/>
                      <w:lang w:eastAsia="zh-CN"/>
                    </w:rPr>
                  </w:pPr>
                </w:p>
              </w:tc>
              <w:tc>
                <w:tcPr>
                  <w:tcW w:w="1875" w:type="dxa"/>
                  <w:vMerge w:val="continue"/>
                  <w:vAlign w:val="center"/>
                </w:tcPr>
                <w:p>
                  <w:pPr>
                    <w:kinsoku/>
                    <w:jc w:val="center"/>
                    <w:rPr>
                      <w:rFonts w:ascii="Times New Roman" w:hAnsi="Times New Roman" w:eastAsia="宋体" w:cs="Times New Roman"/>
                      <w:color w:val="auto"/>
                      <w:lang w:eastAsia="zh-CN"/>
                    </w:rPr>
                  </w:pPr>
                </w:p>
              </w:tc>
              <w:tc>
                <w:tcPr>
                  <w:tcW w:w="2685" w:type="dxa"/>
                  <w:vMerge w:val="continue"/>
                  <w:vAlign w:val="center"/>
                </w:tcPr>
                <w:p>
                  <w:pPr>
                    <w:kinsoku/>
                    <w:jc w:val="center"/>
                    <w:rPr>
                      <w:rFonts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491"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东厂界</w:t>
                  </w:r>
                </w:p>
              </w:tc>
              <w:tc>
                <w:tcPr>
                  <w:tcW w:w="2400"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59.96</w:t>
                  </w:r>
                </w:p>
              </w:tc>
              <w:tc>
                <w:tcPr>
                  <w:tcW w:w="187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65</w:t>
                  </w:r>
                </w:p>
              </w:tc>
              <w:tc>
                <w:tcPr>
                  <w:tcW w:w="26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491"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南厂界</w:t>
                  </w:r>
                </w:p>
              </w:tc>
              <w:tc>
                <w:tcPr>
                  <w:tcW w:w="240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55.24</w:t>
                  </w:r>
                </w:p>
              </w:tc>
              <w:tc>
                <w:tcPr>
                  <w:tcW w:w="187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65</w:t>
                  </w:r>
                </w:p>
              </w:tc>
              <w:tc>
                <w:tcPr>
                  <w:tcW w:w="26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491"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西厂界</w:t>
                  </w:r>
                </w:p>
              </w:tc>
              <w:tc>
                <w:tcPr>
                  <w:tcW w:w="240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59.90</w:t>
                  </w:r>
                </w:p>
              </w:tc>
              <w:tc>
                <w:tcPr>
                  <w:tcW w:w="187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65</w:t>
                  </w:r>
                </w:p>
              </w:tc>
              <w:tc>
                <w:tcPr>
                  <w:tcW w:w="26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491"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北厂界</w:t>
                  </w:r>
                </w:p>
              </w:tc>
              <w:tc>
                <w:tcPr>
                  <w:tcW w:w="2400" w:type="dxa"/>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52.86</w:t>
                  </w:r>
                </w:p>
              </w:tc>
              <w:tc>
                <w:tcPr>
                  <w:tcW w:w="187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65</w:t>
                  </w:r>
                </w:p>
              </w:tc>
              <w:tc>
                <w:tcPr>
                  <w:tcW w:w="2685" w:type="dxa"/>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达标</w:t>
                  </w:r>
                </w:p>
              </w:tc>
            </w:tr>
          </w:tbl>
          <w:p>
            <w:pPr>
              <w:widowControl w:val="0"/>
              <w:kinsoku/>
              <w:spacing w:line="98" w:lineRule="auto"/>
              <w:jc w:val="both"/>
              <w:rPr>
                <w:color w:val="auto"/>
                <w:sz w:val="2"/>
                <w:lang w:eastAsia="zh-CN"/>
              </w:rPr>
            </w:pPr>
          </w:p>
          <w:p>
            <w:pPr>
              <w:pStyle w:val="22"/>
              <w:widowControl w:val="0"/>
              <w:kinsoku/>
              <w:spacing w:before="37" w:line="346" w:lineRule="auto"/>
              <w:ind w:left="107" w:right="101" w:hanging="107"/>
              <w:jc w:val="both"/>
              <w:rPr>
                <w:rFonts w:hint="eastAsia"/>
                <w:color w:val="auto"/>
              </w:rPr>
            </w:pPr>
            <w:r>
              <w:rPr>
                <w:color w:val="auto"/>
                <w:lang w:eastAsia="zh-CN"/>
              </w:rPr>
              <w:drawing>
                <wp:inline distT="0" distB="0" distL="114300" distR="114300">
                  <wp:extent cx="5544820" cy="3262630"/>
                  <wp:effectExtent l="0" t="0" r="17780" b="13970"/>
                  <wp:docPr id="31" name="图片 31" descr="微信图片_202504212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0421210407"/>
                          <pic:cNvPicPr>
                            <a:picLocks noChangeAspect="1"/>
                          </pic:cNvPicPr>
                        </pic:nvPicPr>
                        <pic:blipFill>
                          <a:blip r:embed="rId27"/>
                          <a:stretch>
                            <a:fillRect/>
                          </a:stretch>
                        </pic:blipFill>
                        <pic:spPr>
                          <a:xfrm>
                            <a:off x="0" y="0"/>
                            <a:ext cx="5544820" cy="3262630"/>
                          </a:xfrm>
                          <a:prstGeom prst="rect">
                            <a:avLst/>
                          </a:prstGeom>
                        </pic:spPr>
                      </pic:pic>
                    </a:graphicData>
                  </a:graphic>
                </wp:inline>
              </w:drawing>
            </w:r>
          </w:p>
          <w:p>
            <w:pPr>
              <w:pStyle w:val="22"/>
              <w:widowControl w:val="0"/>
              <w:kinsoku/>
              <w:spacing w:before="37" w:line="346" w:lineRule="auto"/>
              <w:ind w:left="107" w:right="101" w:hanging="107"/>
              <w:jc w:val="center"/>
              <w:rPr>
                <w:rFonts w:ascii="Times New Roman" w:hAnsi="Times New Roman" w:cs="Times New Roman"/>
                <w:b/>
                <w:bCs/>
                <w:color w:val="auto"/>
                <w:spacing w:val="-1"/>
                <w:sz w:val="21"/>
                <w:szCs w:val="21"/>
                <w:lang w:eastAsia="zh-CN"/>
              </w:rPr>
            </w:pPr>
            <w:r>
              <w:rPr>
                <w:rFonts w:ascii="Times New Roman" w:hAnsi="Times New Roman" w:cs="Times New Roman"/>
                <w:b/>
                <w:bCs/>
                <w:color w:val="auto"/>
                <w:spacing w:val="-1"/>
                <w:sz w:val="21"/>
                <w:szCs w:val="21"/>
                <w:lang w:eastAsia="zh-CN"/>
              </w:rPr>
              <w:t>图4-1 等值声线图</w:t>
            </w:r>
          </w:p>
          <w:p>
            <w:pPr>
              <w:pStyle w:val="22"/>
              <w:widowControl w:val="0"/>
              <w:kinsoku/>
              <w:spacing w:before="37" w:line="346" w:lineRule="auto"/>
              <w:ind w:left="107" w:right="101" w:firstLine="510"/>
              <w:jc w:val="both"/>
              <w:rPr>
                <w:rFonts w:hint="eastAsia"/>
                <w:color w:val="auto"/>
                <w:lang w:eastAsia="zh-CN"/>
              </w:rPr>
            </w:pPr>
            <w:r>
              <w:rPr>
                <w:color w:val="auto"/>
                <w:spacing w:val="4"/>
                <w:lang w:eastAsia="zh-CN"/>
              </w:rPr>
              <w:t>由表</w:t>
            </w:r>
            <w:r>
              <w:rPr>
                <w:rFonts w:ascii="Times New Roman" w:hAnsi="Times New Roman" w:eastAsia="Times New Roman" w:cs="Times New Roman"/>
                <w:color w:val="auto"/>
                <w:spacing w:val="4"/>
                <w:lang w:eastAsia="zh-CN"/>
              </w:rPr>
              <w:t>4-1</w:t>
            </w:r>
            <w:r>
              <w:rPr>
                <w:rFonts w:hint="eastAsia" w:ascii="Times New Roman" w:hAnsi="Times New Roman" w:eastAsia="Times New Roman" w:cs="Times New Roman"/>
                <w:color w:val="auto"/>
                <w:spacing w:val="4"/>
                <w:lang w:eastAsia="zh-CN"/>
              </w:rPr>
              <w:t>5</w:t>
            </w:r>
            <w:r>
              <w:rPr>
                <w:color w:val="auto"/>
                <w:spacing w:val="4"/>
                <w:lang w:eastAsia="zh-CN"/>
              </w:rPr>
              <w:t>可知，通过厂房隔音、距离衰减后厂界噪声影响值可达到《工业企</w:t>
            </w:r>
            <w:r>
              <w:rPr>
                <w:color w:val="auto"/>
                <w:spacing w:val="2"/>
                <w:lang w:eastAsia="zh-CN"/>
              </w:rPr>
              <w:t>业厂界环境噪声排放标准》</w:t>
            </w:r>
            <w:r>
              <w:rPr>
                <w:rFonts w:ascii="Times New Roman" w:hAnsi="Times New Roman" w:eastAsia="Times New Roman" w:cs="Times New Roman"/>
                <w:color w:val="auto"/>
                <w:spacing w:val="2"/>
                <w:lang w:eastAsia="zh-CN"/>
              </w:rPr>
              <w:t>(</w:t>
            </w:r>
            <w:r>
              <w:rPr>
                <w:rFonts w:ascii="Times New Roman" w:hAnsi="Times New Roman" w:eastAsia="Times New Roman" w:cs="Times New Roman"/>
                <w:color w:val="auto"/>
                <w:lang w:eastAsia="zh-CN"/>
              </w:rPr>
              <w:t>GB</w:t>
            </w:r>
            <w:r>
              <w:rPr>
                <w:rFonts w:ascii="Times New Roman" w:hAnsi="Times New Roman" w:eastAsia="Times New Roman" w:cs="Times New Roman"/>
                <w:color w:val="auto"/>
                <w:spacing w:val="2"/>
                <w:lang w:eastAsia="zh-CN"/>
              </w:rPr>
              <w:t>12348-2008)3</w:t>
            </w:r>
            <w:r>
              <w:rPr>
                <w:color w:val="auto"/>
                <w:spacing w:val="2"/>
                <w:lang w:eastAsia="zh-CN"/>
              </w:rPr>
              <w:t>类标准，厂界周边</w:t>
            </w:r>
            <w:r>
              <w:rPr>
                <w:rFonts w:ascii="Times New Roman" w:hAnsi="Times New Roman" w:eastAsia="Times New Roman" w:cs="Times New Roman"/>
                <w:color w:val="auto"/>
                <w:spacing w:val="2"/>
                <w:lang w:eastAsia="zh-CN"/>
              </w:rPr>
              <w:t>50m</w:t>
            </w:r>
            <w:r>
              <w:rPr>
                <w:color w:val="auto"/>
                <w:spacing w:val="2"/>
                <w:lang w:eastAsia="zh-CN"/>
              </w:rPr>
              <w:t>内无噪声敏</w:t>
            </w:r>
            <w:r>
              <w:rPr>
                <w:color w:val="auto"/>
                <w:spacing w:val="-1"/>
                <w:lang w:eastAsia="zh-CN"/>
              </w:rPr>
              <w:t>感目标，且夜间不生产，项目产生噪声对周边环境影响较小。</w:t>
            </w:r>
          </w:p>
          <w:p>
            <w:pPr>
              <w:pStyle w:val="37"/>
              <w:widowControl w:val="0"/>
              <w:kinsoku/>
              <w:ind w:firstLine="482"/>
              <w:jc w:val="both"/>
              <w:rPr>
                <w:b/>
                <w:color w:val="auto"/>
                <w:lang w:eastAsia="zh-CN"/>
              </w:rPr>
            </w:pPr>
            <w:r>
              <w:rPr>
                <w:rFonts w:hint="eastAsia"/>
                <w:b/>
                <w:color w:val="auto"/>
                <w:lang w:eastAsia="zh-CN"/>
              </w:rPr>
              <w:t>4、防治措施</w:t>
            </w:r>
          </w:p>
          <w:p>
            <w:pPr>
              <w:pStyle w:val="37"/>
              <w:widowControl w:val="0"/>
              <w:kinsoku/>
              <w:ind w:firstLine="480"/>
              <w:jc w:val="both"/>
              <w:rPr>
                <w:color w:val="auto"/>
                <w:lang w:eastAsia="zh-CN"/>
              </w:rPr>
            </w:pPr>
            <w:r>
              <w:rPr>
                <w:rFonts w:hint="eastAsia"/>
                <w:color w:val="auto"/>
                <w:lang w:eastAsia="zh-CN"/>
              </w:rPr>
              <w:t>（1）尽可能选用噪声低、振动小、能耗小的机械设备。针对高噪声设备应加装减振垫、橡胶垫等，并对生产设备进行定期检查，维护、检修、加固支架等，保持设备的正常运转，避免设备非正常工作而产生高噪声污染。</w:t>
            </w:r>
          </w:p>
          <w:p>
            <w:pPr>
              <w:pStyle w:val="37"/>
              <w:widowControl w:val="0"/>
              <w:kinsoku/>
              <w:ind w:firstLine="480"/>
              <w:jc w:val="both"/>
              <w:rPr>
                <w:color w:val="auto"/>
                <w:lang w:eastAsia="zh-CN"/>
              </w:rPr>
            </w:pPr>
            <w:r>
              <w:rPr>
                <w:rFonts w:hint="eastAsia"/>
                <w:color w:val="auto"/>
                <w:lang w:eastAsia="zh-CN"/>
              </w:rPr>
              <w:t>（2）应加强运输车辆管理，教育运输人员运输时低速、匀速行驶，禁止鸣笛。</w:t>
            </w:r>
          </w:p>
          <w:p>
            <w:pPr>
              <w:pStyle w:val="37"/>
              <w:widowControl w:val="0"/>
              <w:kinsoku/>
              <w:ind w:firstLine="480"/>
              <w:jc w:val="both"/>
              <w:rPr>
                <w:color w:val="auto"/>
                <w:lang w:eastAsia="zh-CN"/>
              </w:rPr>
            </w:pPr>
            <w:r>
              <w:rPr>
                <w:rFonts w:hint="eastAsia"/>
                <w:color w:val="auto"/>
                <w:lang w:eastAsia="zh-CN"/>
              </w:rPr>
              <w:t>（3）</w:t>
            </w:r>
            <w:bookmarkStart w:id="35" w:name="_Hlk203641839"/>
            <w:r>
              <w:rPr>
                <w:rFonts w:hint="eastAsia"/>
                <w:color w:val="auto"/>
                <w:lang w:eastAsia="zh-CN"/>
              </w:rPr>
              <w:t>加强生产设备的日常维护</w:t>
            </w:r>
            <w:bookmarkEnd w:id="35"/>
            <w:r>
              <w:rPr>
                <w:rFonts w:hint="eastAsia"/>
                <w:color w:val="auto"/>
                <w:lang w:eastAsia="zh-CN"/>
              </w:rPr>
              <w:t>，并对老化和性能降低的旧设备进行及时更换，以此降低摩擦，减少噪声强度。</w:t>
            </w:r>
          </w:p>
          <w:p>
            <w:pPr>
              <w:pStyle w:val="37"/>
              <w:widowControl w:val="0"/>
              <w:kinsoku/>
              <w:ind w:firstLine="480"/>
              <w:jc w:val="both"/>
              <w:rPr>
                <w:color w:val="auto"/>
                <w:lang w:eastAsia="zh-CN"/>
              </w:rPr>
            </w:pPr>
            <w:r>
              <w:rPr>
                <w:rFonts w:hint="eastAsia"/>
                <w:color w:val="auto"/>
                <w:lang w:eastAsia="zh-CN"/>
              </w:rPr>
              <w:t>（4）厂区总体设计布置时，</w:t>
            </w:r>
            <w:bookmarkStart w:id="36" w:name="_Hlk203641846"/>
            <w:r>
              <w:rPr>
                <w:rFonts w:hint="eastAsia"/>
                <w:color w:val="auto"/>
                <w:lang w:eastAsia="zh-CN"/>
              </w:rPr>
              <w:t>合理布置产噪设备</w:t>
            </w:r>
            <w:bookmarkEnd w:id="36"/>
            <w:r>
              <w:rPr>
                <w:rFonts w:hint="eastAsia"/>
                <w:color w:val="auto"/>
                <w:lang w:eastAsia="zh-CN"/>
              </w:rPr>
              <w:t>，高噪声设备尽量布置在厂房中间位置，与厂界保持一定距离。</w:t>
            </w:r>
          </w:p>
          <w:p>
            <w:pPr>
              <w:widowControl w:val="0"/>
              <w:kinsoku/>
              <w:spacing w:line="360" w:lineRule="auto"/>
              <w:ind w:firstLine="480" w:firstLineChars="200"/>
              <w:jc w:val="both"/>
              <w:rPr>
                <w:b/>
                <w:color w:val="auto"/>
                <w:sz w:val="24"/>
                <w:lang w:eastAsia="zh-CN"/>
              </w:rPr>
            </w:pPr>
            <w:r>
              <w:rPr>
                <w:rFonts w:hint="eastAsia"/>
                <w:b/>
                <w:color w:val="auto"/>
                <w:sz w:val="24"/>
                <w:lang w:eastAsia="zh-CN"/>
              </w:rPr>
              <w:t>5、自行监测要求</w:t>
            </w:r>
          </w:p>
          <w:p>
            <w:pPr>
              <w:pStyle w:val="22"/>
              <w:widowControl w:val="0"/>
              <w:kinsoku/>
              <w:spacing w:before="182" w:line="345" w:lineRule="auto"/>
              <w:ind w:left="109" w:right="102" w:firstLine="481"/>
              <w:jc w:val="both"/>
              <w:rPr>
                <w:rFonts w:hint="eastAsia"/>
                <w:color w:val="auto"/>
                <w:lang w:eastAsia="zh-CN"/>
              </w:rPr>
            </w:pPr>
            <w:r>
              <w:rPr>
                <w:color w:val="auto"/>
                <w:lang w:eastAsia="zh-CN"/>
              </w:rPr>
              <w:t>根</w:t>
            </w:r>
            <w:r>
              <w:rPr>
                <w:rFonts w:ascii="Times New Roman" w:hAnsi="Times New Roman" w:cs="Times New Roman"/>
                <w:color w:val="auto"/>
                <w:lang w:eastAsia="zh-CN"/>
              </w:rPr>
              <w:t>据《排污单位自行监测技术指南 总则》（HJ819-2017）</w:t>
            </w:r>
            <w:r>
              <w:rPr>
                <w:rFonts w:hint="eastAsia" w:ascii="Times New Roman" w:hAnsi="Times New Roman" w:cs="Times New Roman"/>
                <w:color w:val="auto"/>
                <w:lang w:eastAsia="zh-CN"/>
              </w:rPr>
              <w:t>、</w:t>
            </w:r>
            <w:r>
              <w:rPr>
                <w:rFonts w:hint="eastAsia"/>
                <w:color w:val="auto"/>
                <w:spacing w:val="1"/>
                <w:lang w:eastAsia="zh-CN"/>
              </w:rPr>
              <w:t>《排污许可证申请与核发技术规范家具制造工业》</w:t>
            </w:r>
            <w:r>
              <w:rPr>
                <w:rFonts w:ascii="Times New Roman" w:hAnsi="Times New Roman" w:cs="Times New Roman"/>
                <w:color w:val="auto"/>
                <w:spacing w:val="1"/>
                <w:lang w:eastAsia="zh-CN"/>
              </w:rPr>
              <w:t>(HJ1027-2019)、</w:t>
            </w:r>
            <w:r>
              <w:rPr>
                <w:rFonts w:ascii="Times New Roman" w:hAnsi="Times New Roman" w:cs="Times New Roman"/>
                <w:color w:val="auto"/>
                <w:lang w:eastAsia="zh-CN"/>
              </w:rPr>
              <w:t>《</w:t>
            </w:r>
            <w:r>
              <w:rPr>
                <w:rFonts w:ascii="Times New Roman" w:hAnsi="Times New Roman" w:cs="Times New Roman"/>
                <w:color w:val="auto"/>
                <w:sz w:val="26"/>
                <w:szCs w:val="26"/>
                <w:shd w:val="clear" w:color="auto" w:fill="FFFFFF"/>
                <w:lang w:eastAsia="zh-CN"/>
              </w:rPr>
              <w:t>排污许可证申请与核发技术规范 工业噪声</w:t>
            </w:r>
            <w:r>
              <w:rPr>
                <w:rFonts w:ascii="Times New Roman" w:hAnsi="Times New Roman" w:cs="Times New Roman"/>
                <w:color w:val="auto"/>
                <w:lang w:eastAsia="zh-CN"/>
              </w:rPr>
              <w:t>》（HJ1301-2023）</w:t>
            </w:r>
            <w:r>
              <w:rPr>
                <w:color w:val="auto"/>
                <w:spacing w:val="20"/>
                <w:lang w:eastAsia="zh-CN"/>
              </w:rPr>
              <w:t>，</w:t>
            </w:r>
            <w:r>
              <w:rPr>
                <w:color w:val="auto"/>
                <w:spacing w:val="4"/>
                <w:lang w:eastAsia="zh-CN"/>
              </w:rPr>
              <w:t>项目投产后，企</w:t>
            </w:r>
            <w:r>
              <w:rPr>
                <w:color w:val="auto"/>
                <w:spacing w:val="1"/>
                <w:lang w:eastAsia="zh-CN"/>
              </w:rPr>
              <w:t>业应定期组织噪声监测。若企业不具备监测条件，需委托当地具有监测资质的单位</w:t>
            </w:r>
            <w:r>
              <w:rPr>
                <w:color w:val="auto"/>
                <w:spacing w:val="-1"/>
                <w:lang w:eastAsia="zh-CN"/>
              </w:rPr>
              <w:t>开展噪声监测。项目监测计划具体如下表所示</w:t>
            </w:r>
            <w:r>
              <w:rPr>
                <w:rFonts w:hint="eastAsia"/>
                <w:color w:val="auto"/>
                <w:spacing w:val="-1"/>
                <w:lang w:eastAsia="zh-CN"/>
              </w:rPr>
              <w:t>：</w:t>
            </w:r>
          </w:p>
          <w:p>
            <w:pPr>
              <w:pStyle w:val="22"/>
              <w:widowControl w:val="0"/>
              <w:kinsoku/>
              <w:spacing w:before="28" w:line="228" w:lineRule="auto"/>
              <w:ind w:left="3130"/>
              <w:jc w:val="both"/>
              <w:rPr>
                <w:rFonts w:hint="eastAsia"/>
                <w:color w:val="auto"/>
                <w:sz w:val="20"/>
                <w:szCs w:val="20"/>
                <w:lang w:eastAsia="zh-CN"/>
              </w:rPr>
            </w:pPr>
            <w:r>
              <w:rPr>
                <w:b/>
                <w:bCs/>
                <w:color w:val="auto"/>
                <w:spacing w:val="4"/>
                <w:sz w:val="20"/>
                <w:szCs w:val="20"/>
                <w:lang w:eastAsia="zh-CN"/>
              </w:rPr>
              <w:t>表</w:t>
            </w:r>
            <w:r>
              <w:rPr>
                <w:rFonts w:ascii="Times New Roman" w:hAnsi="Times New Roman" w:eastAsia="Times New Roman" w:cs="Times New Roman"/>
                <w:b/>
                <w:bCs/>
                <w:color w:val="auto"/>
                <w:spacing w:val="4"/>
                <w:sz w:val="20"/>
                <w:szCs w:val="20"/>
                <w:lang w:eastAsia="zh-CN"/>
              </w:rPr>
              <w:t>4-</w:t>
            </w:r>
            <w:r>
              <w:rPr>
                <w:rFonts w:hint="eastAsia" w:ascii="Times New Roman" w:hAnsi="Times New Roman" w:eastAsia="Times New Roman" w:cs="Times New Roman"/>
                <w:b/>
                <w:bCs/>
                <w:color w:val="auto"/>
                <w:spacing w:val="4"/>
                <w:sz w:val="20"/>
                <w:szCs w:val="20"/>
                <w:lang w:eastAsia="zh-CN"/>
              </w:rPr>
              <w:t>15</w:t>
            </w:r>
            <w:r>
              <w:rPr>
                <w:b/>
                <w:bCs/>
                <w:color w:val="auto"/>
                <w:spacing w:val="4"/>
                <w:sz w:val="20"/>
                <w:szCs w:val="20"/>
                <w:lang w:eastAsia="zh-CN"/>
              </w:rPr>
              <w:t>项目噪声监测计划</w:t>
            </w:r>
          </w:p>
          <w:p>
            <w:pPr>
              <w:widowControl w:val="0"/>
              <w:kinsoku/>
              <w:spacing w:line="130" w:lineRule="exact"/>
              <w:jc w:val="both"/>
              <w:rPr>
                <w:color w:val="auto"/>
                <w:lang w:eastAsia="zh-CN"/>
              </w:rPr>
            </w:pPr>
          </w:p>
          <w:tbl>
            <w:tblPr>
              <w:tblStyle w:val="21"/>
              <w:tblW w:w="856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1"/>
              <w:gridCol w:w="791"/>
              <w:gridCol w:w="1095"/>
              <w:gridCol w:w="1290"/>
              <w:gridCol w:w="1560"/>
              <w:gridCol w:w="1193"/>
              <w:gridCol w:w="1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831" w:type="dxa"/>
                  <w:vAlign w:val="center"/>
                </w:tcPr>
                <w:p>
                  <w:pPr>
                    <w:kinsoku/>
                    <w:jc w:val="center"/>
                    <w:rPr>
                      <w:color w:val="auto"/>
                      <w:lang w:eastAsia="zh-CN"/>
                    </w:rPr>
                  </w:pPr>
                  <w:r>
                    <w:rPr>
                      <w:color w:val="auto"/>
                      <w:lang w:eastAsia="zh-CN"/>
                    </w:rPr>
                    <w:t>序号</w:t>
                  </w:r>
                </w:p>
              </w:tc>
              <w:tc>
                <w:tcPr>
                  <w:tcW w:w="791" w:type="dxa"/>
                  <w:vAlign w:val="center"/>
                </w:tcPr>
                <w:p>
                  <w:pPr>
                    <w:kinsoku/>
                    <w:jc w:val="center"/>
                    <w:rPr>
                      <w:color w:val="auto"/>
                      <w:lang w:eastAsia="zh-CN"/>
                    </w:rPr>
                  </w:pPr>
                  <w:r>
                    <w:rPr>
                      <w:color w:val="auto"/>
                      <w:lang w:eastAsia="zh-CN"/>
                    </w:rPr>
                    <w:t>项目</w:t>
                  </w:r>
                </w:p>
              </w:tc>
              <w:tc>
                <w:tcPr>
                  <w:tcW w:w="1095" w:type="dxa"/>
                  <w:vAlign w:val="center"/>
                </w:tcPr>
                <w:p>
                  <w:pPr>
                    <w:kinsoku/>
                    <w:jc w:val="center"/>
                    <w:rPr>
                      <w:color w:val="auto"/>
                      <w:lang w:eastAsia="zh-CN"/>
                    </w:rPr>
                  </w:pPr>
                  <w:r>
                    <w:rPr>
                      <w:color w:val="auto"/>
                      <w:lang w:eastAsia="zh-CN"/>
                    </w:rPr>
                    <w:t>监测点</w:t>
                  </w:r>
                </w:p>
              </w:tc>
              <w:tc>
                <w:tcPr>
                  <w:tcW w:w="1290" w:type="dxa"/>
                  <w:vAlign w:val="center"/>
                </w:tcPr>
                <w:p>
                  <w:pPr>
                    <w:kinsoku/>
                    <w:jc w:val="center"/>
                    <w:rPr>
                      <w:color w:val="auto"/>
                      <w:lang w:eastAsia="zh-CN"/>
                    </w:rPr>
                  </w:pPr>
                  <w:r>
                    <w:rPr>
                      <w:color w:val="auto"/>
                      <w:lang w:eastAsia="zh-CN"/>
                    </w:rPr>
                    <w:t>监测时段</w:t>
                  </w:r>
                </w:p>
              </w:tc>
              <w:tc>
                <w:tcPr>
                  <w:tcW w:w="1560" w:type="dxa"/>
                  <w:vAlign w:val="center"/>
                </w:tcPr>
                <w:p>
                  <w:pPr>
                    <w:kinsoku/>
                    <w:jc w:val="center"/>
                    <w:rPr>
                      <w:color w:val="auto"/>
                      <w:lang w:eastAsia="zh-CN"/>
                    </w:rPr>
                  </w:pPr>
                  <w:r>
                    <w:rPr>
                      <w:color w:val="auto"/>
                      <w:lang w:eastAsia="zh-CN"/>
                    </w:rPr>
                    <w:t>监测指标</w:t>
                  </w:r>
                </w:p>
              </w:tc>
              <w:tc>
                <w:tcPr>
                  <w:tcW w:w="1193" w:type="dxa"/>
                  <w:vAlign w:val="center"/>
                </w:tcPr>
                <w:p>
                  <w:pPr>
                    <w:kinsoku/>
                    <w:jc w:val="center"/>
                    <w:rPr>
                      <w:color w:val="auto"/>
                      <w:lang w:eastAsia="zh-CN"/>
                    </w:rPr>
                  </w:pPr>
                  <w:r>
                    <w:rPr>
                      <w:color w:val="auto"/>
                      <w:lang w:eastAsia="zh-CN"/>
                    </w:rPr>
                    <w:t>监测频次</w:t>
                  </w:r>
                </w:p>
              </w:tc>
              <w:tc>
                <w:tcPr>
                  <w:tcW w:w="1807" w:type="dxa"/>
                  <w:shd w:val="clear" w:color="auto" w:fill="auto"/>
                  <w:vAlign w:val="center"/>
                </w:tcPr>
                <w:p>
                  <w:pPr>
                    <w:kinsoku/>
                    <w:jc w:val="center"/>
                    <w:rPr>
                      <w:color w:val="auto"/>
                      <w:lang w:eastAsia="zh-CN"/>
                    </w:rPr>
                  </w:pPr>
                  <w:r>
                    <w:rPr>
                      <w:rFonts w:hint="eastAsia"/>
                      <w:color w:val="auto"/>
                      <w:lang w:eastAsia="zh-CN"/>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831" w:type="dxa"/>
                  <w:vAlign w:val="center"/>
                </w:tcPr>
                <w:p>
                  <w:pPr>
                    <w:kinsoku/>
                    <w:jc w:val="center"/>
                    <w:rPr>
                      <w:color w:val="auto"/>
                      <w:lang w:eastAsia="zh-CN"/>
                    </w:rPr>
                  </w:pPr>
                  <w:r>
                    <w:rPr>
                      <w:color w:val="auto"/>
                      <w:lang w:eastAsia="zh-CN"/>
                    </w:rPr>
                    <w:t>1</w:t>
                  </w:r>
                </w:p>
              </w:tc>
              <w:tc>
                <w:tcPr>
                  <w:tcW w:w="791" w:type="dxa"/>
                  <w:vAlign w:val="center"/>
                </w:tcPr>
                <w:p>
                  <w:pPr>
                    <w:kinsoku/>
                    <w:jc w:val="center"/>
                    <w:rPr>
                      <w:color w:val="auto"/>
                      <w:lang w:eastAsia="zh-CN"/>
                    </w:rPr>
                  </w:pPr>
                  <w:r>
                    <w:rPr>
                      <w:color w:val="auto"/>
                      <w:lang w:eastAsia="zh-CN"/>
                    </w:rPr>
                    <w:t>噪声</w:t>
                  </w:r>
                </w:p>
              </w:tc>
              <w:tc>
                <w:tcPr>
                  <w:tcW w:w="1095" w:type="dxa"/>
                  <w:vAlign w:val="center"/>
                </w:tcPr>
                <w:p>
                  <w:pPr>
                    <w:kinsoku/>
                    <w:jc w:val="center"/>
                    <w:rPr>
                      <w:color w:val="auto"/>
                      <w:lang w:eastAsia="zh-CN"/>
                    </w:rPr>
                  </w:pPr>
                  <w:r>
                    <w:rPr>
                      <w:color w:val="auto"/>
                      <w:lang w:eastAsia="zh-CN"/>
                    </w:rPr>
                    <w:t>厂界四周</w:t>
                  </w:r>
                </w:p>
              </w:tc>
              <w:tc>
                <w:tcPr>
                  <w:tcW w:w="1290" w:type="dxa"/>
                  <w:vAlign w:val="center"/>
                </w:tcPr>
                <w:p>
                  <w:pPr>
                    <w:kinsoku/>
                    <w:jc w:val="center"/>
                    <w:rPr>
                      <w:color w:val="auto"/>
                      <w:lang w:eastAsia="zh-CN"/>
                    </w:rPr>
                  </w:pPr>
                  <w:r>
                    <w:rPr>
                      <w:color w:val="auto"/>
                      <w:lang w:eastAsia="zh-CN"/>
                    </w:rPr>
                    <w:t>昼、夜</w:t>
                  </w:r>
                </w:p>
              </w:tc>
              <w:tc>
                <w:tcPr>
                  <w:tcW w:w="1560" w:type="dxa"/>
                  <w:vAlign w:val="center"/>
                </w:tcPr>
                <w:p>
                  <w:pPr>
                    <w:kinsoku/>
                    <w:jc w:val="center"/>
                    <w:rPr>
                      <w:color w:val="auto"/>
                      <w:lang w:eastAsia="zh-CN"/>
                    </w:rPr>
                  </w:pPr>
                  <w:r>
                    <w:rPr>
                      <w:color w:val="auto"/>
                      <w:lang w:eastAsia="zh-CN"/>
                    </w:rPr>
                    <w:t>连续等级A声级</w:t>
                  </w:r>
                </w:p>
              </w:tc>
              <w:tc>
                <w:tcPr>
                  <w:tcW w:w="1193" w:type="dxa"/>
                  <w:vAlign w:val="center"/>
                </w:tcPr>
                <w:p>
                  <w:pPr>
                    <w:kinsoku/>
                    <w:jc w:val="center"/>
                    <w:rPr>
                      <w:color w:val="auto"/>
                      <w:lang w:eastAsia="zh-CN"/>
                    </w:rPr>
                  </w:pPr>
                  <w:r>
                    <w:rPr>
                      <w:color w:val="auto"/>
                      <w:lang w:eastAsia="zh-CN"/>
                    </w:rPr>
                    <w:t>1次/季度</w:t>
                  </w:r>
                </w:p>
              </w:tc>
              <w:tc>
                <w:tcPr>
                  <w:tcW w:w="1807" w:type="dxa"/>
                  <w:shd w:val="clear" w:color="auto" w:fill="auto"/>
                  <w:vAlign w:val="center"/>
                </w:tcPr>
                <w:p>
                  <w:pPr>
                    <w:kinsoku/>
                    <w:jc w:val="center"/>
                    <w:rPr>
                      <w:color w:val="auto"/>
                      <w:lang w:eastAsia="zh-CN"/>
                    </w:rPr>
                  </w:pPr>
                  <w:r>
                    <w:rPr>
                      <w:color w:val="auto"/>
                      <w:lang w:eastAsia="zh-CN"/>
                    </w:rPr>
                    <w:t>《工业企业厂界环境噪声排放标准》(GB12348-2008)3类标准</w:t>
                  </w:r>
                </w:p>
              </w:tc>
            </w:tr>
          </w:tbl>
          <w:p>
            <w:pPr>
              <w:pStyle w:val="22"/>
              <w:widowControl w:val="0"/>
              <w:kinsoku/>
              <w:spacing w:before="37" w:line="360" w:lineRule="auto"/>
              <w:ind w:left="585"/>
              <w:jc w:val="both"/>
              <w:rPr>
                <w:rFonts w:hint="eastAsia"/>
                <w:color w:val="auto"/>
                <w:lang w:eastAsia="zh-CN"/>
              </w:rPr>
            </w:pPr>
            <w:r>
              <w:rPr>
                <w:rFonts w:hint="eastAsia" w:ascii="Times New Roman" w:hAnsi="Times New Roman" w:eastAsia="Times New Roman" w:cs="Times New Roman"/>
                <w:b/>
                <w:bCs/>
                <w:color w:val="auto"/>
                <w:spacing w:val="-7"/>
                <w:lang w:eastAsia="zh-CN"/>
              </w:rPr>
              <w:t>四</w:t>
            </w:r>
            <w:r>
              <w:rPr>
                <w:b/>
                <w:bCs/>
                <w:color w:val="auto"/>
                <w:spacing w:val="-7"/>
                <w:lang w:eastAsia="zh-CN"/>
              </w:rPr>
              <w:t>、固体废物</w:t>
            </w:r>
          </w:p>
          <w:p>
            <w:pPr>
              <w:pStyle w:val="22"/>
              <w:widowControl w:val="0"/>
              <w:kinsoku/>
              <w:spacing w:before="181" w:line="360" w:lineRule="auto"/>
              <w:ind w:firstLine="477" w:firstLineChars="200"/>
              <w:jc w:val="both"/>
              <w:rPr>
                <w:rFonts w:hint="eastAsia"/>
                <w:b/>
                <w:bCs/>
                <w:color w:val="auto"/>
                <w:spacing w:val="-1"/>
                <w:lang w:eastAsia="zh-CN"/>
              </w:rPr>
            </w:pPr>
            <w:r>
              <w:rPr>
                <w:rFonts w:hint="eastAsia"/>
                <w:b/>
                <w:bCs/>
                <w:color w:val="auto"/>
                <w:spacing w:val="-1"/>
                <w:lang w:eastAsia="zh-CN"/>
              </w:rPr>
              <w:t>1、固废产排情况</w:t>
            </w:r>
          </w:p>
          <w:p>
            <w:pPr>
              <w:pStyle w:val="22"/>
              <w:widowControl w:val="0"/>
              <w:kinsoku/>
              <w:spacing w:before="181" w:line="360" w:lineRule="auto"/>
              <w:ind w:firstLine="476" w:firstLineChars="200"/>
              <w:jc w:val="both"/>
              <w:rPr>
                <w:rFonts w:hint="eastAsia"/>
                <w:color w:val="auto"/>
                <w:lang w:eastAsia="zh-CN"/>
              </w:rPr>
            </w:pPr>
            <w:r>
              <w:rPr>
                <w:color w:val="auto"/>
                <w:spacing w:val="-1"/>
                <w:lang w:eastAsia="zh-CN"/>
              </w:rPr>
              <w:t>本项目产生的固体废物主要为生活垃圾、一般工业固废和危险废物。</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w:t>
            </w:r>
            <w:r>
              <w:rPr>
                <w:rFonts w:ascii="Times New Roman" w:hAnsi="Times New Roman" w:eastAsia="宋体" w:cs="Times New Roman"/>
                <w:color w:val="auto"/>
                <w:sz w:val="24"/>
                <w:szCs w:val="24"/>
                <w:lang w:eastAsia="zh-CN"/>
              </w:rPr>
              <w:t>1</w:t>
            </w:r>
            <w:r>
              <w:rPr>
                <w:rFonts w:hint="eastAsia" w:ascii="宋体" w:hAnsi="宋体" w:eastAsia="宋体" w:cs="宋体"/>
                <w:color w:val="auto"/>
                <w:sz w:val="24"/>
                <w:szCs w:val="24"/>
                <w:lang w:eastAsia="zh-CN"/>
              </w:rPr>
              <w:t>）生活垃圾</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本项目员工共</w:t>
            </w:r>
            <w:r>
              <w:rPr>
                <w:rFonts w:hint="eastAsia" w:ascii="Times New Roman" w:hAnsi="Times New Roman" w:eastAsia="宋体" w:cs="Times New Roman"/>
                <w:color w:val="auto"/>
                <w:sz w:val="24"/>
                <w:szCs w:val="24"/>
                <w:lang w:eastAsia="zh-CN"/>
              </w:rPr>
              <w:t>28</w:t>
            </w:r>
            <w:r>
              <w:rPr>
                <w:rFonts w:hint="eastAsia" w:ascii="宋体" w:hAnsi="宋体" w:eastAsia="宋体" w:cs="宋体"/>
                <w:color w:val="auto"/>
                <w:sz w:val="24"/>
                <w:szCs w:val="24"/>
                <w:lang w:eastAsia="zh-CN"/>
              </w:rPr>
              <w:t>人，</w:t>
            </w:r>
            <w:r>
              <w:rPr>
                <w:rFonts w:hint="eastAsia" w:ascii="Times New Roman" w:hAnsi="Times New Roman" w:eastAsia="宋体" w:cs="Times New Roman"/>
                <w:color w:val="auto"/>
                <w:sz w:val="24"/>
                <w:szCs w:val="24"/>
                <w:lang w:eastAsia="zh-CN" w:bidi="ar"/>
              </w:rPr>
              <w:t>在厂内住宿，不在厂内就餐，</w:t>
            </w:r>
            <w:r>
              <w:rPr>
                <w:rFonts w:hint="eastAsia" w:ascii="宋体" w:hAnsi="宋体" w:eastAsia="宋体" w:cs="宋体"/>
                <w:color w:val="auto"/>
                <w:sz w:val="24"/>
                <w:szCs w:val="24"/>
                <w:lang w:eastAsia="zh-CN"/>
              </w:rPr>
              <w:t>按照每人每天产生</w:t>
            </w:r>
            <w:r>
              <w:rPr>
                <w:rFonts w:ascii="Times New Roman" w:hAnsi="Times New Roman" w:eastAsia="宋体" w:cs="Times New Roman"/>
                <w:color w:val="auto"/>
                <w:sz w:val="24"/>
                <w:szCs w:val="24"/>
                <w:lang w:eastAsia="zh-CN"/>
              </w:rPr>
              <w:t>0.5kg</w:t>
            </w:r>
            <w:r>
              <w:rPr>
                <w:rFonts w:hint="eastAsia" w:ascii="宋体" w:hAnsi="宋体" w:eastAsia="宋体" w:cs="宋体"/>
                <w:color w:val="auto"/>
                <w:sz w:val="24"/>
                <w:szCs w:val="24"/>
                <w:lang w:eastAsia="zh-CN"/>
              </w:rPr>
              <w:t>生活垃圾计算，每年产生</w:t>
            </w:r>
            <w:r>
              <w:rPr>
                <w:rFonts w:hint="eastAsia" w:ascii="Times New Roman" w:hAnsi="Times New Roman" w:eastAsia="宋体" w:cs="Times New Roman"/>
                <w:color w:val="auto"/>
                <w:sz w:val="24"/>
                <w:szCs w:val="24"/>
                <w:lang w:eastAsia="zh-CN"/>
              </w:rPr>
              <w:t>4.62</w:t>
            </w:r>
            <w:r>
              <w:rPr>
                <w:rFonts w:ascii="Times New Roman" w:hAnsi="Times New Roman" w:eastAsia="宋体" w:cs="Times New Roman"/>
                <w:color w:val="auto"/>
                <w:sz w:val="24"/>
                <w:szCs w:val="24"/>
                <w:lang w:eastAsia="zh-CN"/>
              </w:rPr>
              <w:t>t</w:t>
            </w:r>
            <w:r>
              <w:rPr>
                <w:rFonts w:hint="eastAsia" w:ascii="宋体" w:hAnsi="宋体" w:eastAsia="宋体" w:cs="宋体"/>
                <w:color w:val="auto"/>
                <w:sz w:val="24"/>
                <w:szCs w:val="24"/>
                <w:lang w:eastAsia="zh-CN"/>
              </w:rPr>
              <w:t>生活垃圾，收集后由当地环卫部门统一收运处理。</w:t>
            </w:r>
          </w:p>
          <w:p>
            <w:pPr>
              <w:widowControl w:val="0"/>
              <w:numPr>
                <w:ilvl w:val="0"/>
                <w:numId w:val="7"/>
              </w:numPr>
              <w:kinsoku/>
              <w:spacing w:line="360" w:lineRule="auto"/>
              <w:ind w:firstLine="480" w:firstLineChars="200"/>
              <w:jc w:val="both"/>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化粪池污泥</w:t>
            </w:r>
          </w:p>
          <w:p>
            <w:pPr>
              <w:widowControl w:val="0"/>
              <w:kinsoku/>
              <w:spacing w:line="360" w:lineRule="auto"/>
              <w:ind w:firstLine="480" w:firstLineChars="200"/>
              <w:jc w:val="both"/>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城市生活污水中污染物分类及处理性评价》（给水排水：Vol.30NO.92004；王晓昌，金鹏康，赵红梅，孟令八），城镇生活污水中SS：165mg/L。依据《城镇生活源产排污系数手册》，生活污水经化粪池处理效率为SS：30%，则本项目污泥产生量为0.0</w:t>
            </w:r>
            <w:r>
              <w:rPr>
                <w:rFonts w:hint="eastAsia" w:ascii="Times New Roman" w:hAnsi="Times New Roman" w:eastAsia="宋体" w:cs="Times New Roman"/>
                <w:color w:val="auto"/>
                <w:sz w:val="24"/>
                <w:szCs w:val="24"/>
                <w:lang w:eastAsia="zh-CN" w:bidi="ar"/>
              </w:rPr>
              <w:t>888</w:t>
            </w:r>
            <w:r>
              <w:rPr>
                <w:rFonts w:ascii="Times New Roman" w:hAnsi="Times New Roman" w:eastAsia="宋体" w:cs="Times New Roman"/>
                <w:color w:val="auto"/>
                <w:sz w:val="24"/>
                <w:szCs w:val="24"/>
                <w:lang w:eastAsia="zh-CN" w:bidi="ar"/>
              </w:rPr>
              <w:t>kg/d，0.0</w:t>
            </w:r>
            <w:r>
              <w:rPr>
                <w:rFonts w:hint="eastAsia" w:ascii="Times New Roman" w:hAnsi="Times New Roman" w:eastAsia="宋体" w:cs="Times New Roman"/>
                <w:color w:val="auto"/>
                <w:sz w:val="24"/>
                <w:szCs w:val="24"/>
                <w:lang w:eastAsia="zh-CN" w:bidi="ar"/>
              </w:rPr>
              <w:t>293</w:t>
            </w:r>
            <w:r>
              <w:rPr>
                <w:rFonts w:ascii="Times New Roman" w:hAnsi="Times New Roman" w:eastAsia="宋体" w:cs="Times New Roman"/>
                <w:color w:val="auto"/>
                <w:sz w:val="24"/>
                <w:szCs w:val="24"/>
                <w:lang w:eastAsia="zh-CN" w:bidi="ar"/>
              </w:rPr>
              <w:t>t/a。委托当地环卫部门按需不定期清掏。</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eastAsia="zh-CN"/>
              </w:rPr>
              <w:t>3</w:t>
            </w:r>
            <w:r>
              <w:rPr>
                <w:rFonts w:hint="eastAsia" w:ascii="宋体" w:hAnsi="宋体" w:eastAsia="宋体" w:cs="宋体"/>
                <w:color w:val="auto"/>
                <w:sz w:val="24"/>
                <w:szCs w:val="24"/>
                <w:lang w:eastAsia="zh-CN"/>
              </w:rPr>
              <w:t>）一般工业固废</w:t>
            </w:r>
          </w:p>
          <w:p>
            <w:pPr>
              <w:widowControl w:val="0"/>
              <w:kinsoku/>
              <w:spacing w:line="360" w:lineRule="auto"/>
              <w:ind w:firstLine="480" w:firstLineChars="200"/>
              <w:jc w:val="both"/>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①废边角料及不合格产品</w:t>
            </w:r>
          </w:p>
          <w:p>
            <w:pPr>
              <w:widowControl/>
              <w:kinsoku/>
              <w:spacing w:line="360" w:lineRule="auto"/>
              <w:ind w:firstLine="480" w:firstLineChars="200"/>
              <w:jc w:val="left"/>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木料</w:t>
            </w:r>
            <w:r>
              <w:rPr>
                <w:rFonts w:hint="eastAsia" w:ascii="Times New Roman" w:hAnsi="Times New Roman" w:eastAsia="宋体" w:cs="Times New Roman"/>
                <w:color w:val="auto"/>
                <w:sz w:val="24"/>
                <w:szCs w:val="24"/>
                <w:lang w:val="en-US" w:eastAsia="zh-CN" w:bidi="ar"/>
              </w:rPr>
              <w:t>雕刻</w:t>
            </w:r>
            <w:r>
              <w:rPr>
                <w:rFonts w:ascii="Times New Roman" w:hAnsi="Times New Roman" w:eastAsia="宋体" w:cs="Times New Roman"/>
                <w:color w:val="auto"/>
                <w:sz w:val="24"/>
                <w:szCs w:val="24"/>
                <w:lang w:eastAsia="zh-CN" w:bidi="ar"/>
              </w:rPr>
              <w:t>、打孔等工序会产生板材边角料和木屑，类比同类型企业生产情况，废边角料的产生量约占原材料用量的2%，</w:t>
            </w:r>
            <w:r>
              <w:rPr>
                <w:rFonts w:ascii="Times New Roman" w:hAnsi="Times New Roman" w:eastAsia="宋体" w:cs="Times New Roman"/>
                <w:snapToGrid/>
                <w:color w:val="auto"/>
                <w:kern w:val="2"/>
                <w:sz w:val="24"/>
                <w:szCs w:val="24"/>
                <w:lang w:eastAsia="zh-CN"/>
              </w:rPr>
              <w:t>本项目木质板材</w:t>
            </w:r>
            <w:r>
              <w:rPr>
                <w:rFonts w:hint="eastAsia" w:ascii="Times New Roman" w:hAnsi="Times New Roman" w:eastAsia="宋体" w:cs="Times New Roman"/>
                <w:snapToGrid/>
                <w:color w:val="auto"/>
                <w:kern w:val="2"/>
                <w:sz w:val="24"/>
                <w:szCs w:val="24"/>
                <w:lang w:eastAsia="zh-CN"/>
              </w:rPr>
              <w:t>原料</w:t>
            </w:r>
            <w:r>
              <w:rPr>
                <w:rFonts w:hint="eastAsia" w:ascii="宋体" w:hAnsi="宋体" w:eastAsia="宋体" w:cs="宋体"/>
                <w:color w:val="auto"/>
                <w:sz w:val="24"/>
                <w:szCs w:val="24"/>
                <w:lang w:eastAsia="zh-CN"/>
              </w:rPr>
              <w:t>总量为</w:t>
            </w:r>
            <w:r>
              <w:rPr>
                <w:rFonts w:hint="eastAsia" w:ascii="Times New Roman" w:hAnsi="Times New Roman" w:eastAsia="宋体" w:cs="Times New Roman"/>
                <w:snapToGrid/>
                <w:color w:val="auto"/>
                <w:kern w:val="2"/>
                <w:sz w:val="24"/>
                <w:lang w:eastAsia="zh-CN"/>
              </w:rPr>
              <w:t>1698.6m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/a（原料92900m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×0.018m+1200m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×0.022m=1698.6m</w:t>
            </w:r>
            <w:r>
              <w:rPr>
                <w:rFonts w:hint="eastAsia" w:ascii="Times New Roman" w:hAnsi="Times New Roman" w:eastAsia="宋体" w:cs="Times New Roman"/>
                <w:snapToGrid/>
                <w:color w:val="auto"/>
                <w:kern w:val="2"/>
                <w:sz w:val="24"/>
                <w:vertAlign w:val="superscript"/>
                <w:lang w:eastAsia="zh-CN"/>
              </w:rPr>
              <w:t>3</w:t>
            </w:r>
            <w:r>
              <w:rPr>
                <w:rFonts w:ascii="Times New Roman" w:hAnsi="Times New Roman" w:eastAsia="宋体" w:cs="Times New Roman"/>
                <w:snapToGrid/>
                <w:color w:val="auto"/>
                <w:kern w:val="2"/>
                <w:sz w:val="24"/>
                <w:szCs w:val="24"/>
                <w:lang w:eastAsia="zh-CN"/>
              </w:rPr>
              <w:t>，</w:t>
            </w:r>
            <w:r>
              <w:rPr>
                <w:rFonts w:ascii="Times New Roman" w:hAnsi="Times New Roman" w:eastAsia="宋体" w:cs="Times New Roman"/>
                <w:color w:val="auto"/>
                <w:sz w:val="24"/>
                <w:szCs w:val="24"/>
                <w:lang w:eastAsia="zh-CN" w:bidi="ar"/>
              </w:rPr>
              <w:t>板材平均密度为500kg/m</w:t>
            </w:r>
            <w:r>
              <w:rPr>
                <w:rFonts w:ascii="Times New Roman" w:hAnsi="Times New Roman" w:eastAsia="宋体" w:cs="Times New Roman"/>
                <w:color w:val="auto"/>
                <w:sz w:val="24"/>
                <w:szCs w:val="24"/>
                <w:vertAlign w:val="superscript"/>
                <w:lang w:eastAsia="zh-CN" w:bidi="ar"/>
              </w:rPr>
              <w:t>3</w:t>
            </w:r>
            <w:r>
              <w:rPr>
                <w:rFonts w:hint="eastAsia" w:ascii="Times New Roman" w:hAnsi="Times New Roman" w:eastAsia="宋体" w:cs="Times New Roman"/>
                <w:snapToGrid/>
                <w:color w:val="auto"/>
                <w:kern w:val="2"/>
                <w:sz w:val="24"/>
                <w:lang w:eastAsia="zh-CN"/>
              </w:rPr>
              <w:t>）</w:t>
            </w:r>
            <w:r>
              <w:rPr>
                <w:rFonts w:ascii="Times New Roman" w:hAnsi="Times New Roman" w:eastAsia="宋体" w:cs="Times New Roman"/>
                <w:snapToGrid/>
                <w:color w:val="auto"/>
                <w:kern w:val="2"/>
                <w:sz w:val="24"/>
                <w:szCs w:val="24"/>
                <w:lang w:eastAsia="zh-CN"/>
              </w:rPr>
              <w:t>，</w:t>
            </w:r>
            <w:r>
              <w:rPr>
                <w:rFonts w:ascii="Times New Roman" w:hAnsi="Times New Roman" w:eastAsia="宋体" w:cs="Times New Roman"/>
                <w:color w:val="auto"/>
                <w:sz w:val="24"/>
                <w:szCs w:val="24"/>
                <w:lang w:eastAsia="zh-CN" w:bidi="ar"/>
              </w:rPr>
              <w:t>则废边角料产生量约为</w:t>
            </w:r>
            <w:r>
              <w:rPr>
                <w:rFonts w:hint="eastAsia" w:ascii="Times New Roman" w:hAnsi="Times New Roman" w:eastAsia="宋体" w:cs="Times New Roman"/>
                <w:color w:val="auto"/>
                <w:sz w:val="24"/>
                <w:szCs w:val="24"/>
                <w:lang w:eastAsia="zh-CN" w:bidi="ar"/>
              </w:rPr>
              <w:t>16.986</w:t>
            </w:r>
            <w:r>
              <w:rPr>
                <w:rFonts w:ascii="Times New Roman" w:hAnsi="Times New Roman" w:eastAsia="宋体" w:cs="Times New Roman"/>
                <w:color w:val="auto"/>
                <w:sz w:val="24"/>
                <w:szCs w:val="24"/>
                <w:lang w:eastAsia="zh-CN" w:bidi="ar"/>
              </w:rPr>
              <w:t>t/a，收集后暂存于一般固废暂存间，</w:t>
            </w:r>
            <w:r>
              <w:rPr>
                <w:rFonts w:ascii="Times New Roman" w:hAnsi="Times New Roman" w:eastAsia="宋体" w:cs="Times New Roman"/>
                <w:color w:val="auto"/>
                <w:sz w:val="24"/>
                <w:szCs w:val="24"/>
                <w:lang w:eastAsia="zh-CN"/>
              </w:rPr>
              <w:t>出售给有处置能力的公司回收</w:t>
            </w:r>
            <w:r>
              <w:rPr>
                <w:rFonts w:ascii="Times New Roman" w:hAnsi="Times New Roman" w:eastAsia="宋体" w:cs="Times New Roman"/>
                <w:color w:val="auto"/>
                <w:sz w:val="24"/>
                <w:szCs w:val="24"/>
                <w:lang w:eastAsia="zh-CN" w:bidi="ar"/>
              </w:rPr>
              <w:t>。</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ascii="Times New Roman" w:hAnsi="Times New Roman" w:eastAsia="宋体" w:cs="Times New Roman"/>
                <w:color w:val="auto"/>
                <w:sz w:val="24"/>
                <w:szCs w:val="24"/>
                <w:lang w:eastAsia="zh-CN" w:bidi="ar"/>
              </w:rPr>
              <w:t>根据建设单位提供的资料，生产过程中，不合格产品的产生量约占原材料用量的11%，</w:t>
            </w:r>
            <w:r>
              <w:rPr>
                <w:rFonts w:ascii="Times New Roman" w:hAnsi="Times New Roman" w:eastAsia="宋体" w:cs="Times New Roman"/>
                <w:snapToGrid/>
                <w:color w:val="auto"/>
                <w:kern w:val="2"/>
                <w:sz w:val="24"/>
                <w:szCs w:val="24"/>
                <w:lang w:eastAsia="zh-CN"/>
              </w:rPr>
              <w:t>本项目木质板材</w:t>
            </w:r>
            <w:r>
              <w:rPr>
                <w:rFonts w:hint="eastAsia" w:ascii="Times New Roman" w:hAnsi="Times New Roman" w:eastAsia="宋体" w:cs="Times New Roman"/>
                <w:snapToGrid/>
                <w:color w:val="auto"/>
                <w:kern w:val="2"/>
                <w:sz w:val="24"/>
                <w:szCs w:val="24"/>
                <w:lang w:eastAsia="zh-CN"/>
              </w:rPr>
              <w:t>原料</w:t>
            </w:r>
            <w:r>
              <w:rPr>
                <w:rFonts w:hint="eastAsia" w:ascii="宋体" w:hAnsi="宋体" w:eastAsia="宋体" w:cs="宋体"/>
                <w:color w:val="auto"/>
                <w:sz w:val="24"/>
                <w:szCs w:val="24"/>
                <w:lang w:eastAsia="zh-CN"/>
              </w:rPr>
              <w:t>总量为</w:t>
            </w:r>
            <w:r>
              <w:rPr>
                <w:rFonts w:hint="eastAsia" w:ascii="Times New Roman" w:hAnsi="Times New Roman" w:eastAsia="宋体" w:cs="Times New Roman"/>
                <w:snapToGrid/>
                <w:color w:val="auto"/>
                <w:kern w:val="2"/>
                <w:sz w:val="24"/>
                <w:lang w:eastAsia="zh-CN"/>
              </w:rPr>
              <w:t>1698.6m</w:t>
            </w:r>
            <w:r>
              <w:rPr>
                <w:rFonts w:hint="eastAsia" w:ascii="Times New Roman" w:hAnsi="Times New Roman" w:eastAsia="宋体" w:cs="Times New Roman"/>
                <w:snapToGrid/>
                <w:color w:val="auto"/>
                <w:kern w:val="2"/>
                <w:sz w:val="24"/>
                <w:vertAlign w:val="superscript"/>
                <w:lang w:eastAsia="zh-CN"/>
              </w:rPr>
              <w:t>3</w:t>
            </w:r>
            <w:r>
              <w:rPr>
                <w:rFonts w:hint="eastAsia" w:ascii="Times New Roman" w:hAnsi="Times New Roman" w:eastAsia="宋体" w:cs="Times New Roman"/>
                <w:snapToGrid/>
                <w:color w:val="auto"/>
                <w:kern w:val="2"/>
                <w:sz w:val="24"/>
                <w:lang w:eastAsia="zh-CN"/>
              </w:rPr>
              <w:t>/a（原料92900m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×0.018m+1200m</w:t>
            </w:r>
            <w:r>
              <w:rPr>
                <w:rFonts w:hint="eastAsia" w:ascii="Times New Roman" w:hAnsi="Times New Roman" w:eastAsia="宋体" w:cs="Times New Roman"/>
                <w:snapToGrid/>
                <w:color w:val="auto"/>
                <w:kern w:val="2"/>
                <w:sz w:val="24"/>
                <w:vertAlign w:val="superscript"/>
                <w:lang w:eastAsia="zh-CN"/>
              </w:rPr>
              <w:t>2</w:t>
            </w:r>
            <w:r>
              <w:rPr>
                <w:rFonts w:hint="eastAsia" w:ascii="Times New Roman" w:hAnsi="Times New Roman" w:eastAsia="宋体" w:cs="Times New Roman"/>
                <w:snapToGrid/>
                <w:color w:val="auto"/>
                <w:kern w:val="2"/>
                <w:sz w:val="24"/>
                <w:lang w:eastAsia="zh-CN"/>
              </w:rPr>
              <w:t>×0.022m=1698.6m</w:t>
            </w:r>
            <w:r>
              <w:rPr>
                <w:rFonts w:hint="eastAsia" w:ascii="Times New Roman" w:hAnsi="Times New Roman" w:eastAsia="宋体" w:cs="Times New Roman"/>
                <w:snapToGrid/>
                <w:color w:val="auto"/>
                <w:kern w:val="2"/>
                <w:sz w:val="24"/>
                <w:vertAlign w:val="superscript"/>
                <w:lang w:eastAsia="zh-CN"/>
              </w:rPr>
              <w:t>3</w:t>
            </w:r>
            <w:r>
              <w:rPr>
                <w:rFonts w:ascii="Times New Roman" w:hAnsi="Times New Roman" w:eastAsia="宋体" w:cs="Times New Roman"/>
                <w:snapToGrid/>
                <w:color w:val="auto"/>
                <w:kern w:val="2"/>
                <w:sz w:val="24"/>
                <w:szCs w:val="24"/>
                <w:lang w:eastAsia="zh-CN"/>
              </w:rPr>
              <w:t>，</w:t>
            </w:r>
            <w:r>
              <w:rPr>
                <w:rFonts w:ascii="Times New Roman" w:hAnsi="Times New Roman" w:eastAsia="宋体" w:cs="Times New Roman"/>
                <w:color w:val="auto"/>
                <w:sz w:val="24"/>
                <w:szCs w:val="24"/>
                <w:lang w:eastAsia="zh-CN" w:bidi="ar"/>
              </w:rPr>
              <w:t>板材平均密度为500kg/m</w:t>
            </w:r>
            <w:r>
              <w:rPr>
                <w:rFonts w:ascii="Times New Roman" w:hAnsi="Times New Roman" w:eastAsia="宋体" w:cs="Times New Roman"/>
                <w:color w:val="auto"/>
                <w:sz w:val="24"/>
                <w:szCs w:val="24"/>
                <w:vertAlign w:val="superscript"/>
                <w:lang w:eastAsia="zh-CN" w:bidi="ar"/>
              </w:rPr>
              <w:t>3</w:t>
            </w:r>
            <w:r>
              <w:rPr>
                <w:rFonts w:hint="eastAsia" w:ascii="Times New Roman" w:hAnsi="Times New Roman" w:eastAsia="宋体" w:cs="Times New Roman"/>
                <w:snapToGrid/>
                <w:color w:val="auto"/>
                <w:kern w:val="2"/>
                <w:sz w:val="24"/>
                <w:lang w:eastAsia="zh-CN"/>
              </w:rPr>
              <w:t>）</w:t>
            </w:r>
            <w:r>
              <w:rPr>
                <w:rFonts w:ascii="Times New Roman" w:hAnsi="Times New Roman" w:eastAsia="宋体" w:cs="Times New Roman"/>
                <w:snapToGrid/>
                <w:color w:val="auto"/>
                <w:kern w:val="2"/>
                <w:sz w:val="24"/>
                <w:szCs w:val="24"/>
                <w:lang w:eastAsia="zh-CN"/>
              </w:rPr>
              <w:t>，</w:t>
            </w:r>
            <w:r>
              <w:rPr>
                <w:rFonts w:ascii="Times New Roman" w:hAnsi="Times New Roman" w:eastAsia="宋体" w:cs="Times New Roman"/>
                <w:color w:val="auto"/>
                <w:sz w:val="24"/>
                <w:szCs w:val="24"/>
                <w:lang w:eastAsia="zh-CN" w:bidi="ar"/>
              </w:rPr>
              <w:t>则</w:t>
            </w:r>
            <w:r>
              <w:rPr>
                <w:rFonts w:hint="eastAsia" w:ascii="Times New Roman" w:hAnsi="Times New Roman" w:eastAsia="宋体" w:cs="Times New Roman"/>
                <w:color w:val="auto"/>
                <w:sz w:val="24"/>
                <w:szCs w:val="24"/>
                <w:lang w:eastAsia="zh-CN" w:bidi="ar"/>
              </w:rPr>
              <w:t>不合格产品</w:t>
            </w:r>
            <w:r>
              <w:rPr>
                <w:rFonts w:ascii="Times New Roman" w:hAnsi="Times New Roman" w:eastAsia="宋体" w:cs="Times New Roman"/>
                <w:color w:val="auto"/>
                <w:sz w:val="24"/>
                <w:szCs w:val="24"/>
                <w:lang w:eastAsia="zh-CN" w:bidi="ar"/>
              </w:rPr>
              <w:t>产生量约为</w:t>
            </w:r>
            <w:r>
              <w:rPr>
                <w:rFonts w:hint="eastAsia" w:ascii="Times New Roman" w:hAnsi="Times New Roman" w:eastAsia="宋体" w:cs="Times New Roman"/>
                <w:color w:val="auto"/>
                <w:sz w:val="24"/>
                <w:szCs w:val="24"/>
                <w:lang w:eastAsia="zh-CN" w:bidi="ar"/>
              </w:rPr>
              <w:t>93.423</w:t>
            </w:r>
            <w:r>
              <w:rPr>
                <w:rFonts w:ascii="Times New Roman" w:hAnsi="Times New Roman" w:eastAsia="宋体" w:cs="Times New Roman"/>
                <w:color w:val="auto"/>
                <w:sz w:val="24"/>
                <w:szCs w:val="24"/>
                <w:lang w:eastAsia="zh-CN" w:bidi="ar"/>
              </w:rPr>
              <w:t>t/a，收集后暂存于一般固废暂存间，</w:t>
            </w:r>
            <w:r>
              <w:rPr>
                <w:rFonts w:ascii="Times New Roman" w:hAnsi="Times New Roman" w:eastAsia="宋体" w:cs="Times New Roman"/>
                <w:color w:val="auto"/>
                <w:sz w:val="24"/>
                <w:szCs w:val="24"/>
                <w:lang w:eastAsia="zh-CN"/>
              </w:rPr>
              <w:t>出售给有处置能力的公司回收</w:t>
            </w:r>
            <w:r>
              <w:rPr>
                <w:rFonts w:ascii="Times New Roman" w:hAnsi="Times New Roman" w:eastAsia="宋体" w:cs="Times New Roman"/>
                <w:color w:val="auto"/>
                <w:sz w:val="24"/>
                <w:szCs w:val="24"/>
                <w:lang w:eastAsia="zh-CN" w:bidi="ar"/>
              </w:rPr>
              <w:t>。</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②</w:t>
            </w:r>
            <w:bookmarkStart w:id="37" w:name="_Hlk203641977"/>
            <w:r>
              <w:rPr>
                <w:rFonts w:hint="eastAsia" w:ascii="宋体" w:hAnsi="宋体" w:eastAsia="宋体" w:cs="宋体"/>
                <w:color w:val="auto"/>
                <w:sz w:val="24"/>
                <w:szCs w:val="24"/>
                <w:lang w:eastAsia="zh-CN"/>
              </w:rPr>
              <w:t>中央除尘系统收集木屑粉尘</w:t>
            </w:r>
            <w:bookmarkEnd w:id="37"/>
          </w:p>
          <w:p>
            <w:pPr>
              <w:widowControl w:val="0"/>
              <w:kinsoku/>
              <w:spacing w:line="360" w:lineRule="auto"/>
              <w:ind w:firstLine="480" w:firstLineChars="200"/>
              <w:jc w:val="both"/>
              <w:rPr>
                <w:color w:val="auto"/>
                <w:lang w:eastAsia="zh-CN"/>
              </w:rPr>
            </w:pPr>
            <w:r>
              <w:rPr>
                <w:rFonts w:ascii="Times New Roman" w:hAnsi="Times New Roman" w:eastAsia="宋体" w:cs="Times New Roman"/>
                <w:color w:val="auto"/>
                <w:sz w:val="24"/>
                <w:szCs w:val="24"/>
                <w:lang w:eastAsia="zh-CN" w:bidi="ar"/>
              </w:rPr>
              <w:t>根据建设单位提供的资料，及粉尘产排放量系数计算，在加工过程中中央除尘系统收集木屑粉尘约</w:t>
            </w:r>
            <w:r>
              <w:rPr>
                <w:rFonts w:hint="eastAsia" w:ascii="Times New Roman" w:hAnsi="Times New Roman" w:eastAsia="宋体" w:cs="Times New Roman"/>
                <w:color w:val="auto"/>
                <w:sz w:val="24"/>
                <w:szCs w:val="24"/>
                <w:lang w:eastAsia="zh-CN" w:bidi="ar"/>
              </w:rPr>
              <w:t>0.2061</w:t>
            </w:r>
            <w:r>
              <w:rPr>
                <w:rFonts w:ascii="Times New Roman" w:hAnsi="Times New Roman" w:eastAsia="宋体" w:cs="Times New Roman"/>
                <w:color w:val="auto"/>
                <w:sz w:val="24"/>
                <w:szCs w:val="24"/>
                <w:lang w:eastAsia="zh-CN" w:bidi="ar"/>
              </w:rPr>
              <w:t>t/a，收集后出售给其他公司再生利用</w:t>
            </w:r>
            <w:r>
              <w:rPr>
                <w:rFonts w:hint="eastAsia" w:ascii="宋体" w:hAnsi="宋体" w:eastAsia="宋体" w:cs="宋体"/>
                <w:color w:val="auto"/>
                <w:sz w:val="24"/>
                <w:szCs w:val="24"/>
                <w:lang w:eastAsia="zh-CN"/>
              </w:rPr>
              <w:t>。</w:t>
            </w:r>
          </w:p>
          <w:p>
            <w:pPr>
              <w:widowControl w:val="0"/>
              <w:kinsoku/>
              <w:spacing w:line="360" w:lineRule="auto"/>
              <w:ind w:firstLine="480" w:firstLineChars="200"/>
              <w:jc w:val="both"/>
              <w:rPr>
                <w:color w:val="auto"/>
                <w:lang w:eastAsia="zh-CN"/>
              </w:rPr>
            </w:pPr>
            <w:r>
              <w:rPr>
                <w:rFonts w:hint="eastAsia" w:ascii="Times New Roman" w:hAnsi="Times New Roman" w:eastAsia="宋体" w:cs="Times New Roman"/>
                <w:color w:val="auto"/>
                <w:sz w:val="24"/>
                <w:szCs w:val="24"/>
                <w:lang w:eastAsia="zh-CN"/>
              </w:rPr>
              <w:t>③</w:t>
            </w:r>
            <w:r>
              <w:rPr>
                <w:rFonts w:hint="eastAsia" w:ascii="宋体" w:hAnsi="宋体" w:eastAsia="宋体" w:cs="宋体"/>
                <w:color w:val="auto"/>
                <w:sz w:val="24"/>
                <w:szCs w:val="24"/>
                <w:lang w:eastAsia="zh-CN"/>
              </w:rPr>
              <w:t>废包装材料</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本项目废弃包装材料，根据建设单位提供的资料，废弃包装材料产生量约为3t/a，建设单位统一收集后，外售至废品回收站。</w:t>
            </w:r>
          </w:p>
          <w:p>
            <w:pPr>
              <w:widowControl w:val="0"/>
              <w:kinsoku/>
              <w:spacing w:line="360" w:lineRule="auto"/>
              <w:ind w:firstLine="480" w:firstLineChars="200"/>
              <w:jc w:val="both"/>
              <w:rPr>
                <w:rFonts w:ascii="Times New Roman" w:hAnsi="Times New Roman" w:eastAsia="宋体" w:cs="Times New Roman"/>
                <w:color w:val="auto"/>
                <w:sz w:val="24"/>
                <w:szCs w:val="24"/>
                <w:lang w:eastAsia="zh-CN" w:bidi="ar"/>
              </w:rPr>
            </w:pPr>
            <w:r>
              <w:rPr>
                <w:rFonts w:hint="eastAsia" w:ascii="Times New Roman" w:hAnsi="Times New Roman" w:eastAsia="宋体" w:cs="Times New Roman"/>
                <w:color w:val="auto"/>
                <w:sz w:val="24"/>
                <w:szCs w:val="24"/>
                <w:lang w:eastAsia="zh-CN" w:bidi="ar"/>
              </w:rPr>
              <w:t>④废胶</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ascii="Times New Roman" w:hAnsi="Times New Roman" w:eastAsia="宋体" w:cs="Times New Roman"/>
                <w:color w:val="auto"/>
                <w:sz w:val="24"/>
                <w:szCs w:val="24"/>
                <w:lang w:eastAsia="zh-CN" w:bidi="ar"/>
              </w:rPr>
              <w:t>根据建设单位提供资料，</w:t>
            </w:r>
            <w:r>
              <w:rPr>
                <w:rFonts w:hint="eastAsia" w:ascii="Times New Roman" w:hAnsi="Times New Roman" w:eastAsia="宋体" w:cs="Times New Roman"/>
                <w:color w:val="auto"/>
                <w:sz w:val="24"/>
                <w:szCs w:val="24"/>
                <w:lang w:eastAsia="zh-CN" w:bidi="ar"/>
              </w:rPr>
              <w:t>贴边</w:t>
            </w:r>
            <w:r>
              <w:rPr>
                <w:rFonts w:ascii="Times New Roman" w:hAnsi="Times New Roman" w:eastAsia="宋体" w:cs="Times New Roman"/>
                <w:color w:val="auto"/>
                <w:sz w:val="24"/>
                <w:szCs w:val="24"/>
                <w:lang w:eastAsia="zh-CN" w:bidi="ar"/>
              </w:rPr>
              <w:t>生产涂抹过程中会溢出胶黏剂，产生的废</w:t>
            </w:r>
            <w:r>
              <w:rPr>
                <w:rFonts w:hint="eastAsia" w:ascii="Times New Roman" w:hAnsi="Times New Roman" w:eastAsia="宋体" w:cs="Times New Roman"/>
                <w:color w:val="auto"/>
                <w:sz w:val="24"/>
                <w:szCs w:val="24"/>
                <w:lang w:eastAsia="zh-CN" w:bidi="ar"/>
              </w:rPr>
              <w:t>胶黏剂</w:t>
            </w:r>
            <w:r>
              <w:rPr>
                <w:rFonts w:ascii="Times New Roman" w:hAnsi="Times New Roman" w:eastAsia="宋体" w:cs="Times New Roman"/>
                <w:color w:val="auto"/>
                <w:sz w:val="24"/>
                <w:szCs w:val="24"/>
                <w:lang w:eastAsia="zh-CN" w:bidi="ar"/>
              </w:rPr>
              <w:t>产量约0.0</w:t>
            </w:r>
            <w:r>
              <w:rPr>
                <w:rFonts w:hint="eastAsia" w:ascii="Times New Roman" w:hAnsi="Times New Roman" w:eastAsia="宋体" w:cs="Times New Roman"/>
                <w:color w:val="auto"/>
                <w:sz w:val="24"/>
                <w:szCs w:val="24"/>
                <w:lang w:eastAsia="zh-CN" w:bidi="ar"/>
              </w:rPr>
              <w:t>6</w:t>
            </w:r>
            <w:r>
              <w:rPr>
                <w:rFonts w:ascii="Times New Roman" w:hAnsi="Times New Roman" w:eastAsia="宋体" w:cs="Times New Roman"/>
                <w:color w:val="auto"/>
                <w:sz w:val="24"/>
                <w:szCs w:val="24"/>
                <w:lang w:eastAsia="zh-CN" w:bidi="ar"/>
              </w:rPr>
              <w:t>t/a</w:t>
            </w:r>
            <w:r>
              <w:rPr>
                <w:rFonts w:hint="eastAsia" w:ascii="Times New Roman" w:hAnsi="Times New Roman" w:eastAsia="宋体" w:cs="Times New Roman"/>
                <w:color w:val="auto"/>
                <w:sz w:val="24"/>
                <w:szCs w:val="24"/>
                <w:lang w:eastAsia="zh-CN" w:bidi="ar"/>
              </w:rPr>
              <w:t>，</w:t>
            </w:r>
            <w:r>
              <w:rPr>
                <w:rFonts w:ascii="Times New Roman" w:hAnsi="Times New Roman" w:eastAsia="宋体" w:cs="Times New Roman"/>
                <w:color w:val="auto"/>
                <w:sz w:val="24"/>
                <w:szCs w:val="24"/>
                <w:lang w:eastAsia="zh-CN" w:bidi="ar"/>
              </w:rPr>
              <w:t>收集后出售给废品回收公司。</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⑤</w:t>
            </w:r>
            <w:r>
              <w:rPr>
                <w:rFonts w:hint="eastAsia" w:ascii="宋体" w:hAnsi="宋体" w:eastAsia="宋体" w:cs="宋体"/>
                <w:color w:val="auto"/>
                <w:sz w:val="24"/>
                <w:szCs w:val="24"/>
                <w:lang w:eastAsia="zh-CN"/>
              </w:rPr>
              <w:t>废胶桶</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项目用胶呈半固态，存储于胶桶中。项目运行中产生废胶桶，一年约产生200个，每个按0.2kg计，共约0.04t/a。</w:t>
            </w:r>
            <w:r>
              <w:rPr>
                <w:rFonts w:hint="eastAsia" w:ascii="宋体" w:hAnsi="宋体" w:eastAsia="宋体" w:cs="宋体"/>
                <w:color w:val="auto"/>
                <w:sz w:val="24"/>
                <w:szCs w:val="24"/>
                <w:lang w:val="en-US" w:eastAsia="zh-CN"/>
              </w:rPr>
              <w:t>胶黏剂不含有危险物质，故废胶桶属于一般工业固废，经</w:t>
            </w:r>
            <w:r>
              <w:rPr>
                <w:rFonts w:ascii="Times New Roman" w:hAnsi="Times New Roman" w:eastAsia="宋体" w:cs="Times New Roman"/>
                <w:color w:val="auto"/>
                <w:sz w:val="24"/>
                <w:szCs w:val="24"/>
                <w:lang w:eastAsia="zh-CN" w:bidi="ar"/>
              </w:rPr>
              <w:t>收集后出售给废品回收公司。</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w:t>
            </w:r>
            <w:r>
              <w:rPr>
                <w:rFonts w:ascii="Times New Roman" w:hAnsi="Times New Roman" w:eastAsia="宋体" w:cs="Times New Roman"/>
                <w:color w:val="auto"/>
                <w:sz w:val="24"/>
                <w:szCs w:val="24"/>
                <w:lang w:eastAsia="zh-CN"/>
              </w:rPr>
              <w:t>3</w:t>
            </w:r>
            <w:r>
              <w:rPr>
                <w:rFonts w:hint="eastAsia" w:ascii="宋体" w:hAnsi="宋体" w:eastAsia="宋体" w:cs="宋体"/>
                <w:color w:val="auto"/>
                <w:sz w:val="24"/>
                <w:szCs w:val="24"/>
                <w:lang w:eastAsia="zh-CN"/>
              </w:rPr>
              <w:t>）危险废物</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w:t>
            </w:r>
            <w:bookmarkStart w:id="38" w:name="_Hlk203642314"/>
            <w:r>
              <w:rPr>
                <w:rFonts w:hint="eastAsia" w:ascii="宋体" w:hAnsi="宋体" w:eastAsia="宋体" w:cs="宋体"/>
                <w:color w:val="auto"/>
                <w:sz w:val="24"/>
                <w:szCs w:val="24"/>
                <w:lang w:eastAsia="zh-CN"/>
              </w:rPr>
              <w:t>废润滑油</w:t>
            </w:r>
            <w:bookmarkEnd w:id="38"/>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项目设备维护保养过程会产生一定量的废润滑油，产生量约0.02t/a，根据《国家危险废物名录》(2025年版)，废润滑油属于危险废物HW08类别900-249-08，暂存于危废暂存间，委托有资质单位定期清运处置。</w:t>
            </w:r>
          </w:p>
          <w:p>
            <w:pPr>
              <w:widowControl w:val="0"/>
              <w:kinsoku/>
              <w:spacing w:line="360" w:lineRule="auto"/>
              <w:ind w:firstLine="480" w:firstLineChars="200"/>
              <w:jc w:val="both"/>
              <w:rPr>
                <w:rFonts w:ascii="Times New Roman" w:hAnsi="Times New Roman" w:eastAsia="宋体" w:cs="Times New Roman"/>
                <w:color w:val="auto"/>
                <w:lang w:eastAsia="zh-CN"/>
              </w:rPr>
            </w:pPr>
            <w:r>
              <w:rPr>
                <w:rFonts w:hint="eastAsia" w:ascii="Times New Roman" w:hAnsi="Times New Roman" w:eastAsia="宋体" w:cs="Times New Roman"/>
                <w:color w:val="auto"/>
                <w:sz w:val="24"/>
                <w:szCs w:val="24"/>
                <w:lang w:val="en-US" w:eastAsia="zh-CN"/>
              </w:rPr>
              <w:t>②</w:t>
            </w:r>
            <w:r>
              <w:rPr>
                <w:rFonts w:ascii="Times New Roman" w:hAnsi="Times New Roman" w:eastAsia="宋体" w:cs="Times New Roman"/>
                <w:color w:val="auto"/>
                <w:sz w:val="24"/>
                <w:szCs w:val="24"/>
                <w:lang w:eastAsia="zh-CN"/>
              </w:rPr>
              <w:t>废含油棉纱、手套</w:t>
            </w:r>
          </w:p>
          <w:p>
            <w:pPr>
              <w:widowControl w:val="0"/>
              <w:kinsoku/>
              <w:spacing w:line="360" w:lineRule="auto"/>
              <w:ind w:firstLine="48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本项目设备清洁工作主要靠擦拭和清扫，故会产生一定量的废含油棉纱、手套，产生量约为0.01t/a。</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ascii="Times New Roman" w:hAnsi="Times New Roman" w:eastAsia="宋体" w:cs="Times New Roman"/>
                <w:color w:val="auto"/>
                <w:sz w:val="24"/>
                <w:szCs w:val="24"/>
                <w:lang w:eastAsia="zh-CN"/>
              </w:rPr>
              <w:t>根据《国家危险废物名录》（2025年版），本项目废含油棉纱、手套属于HW49其他废物（危废代码：900-04</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-49）。</w:t>
            </w:r>
            <w:r>
              <w:rPr>
                <w:rFonts w:ascii="Times New Roman" w:hAnsi="Times New Roman" w:eastAsia="宋体" w:cs="Times New Roman"/>
                <w:color w:val="auto"/>
                <w:sz w:val="24"/>
                <w:szCs w:val="24"/>
                <w:lang w:eastAsia="zh-CN" w:bidi="ar"/>
              </w:rPr>
              <w:t>暂存于危废暂存间，委托有资质单位定期清运处置</w:t>
            </w:r>
            <w:r>
              <w:rPr>
                <w:rFonts w:ascii="Times New Roman" w:hAnsi="Times New Roman" w:eastAsia="宋体" w:cs="Times New Roman"/>
                <w:color w:val="auto"/>
                <w:sz w:val="24"/>
                <w:szCs w:val="24"/>
                <w:lang w:eastAsia="zh-CN"/>
              </w:rPr>
              <w:t>。</w:t>
            </w:r>
          </w:p>
          <w:p>
            <w:pPr>
              <w:widowControl w:val="0"/>
              <w:kinsoku/>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lang w:eastAsia="zh-CN"/>
              </w:rPr>
              <w:t>废活性炭</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项目非甲烷总烃废气处理采用二级活性炭吸附设备工艺，根据《简明通风设计手册》活性炭吸附能力约为20kg(废气)/100kg(活性炭)，</w:t>
            </w:r>
            <w:r>
              <w:rPr>
                <w:rFonts w:hint="eastAsia" w:ascii="Times New Roman" w:hAnsi="Times New Roman" w:eastAsia="宋体" w:cs="Times New Roman"/>
                <w:color w:val="auto"/>
                <w:sz w:val="24"/>
                <w:szCs w:val="24"/>
                <w:lang w:eastAsia="zh-CN" w:bidi="ar"/>
              </w:rPr>
              <w:t>有机废气被吸附量0.0918</w:t>
            </w:r>
            <w:r>
              <w:rPr>
                <w:rFonts w:ascii="Times New Roman" w:hAnsi="Times New Roman" w:eastAsia="宋体" w:cs="Times New Roman"/>
                <w:color w:val="auto"/>
                <w:sz w:val="24"/>
                <w:szCs w:val="24"/>
                <w:lang w:eastAsia="zh-CN" w:bidi="ar"/>
              </w:rPr>
              <w:t>t/a</w:t>
            </w:r>
            <w:r>
              <w:rPr>
                <w:rFonts w:hint="eastAsia" w:ascii="Times New Roman" w:hAnsi="Times New Roman" w:eastAsia="宋体" w:cs="Times New Roman"/>
                <w:color w:val="auto"/>
                <w:sz w:val="24"/>
                <w:szCs w:val="24"/>
                <w:lang w:eastAsia="zh-CN" w:bidi="ar"/>
              </w:rPr>
              <w:t>，活性炭用量为0.0918/0.2=0.459</w:t>
            </w:r>
            <w:r>
              <w:rPr>
                <w:rFonts w:ascii="Times New Roman" w:hAnsi="Times New Roman" w:eastAsia="宋体" w:cs="Times New Roman"/>
                <w:color w:val="auto"/>
                <w:sz w:val="24"/>
                <w:szCs w:val="24"/>
                <w:lang w:eastAsia="zh-CN" w:bidi="ar"/>
              </w:rPr>
              <w:t>t/a</w:t>
            </w:r>
            <w:r>
              <w:rPr>
                <w:rFonts w:hint="eastAsia" w:ascii="Times New Roman" w:hAnsi="Times New Roman" w:eastAsia="宋体" w:cs="Times New Roman"/>
                <w:color w:val="auto"/>
                <w:sz w:val="24"/>
                <w:szCs w:val="24"/>
                <w:lang w:eastAsia="zh-CN" w:bidi="ar"/>
              </w:rPr>
              <w:t>，则废活性炭产生量为0.0918+0.459=0.5508t</w:t>
            </w:r>
            <w:r>
              <w:rPr>
                <w:rFonts w:ascii="Times New Roman" w:hAnsi="Times New Roman" w:eastAsia="宋体" w:cs="Times New Roman"/>
                <w:color w:val="auto"/>
                <w:sz w:val="24"/>
                <w:szCs w:val="24"/>
                <w:lang w:eastAsia="zh-CN" w:bidi="ar"/>
              </w:rPr>
              <w:t>/a，根据《国家危险废物名录》(2025年版)，废活性炭属于《国家危险废物名录》（2025年版）中的HW49其他废物类别，危废代码：900-039-49。</w:t>
            </w:r>
          </w:p>
          <w:p>
            <w:pPr>
              <w:widowControl w:val="0"/>
              <w:kinsoku/>
              <w:spacing w:line="360" w:lineRule="auto"/>
              <w:ind w:firstLine="481" w:firstLineChars="200"/>
              <w:jc w:val="both"/>
              <w:rPr>
                <w:b/>
                <w:bCs/>
                <w:color w:val="auto"/>
                <w:lang w:eastAsia="zh-CN"/>
              </w:rPr>
            </w:pPr>
            <w:r>
              <w:rPr>
                <w:rFonts w:hint="eastAsia" w:ascii="Times New Roman" w:hAnsi="Times New Roman" w:eastAsia="宋体" w:cs="Times New Roman"/>
                <w:b/>
                <w:bCs/>
                <w:color w:val="auto"/>
                <w:sz w:val="24"/>
                <w:szCs w:val="24"/>
                <w:lang w:eastAsia="zh-CN"/>
              </w:rPr>
              <w:t>2</w:t>
            </w:r>
            <w:r>
              <w:rPr>
                <w:rFonts w:hint="eastAsia" w:ascii="宋体" w:hAnsi="宋体" w:eastAsia="宋体" w:cs="宋体"/>
                <w:b/>
                <w:bCs/>
                <w:color w:val="auto"/>
                <w:sz w:val="24"/>
                <w:szCs w:val="24"/>
                <w:lang w:eastAsia="zh-CN"/>
              </w:rPr>
              <w:t>、项目固体废物贮存场所分析</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w:t>
            </w:r>
            <w:r>
              <w:rPr>
                <w:rFonts w:ascii="Times New Roman" w:hAnsi="Times New Roman" w:eastAsia="宋体" w:cs="Times New Roman"/>
                <w:color w:val="auto"/>
                <w:sz w:val="24"/>
                <w:szCs w:val="24"/>
                <w:lang w:eastAsia="zh-CN"/>
              </w:rPr>
              <w:t>1</w:t>
            </w:r>
            <w:r>
              <w:rPr>
                <w:rFonts w:hint="eastAsia" w:ascii="宋体" w:hAnsi="宋体" w:eastAsia="宋体" w:cs="宋体"/>
                <w:color w:val="auto"/>
                <w:sz w:val="24"/>
                <w:szCs w:val="24"/>
                <w:lang w:eastAsia="zh-CN"/>
              </w:rPr>
              <w:t>）一般工业固废环境影响分析</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本项目投产</w:t>
            </w:r>
            <w:r>
              <w:rPr>
                <w:rFonts w:ascii="Times New Roman" w:hAnsi="Times New Roman" w:eastAsia="宋体" w:cs="Times New Roman"/>
                <w:color w:val="auto"/>
                <w:sz w:val="24"/>
                <w:szCs w:val="24"/>
                <w:lang w:eastAsia="zh-CN"/>
              </w:rPr>
              <w:t>后全厂每个</w:t>
            </w:r>
            <w:r>
              <w:rPr>
                <w:rFonts w:hint="eastAsia" w:ascii="Times New Roman" w:hAnsi="Times New Roman" w:eastAsia="宋体" w:cs="Times New Roman"/>
                <w:color w:val="auto"/>
                <w:sz w:val="24"/>
                <w:szCs w:val="24"/>
                <w:lang w:eastAsia="zh-CN"/>
              </w:rPr>
              <w:t>月</w:t>
            </w:r>
            <w:r>
              <w:rPr>
                <w:rFonts w:ascii="Times New Roman" w:hAnsi="Times New Roman" w:eastAsia="宋体" w:cs="Times New Roman"/>
                <w:color w:val="auto"/>
                <w:sz w:val="24"/>
                <w:szCs w:val="24"/>
                <w:lang w:eastAsia="zh-CN"/>
              </w:rPr>
              <w:t>一般工业固废最大产生量约</w:t>
            </w:r>
            <w:r>
              <w:rPr>
                <w:rFonts w:hint="eastAsia" w:ascii="Times New Roman" w:hAnsi="Times New Roman" w:eastAsia="宋体" w:cs="Times New Roman"/>
                <w:color w:val="auto"/>
                <w:sz w:val="24"/>
                <w:szCs w:val="24"/>
                <w:lang w:eastAsia="zh-CN"/>
              </w:rPr>
              <w:t>9.4</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lang w:eastAsia="zh-CN"/>
              </w:rPr>
              <w:t>t，全年一般工业固废最大产生</w:t>
            </w:r>
            <w:r>
              <w:rPr>
                <w:rFonts w:hint="eastAsia" w:ascii="Times New Roman" w:hAnsi="Times New Roman" w:eastAsia="宋体" w:cs="Times New Roman"/>
                <w:color w:val="auto"/>
                <w:sz w:val="24"/>
                <w:szCs w:val="24"/>
                <w:lang w:eastAsia="zh-CN"/>
              </w:rPr>
              <w:t>量</w:t>
            </w:r>
            <w:r>
              <w:rPr>
                <w:rFonts w:ascii="Times New Roman" w:hAnsi="Times New Roman" w:eastAsia="宋体" w:cs="Times New Roman"/>
                <w:color w:val="auto"/>
                <w:sz w:val="24"/>
                <w:szCs w:val="24"/>
                <w:lang w:eastAsia="zh-CN"/>
              </w:rPr>
              <w:t>约</w:t>
            </w:r>
            <w:r>
              <w:rPr>
                <w:rFonts w:hint="eastAsia" w:ascii="Times New Roman" w:hAnsi="Times New Roman" w:eastAsia="宋体" w:cs="Times New Roman"/>
                <w:color w:val="auto"/>
                <w:sz w:val="24"/>
                <w:szCs w:val="24"/>
                <w:lang w:eastAsia="zh-CN"/>
              </w:rPr>
              <w:t>113.</w:t>
            </w:r>
            <w:r>
              <w:rPr>
                <w:rFonts w:hint="eastAsia" w:ascii="Times New Roman" w:hAnsi="Times New Roman" w:eastAsia="宋体" w:cs="Times New Roman"/>
                <w:color w:val="auto"/>
                <w:sz w:val="24"/>
                <w:szCs w:val="24"/>
                <w:lang w:val="en-US" w:eastAsia="zh-CN"/>
              </w:rPr>
              <w:t>72</w:t>
            </w:r>
            <w:r>
              <w:rPr>
                <w:rFonts w:ascii="Times New Roman" w:hAnsi="Times New Roman" w:eastAsia="宋体" w:cs="Times New Roman"/>
                <w:color w:val="auto"/>
                <w:sz w:val="24"/>
                <w:szCs w:val="24"/>
                <w:lang w:eastAsia="zh-CN"/>
              </w:rPr>
              <w:t>t，</w:t>
            </w:r>
            <w:r>
              <w:rPr>
                <w:rFonts w:ascii="Times New Roman" w:hAnsi="Times New Roman" w:eastAsia="宋体" w:cs="Times New Roman"/>
                <w:color w:val="auto"/>
                <w:sz w:val="24"/>
                <w:szCs w:val="24"/>
                <w:lang w:eastAsia="zh-CN" w:bidi="ar"/>
              </w:rPr>
              <w:t>按一般工业固废每</w:t>
            </w:r>
            <w:r>
              <w:rPr>
                <w:rFonts w:hint="eastAsia" w:ascii="Times New Roman" w:hAnsi="Times New Roman" w:eastAsia="宋体" w:cs="Times New Roman"/>
                <w:color w:val="auto"/>
                <w:sz w:val="24"/>
                <w:szCs w:val="24"/>
                <w:lang w:eastAsia="zh-CN" w:bidi="ar"/>
              </w:rPr>
              <w:t>周</w:t>
            </w:r>
            <w:r>
              <w:rPr>
                <w:rFonts w:ascii="Times New Roman" w:hAnsi="Times New Roman" w:eastAsia="宋体" w:cs="Times New Roman"/>
                <w:color w:val="auto"/>
                <w:sz w:val="24"/>
                <w:szCs w:val="24"/>
                <w:lang w:eastAsia="zh-CN" w:bidi="ar"/>
              </w:rPr>
              <w:t>转运清理一次，</w:t>
            </w:r>
            <w:r>
              <w:rPr>
                <w:rFonts w:hint="eastAsia" w:ascii="宋体" w:hAnsi="宋体" w:eastAsia="宋体" w:cs="宋体"/>
                <w:color w:val="auto"/>
                <w:sz w:val="24"/>
                <w:szCs w:val="24"/>
                <w:lang w:eastAsia="zh-CN"/>
              </w:rPr>
              <w:t>建设一般固废间最大暂存量约2.5</w:t>
            </w:r>
            <w:r>
              <w:rPr>
                <w:rFonts w:ascii="Times New Roman" w:hAnsi="Times New Roman" w:eastAsia="宋体" w:cs="Times New Roman"/>
                <w:color w:val="auto"/>
                <w:sz w:val="24"/>
                <w:szCs w:val="24"/>
                <w:lang w:eastAsia="zh-CN"/>
              </w:rPr>
              <w:t>t</w:t>
            </w:r>
            <w:r>
              <w:rPr>
                <w:rFonts w:hint="eastAsia" w:ascii="宋体" w:hAnsi="宋体" w:eastAsia="宋体" w:cs="宋体"/>
                <w:color w:val="auto"/>
                <w:sz w:val="24"/>
                <w:szCs w:val="24"/>
                <w:lang w:eastAsia="zh-CN"/>
              </w:rPr>
              <w:t>，可满足日常生产产生的一般工业固废贮存需求。</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（2）“三防”措施及警示标牌</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一般固废间应采取防渗漏、防雨淋、防扬尘等措施、各类固废应分类收集、按《环境保护图形标志</w:t>
            </w:r>
            <w:r>
              <w:rPr>
                <w:rFonts w:ascii="Times New Roman" w:hAnsi="Times New Roman" w:eastAsia="宋体" w:cs="Times New Roman"/>
                <w:color w:val="auto"/>
                <w:sz w:val="24"/>
                <w:szCs w:val="24"/>
                <w:lang w:eastAsia="zh-CN"/>
              </w:rPr>
              <w:t>——</w:t>
            </w:r>
            <w:r>
              <w:rPr>
                <w:rFonts w:hint="eastAsia" w:ascii="宋体" w:hAnsi="宋体" w:eastAsia="宋体" w:cs="宋体"/>
                <w:color w:val="auto"/>
                <w:sz w:val="24"/>
                <w:szCs w:val="24"/>
                <w:lang w:eastAsia="zh-CN"/>
              </w:rPr>
              <w:t>固体废物贮存（处置）场（含2023修改单）》（</w:t>
            </w:r>
            <w:r>
              <w:rPr>
                <w:rFonts w:ascii="Times New Roman" w:hAnsi="Times New Roman" w:eastAsia="宋体" w:cs="Times New Roman"/>
                <w:color w:val="auto"/>
                <w:sz w:val="24"/>
                <w:szCs w:val="24"/>
                <w:lang w:eastAsia="zh-CN"/>
              </w:rPr>
              <w:t>GB15562.2-1995</w:t>
            </w:r>
            <w:r>
              <w:rPr>
                <w:rFonts w:hint="eastAsia" w:ascii="宋体" w:hAnsi="宋体" w:eastAsia="宋体" w:cs="宋体"/>
                <w:color w:val="auto"/>
                <w:sz w:val="24"/>
                <w:szCs w:val="24"/>
                <w:lang w:eastAsia="zh-CN"/>
              </w:rPr>
              <w:t>）的规定设置警示标识。评价要求建设单位应按照《环境保护图形标志——固体废物贮存（处置）场（含2023修改单）》（</w:t>
            </w:r>
            <w:r>
              <w:rPr>
                <w:rFonts w:ascii="Times New Roman" w:hAnsi="Times New Roman" w:eastAsia="宋体" w:cs="Times New Roman"/>
                <w:color w:val="auto"/>
                <w:sz w:val="24"/>
                <w:szCs w:val="24"/>
                <w:lang w:eastAsia="zh-CN"/>
              </w:rPr>
              <w:t>GB15562.2-1995</w:t>
            </w:r>
            <w:r>
              <w:rPr>
                <w:rFonts w:hint="eastAsia" w:ascii="宋体" w:hAnsi="宋体" w:eastAsia="宋体" w:cs="宋体"/>
                <w:color w:val="auto"/>
                <w:sz w:val="24"/>
                <w:szCs w:val="24"/>
                <w:lang w:eastAsia="zh-CN"/>
              </w:rPr>
              <w:t>）的规定设置警示标识，在一般固废暂存间周边设置雨水沟防止雨水流入。</w:t>
            </w:r>
          </w:p>
          <w:p>
            <w:pPr>
              <w:pStyle w:val="22"/>
              <w:widowControl w:val="0"/>
              <w:kinsoku/>
              <w:spacing w:before="36" w:line="219" w:lineRule="auto"/>
              <w:ind w:left="609"/>
              <w:jc w:val="both"/>
              <w:rPr>
                <w:rFonts w:hint="eastAsia"/>
                <w:color w:val="auto"/>
                <w:lang w:eastAsia="zh-CN" w:bidi="ar"/>
              </w:rPr>
            </w:pPr>
            <w:r>
              <w:rPr>
                <w:rFonts w:hint="eastAsia"/>
                <w:color w:val="auto"/>
                <w:lang w:eastAsia="zh-CN" w:bidi="ar"/>
              </w:rPr>
              <w:t>（</w:t>
            </w:r>
            <w:r>
              <w:rPr>
                <w:color w:val="auto"/>
                <w:lang w:eastAsia="zh-CN" w:bidi="ar"/>
              </w:rPr>
              <w:t>3</w:t>
            </w:r>
            <w:r>
              <w:rPr>
                <w:rFonts w:hint="eastAsia"/>
                <w:color w:val="auto"/>
                <w:lang w:eastAsia="zh-CN" w:bidi="ar"/>
              </w:rPr>
              <w:t>）固废暂存场所（设施）污染防治措施及环境影响分析</w:t>
            </w:r>
          </w:p>
          <w:p>
            <w:pPr>
              <w:pStyle w:val="22"/>
              <w:widowControl w:val="0"/>
              <w:kinsoku/>
              <w:spacing w:before="182" w:line="217" w:lineRule="auto"/>
              <w:ind w:left="596"/>
              <w:jc w:val="both"/>
              <w:rPr>
                <w:rFonts w:hint="eastAsia"/>
                <w:color w:val="auto"/>
                <w:lang w:eastAsia="zh-CN"/>
              </w:rPr>
            </w:pPr>
            <w:r>
              <w:rPr>
                <w:rFonts w:hint="eastAsia"/>
                <w:color w:val="auto"/>
                <w:lang w:eastAsia="zh-CN"/>
              </w:rPr>
              <w:t>1）</w:t>
            </w:r>
            <w:r>
              <w:rPr>
                <w:color w:val="auto"/>
                <w:lang w:eastAsia="zh-CN"/>
              </w:rPr>
              <w:t>一般工业固体废物贮存场所（设施）污染</w:t>
            </w:r>
            <w:r>
              <w:rPr>
                <w:rFonts w:hint="eastAsia"/>
                <w:color w:val="auto"/>
                <w:lang w:eastAsia="zh-CN"/>
              </w:rPr>
              <w:t>防治</w:t>
            </w:r>
            <w:r>
              <w:rPr>
                <w:color w:val="auto"/>
                <w:spacing w:val="-1"/>
                <w:lang w:eastAsia="zh-CN"/>
              </w:rPr>
              <w:t>措施及环境影响分析</w:t>
            </w:r>
          </w:p>
          <w:p>
            <w:pPr>
              <w:pStyle w:val="22"/>
              <w:widowControl w:val="0"/>
              <w:kinsoku/>
              <w:spacing w:before="183" w:line="360" w:lineRule="auto"/>
              <w:ind w:left="129" w:firstLine="472"/>
              <w:jc w:val="both"/>
              <w:rPr>
                <w:rFonts w:hint="eastAsia"/>
                <w:color w:val="auto"/>
                <w:lang w:eastAsia="zh-CN"/>
              </w:rPr>
            </w:pPr>
            <w:r>
              <w:rPr>
                <w:color w:val="auto"/>
                <w:spacing w:val="1"/>
                <w:lang w:eastAsia="zh-CN"/>
              </w:rPr>
              <w:t>项目拟建设一间固废库，按照《一般工业固体废物贮存和填埋污染控制</w:t>
            </w:r>
            <w:r>
              <w:rPr>
                <w:color w:val="auto"/>
                <w:lang w:eastAsia="zh-CN"/>
              </w:rPr>
              <w:t>标准》（</w:t>
            </w:r>
            <w:r>
              <w:rPr>
                <w:rFonts w:ascii="Times New Roman" w:hAnsi="Times New Roman" w:eastAsia="Times New Roman" w:cs="Times New Roman"/>
                <w:color w:val="auto"/>
                <w:lang w:eastAsia="zh-CN"/>
              </w:rPr>
              <w:t>GB18599-2020</w:t>
            </w:r>
            <w:r>
              <w:rPr>
                <w:color w:val="auto"/>
                <w:lang w:eastAsia="zh-CN"/>
              </w:rPr>
              <w:t>）相关标准要求建设，</w:t>
            </w:r>
            <w:r>
              <w:rPr>
                <w:color w:val="auto"/>
                <w:spacing w:val="-1"/>
                <w:lang w:eastAsia="zh-CN"/>
              </w:rPr>
              <w:t>可暂存一般固废，及时收集、暂存后外售给</w:t>
            </w:r>
            <w:r>
              <w:rPr>
                <w:color w:val="auto"/>
                <w:spacing w:val="-5"/>
                <w:lang w:eastAsia="zh-CN"/>
              </w:rPr>
              <w:t>回收单位。</w:t>
            </w:r>
          </w:p>
          <w:p>
            <w:pPr>
              <w:pStyle w:val="22"/>
              <w:widowControl w:val="0"/>
              <w:kinsoku/>
              <w:spacing w:before="35" w:line="360" w:lineRule="auto"/>
              <w:ind w:left="119" w:firstLine="481"/>
              <w:jc w:val="both"/>
              <w:rPr>
                <w:rFonts w:hint="eastAsia"/>
                <w:color w:val="auto"/>
                <w:lang w:eastAsia="zh-CN"/>
              </w:rPr>
            </w:pPr>
            <w:r>
              <w:rPr>
                <w:color w:val="auto"/>
                <w:spacing w:val="1"/>
                <w:lang w:eastAsia="zh-CN"/>
              </w:rPr>
              <w:t>企业拟在生产车间</w:t>
            </w:r>
            <w:r>
              <w:rPr>
                <w:rFonts w:hint="eastAsia"/>
                <w:color w:val="auto"/>
                <w:spacing w:val="1"/>
                <w:lang w:eastAsia="zh-CN"/>
              </w:rPr>
              <w:t>东南侧</w:t>
            </w:r>
            <w:r>
              <w:rPr>
                <w:color w:val="auto"/>
                <w:spacing w:val="1"/>
                <w:lang w:eastAsia="zh-CN"/>
              </w:rPr>
              <w:t>设置一般固废库，建筑面积为</w:t>
            </w:r>
            <w:r>
              <w:rPr>
                <w:rFonts w:hint="eastAsia" w:ascii="Times New Roman" w:hAnsi="Times New Roman" w:eastAsia="Times New Roman" w:cs="Times New Roman"/>
                <w:color w:val="auto"/>
                <w:lang w:eastAsia="zh-CN"/>
              </w:rPr>
              <w:t>10</w:t>
            </w:r>
            <w:r>
              <w:rPr>
                <w:rFonts w:ascii="Times New Roman" w:hAnsi="Times New Roman" w:eastAsia="Times New Roman" w:cs="Times New Roman"/>
                <w:color w:val="auto"/>
                <w:lang w:eastAsia="zh-CN"/>
              </w:rPr>
              <w:t>m</w:t>
            </w:r>
            <w:r>
              <w:rPr>
                <w:rFonts w:hint="eastAsia" w:ascii="Times New Roman" w:hAnsi="Times New Roman" w:eastAsia="Times New Roman" w:cs="Times New Roman"/>
                <w:color w:val="auto"/>
                <w:vertAlign w:val="superscript"/>
                <w:lang w:eastAsia="zh-CN"/>
              </w:rPr>
              <w:t>2</w:t>
            </w:r>
            <w:r>
              <w:rPr>
                <w:color w:val="auto"/>
                <w:lang w:eastAsia="zh-CN"/>
              </w:rPr>
              <w:t>，用于堆放项目产</w:t>
            </w:r>
            <w:r>
              <w:rPr>
                <w:color w:val="auto"/>
                <w:spacing w:val="-1"/>
                <w:lang w:eastAsia="zh-CN"/>
              </w:rPr>
              <w:t>生</w:t>
            </w:r>
            <w:r>
              <w:rPr>
                <w:rFonts w:hint="eastAsia"/>
                <w:color w:val="auto"/>
                <w:spacing w:val="-1"/>
                <w:lang w:eastAsia="zh-CN"/>
              </w:rPr>
              <w:t>的</w:t>
            </w:r>
            <w:r>
              <w:rPr>
                <w:color w:val="auto"/>
                <w:spacing w:val="-1"/>
                <w:lang w:eastAsia="zh-CN"/>
              </w:rPr>
              <w:t>一般工业固废，</w:t>
            </w:r>
            <w:r>
              <w:rPr>
                <w:rFonts w:hint="eastAsia"/>
                <w:color w:val="auto"/>
                <w:lang w:eastAsia="zh-CN"/>
              </w:rPr>
              <w:t>项目投产</w:t>
            </w:r>
            <w:r>
              <w:rPr>
                <w:rFonts w:ascii="Times New Roman" w:hAnsi="Times New Roman" w:cs="Times New Roman"/>
                <w:color w:val="auto"/>
                <w:lang w:eastAsia="zh-CN"/>
              </w:rPr>
              <w:t>后全厂每个</w:t>
            </w:r>
            <w:r>
              <w:rPr>
                <w:rFonts w:hint="eastAsia" w:ascii="Times New Roman" w:hAnsi="Times New Roman" w:cs="Times New Roman"/>
                <w:color w:val="auto"/>
                <w:lang w:eastAsia="zh-CN"/>
              </w:rPr>
              <w:t>月</w:t>
            </w:r>
            <w:r>
              <w:rPr>
                <w:rFonts w:ascii="Times New Roman" w:hAnsi="Times New Roman" w:cs="Times New Roman"/>
                <w:color w:val="auto"/>
                <w:lang w:eastAsia="zh-CN"/>
              </w:rPr>
              <w:t>一般工业固废最大产生量约</w:t>
            </w:r>
            <w:r>
              <w:rPr>
                <w:rFonts w:hint="eastAsia" w:ascii="Times New Roman" w:hAnsi="Times New Roman" w:cs="Times New Roman"/>
                <w:color w:val="auto"/>
                <w:lang w:eastAsia="zh-CN"/>
              </w:rPr>
              <w:t>9.4</w:t>
            </w:r>
            <w:r>
              <w:rPr>
                <w:rFonts w:hint="eastAsia" w:ascii="Times New Roman" w:hAnsi="Times New Roman" w:cs="Times New Roman"/>
                <w:color w:val="auto"/>
                <w:lang w:val="en-US" w:eastAsia="zh-CN"/>
              </w:rPr>
              <w:t>8</w:t>
            </w:r>
            <w:r>
              <w:rPr>
                <w:rFonts w:ascii="Times New Roman" w:hAnsi="Times New Roman" w:cs="Times New Roman"/>
                <w:color w:val="auto"/>
                <w:lang w:eastAsia="zh-CN"/>
              </w:rPr>
              <w:t>t</w:t>
            </w:r>
            <w:r>
              <w:rPr>
                <w:rFonts w:hint="eastAsia" w:ascii="Times New Roman" w:hAnsi="Times New Roman" w:cs="Times New Roman"/>
                <w:color w:val="auto"/>
                <w:lang w:eastAsia="zh-CN"/>
              </w:rPr>
              <w:t>，</w:t>
            </w:r>
            <w:r>
              <w:rPr>
                <w:rFonts w:ascii="Times New Roman" w:hAnsi="Times New Roman" w:cs="Times New Roman"/>
                <w:color w:val="auto"/>
                <w:lang w:eastAsia="zh-CN" w:bidi="ar"/>
              </w:rPr>
              <w:t>板材平均密度为500kg/m</w:t>
            </w:r>
            <w:r>
              <w:rPr>
                <w:rFonts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，则项目产生一般固废约18.9</w:t>
            </w:r>
            <w:r>
              <w:rPr>
                <w:rFonts w:hint="eastAsia" w:ascii="Times New Roman" w:hAnsi="Times New Roman" w:cs="Times New Roman"/>
                <w:color w:val="auto"/>
                <w:lang w:val="en-US" w:eastAsia="zh-CN" w:bidi="ar"/>
              </w:rPr>
              <w:t>6</w:t>
            </w:r>
            <w:r>
              <w:rPr>
                <w:rFonts w:hint="eastAsia" w:ascii="Times New Roman" w:hAnsi="Times New Roman" w:cs="Times New Roman"/>
                <w:color w:val="auto"/>
                <w:lang w:eastAsia="zh-CN" w:bidi="ar"/>
              </w:rPr>
              <w:t>m</w:t>
            </w:r>
            <w:r>
              <w:rPr>
                <w:rFonts w:hint="eastAsia"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，项目一般固废每周清运一次，暂存体积为4.7</w:t>
            </w:r>
            <w:r>
              <w:rPr>
                <w:rFonts w:hint="eastAsia" w:ascii="Times New Roman" w:hAnsi="Times New Roman" w:cs="Times New Roman"/>
                <w:color w:val="auto"/>
                <w:lang w:val="en-US" w:eastAsia="zh-CN" w:bidi="ar"/>
              </w:rPr>
              <w:t>4</w:t>
            </w:r>
            <w:r>
              <w:rPr>
                <w:rFonts w:hint="eastAsia" w:ascii="Times New Roman" w:hAnsi="Times New Roman" w:cs="Times New Roman"/>
                <w:color w:val="auto"/>
                <w:lang w:eastAsia="zh-CN" w:bidi="ar"/>
              </w:rPr>
              <w:t>m</w:t>
            </w:r>
            <w:r>
              <w:rPr>
                <w:rFonts w:hint="eastAsia"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w:t>
            </w:r>
            <w:r>
              <w:rPr>
                <w:rFonts w:hint="eastAsia"/>
                <w:color w:val="auto"/>
                <w:spacing w:val="-1"/>
                <w:lang w:eastAsia="zh-CN"/>
              </w:rPr>
              <w:t>项目暂存间</w:t>
            </w:r>
            <w:r>
              <w:rPr>
                <w:color w:val="auto"/>
                <w:spacing w:val="-1"/>
                <w:lang w:eastAsia="zh-CN"/>
              </w:rPr>
              <w:t>能够满足储存要求。</w:t>
            </w:r>
          </w:p>
          <w:p>
            <w:pPr>
              <w:pStyle w:val="22"/>
              <w:widowControl w:val="0"/>
              <w:kinsoku/>
              <w:spacing w:before="37" w:line="360" w:lineRule="auto"/>
              <w:ind w:left="595"/>
              <w:jc w:val="both"/>
              <w:rPr>
                <w:rFonts w:hint="eastAsia"/>
                <w:color w:val="auto"/>
                <w:lang w:eastAsia="zh-CN"/>
              </w:rPr>
            </w:pPr>
            <w:r>
              <w:rPr>
                <w:rFonts w:hint="eastAsia"/>
                <w:color w:val="auto"/>
                <w:spacing w:val="-1"/>
                <w:lang w:eastAsia="zh-CN"/>
              </w:rPr>
              <w:t>2）</w:t>
            </w:r>
            <w:r>
              <w:rPr>
                <w:color w:val="auto"/>
                <w:spacing w:val="-1"/>
                <w:lang w:eastAsia="zh-CN"/>
              </w:rPr>
              <w:t>危险废物贮存场所（设施）污染防治措施及环境影响分析</w:t>
            </w:r>
          </w:p>
          <w:p>
            <w:pPr>
              <w:widowControl w:val="0"/>
              <w:kinsoku/>
              <w:spacing w:line="360" w:lineRule="auto"/>
              <w:ind w:firstLine="476" w:firstLineChars="200"/>
              <w:jc w:val="both"/>
              <w:rPr>
                <w:color w:val="auto"/>
                <w:spacing w:val="-1"/>
                <w:sz w:val="24"/>
                <w:szCs w:val="24"/>
                <w:lang w:eastAsia="zh-CN"/>
              </w:rPr>
            </w:pPr>
            <w:r>
              <w:rPr>
                <w:color w:val="auto"/>
                <w:spacing w:val="-1"/>
                <w:sz w:val="24"/>
                <w:szCs w:val="24"/>
                <w:lang w:eastAsia="zh-CN"/>
              </w:rPr>
              <w:t>企业拟建设危废暂存间</w:t>
            </w:r>
            <w:r>
              <w:rPr>
                <w:rFonts w:ascii="Times New Roman" w:hAnsi="Times New Roman" w:eastAsia="Times New Roman" w:cs="Times New Roman"/>
                <w:color w:val="auto"/>
                <w:spacing w:val="-1"/>
                <w:sz w:val="24"/>
                <w:szCs w:val="24"/>
                <w:lang w:eastAsia="zh-CN"/>
              </w:rPr>
              <w:t>1</w:t>
            </w:r>
            <w:r>
              <w:rPr>
                <w:color w:val="auto"/>
                <w:spacing w:val="-1"/>
                <w:sz w:val="24"/>
                <w:szCs w:val="24"/>
                <w:lang w:eastAsia="zh-CN"/>
              </w:rPr>
              <w:t>间，建筑面积</w:t>
            </w:r>
            <w:r>
              <w:rPr>
                <w:rFonts w:hint="eastAsia" w:ascii="Times New Roman" w:hAnsi="Times New Roman" w:cs="Times New Roman"/>
                <w:color w:val="auto"/>
                <w:spacing w:val="-1"/>
                <w:sz w:val="24"/>
                <w:szCs w:val="24"/>
                <w:lang w:eastAsia="zh-CN"/>
              </w:rPr>
              <w:t>10</w:t>
            </w:r>
            <w:r>
              <w:rPr>
                <w:rFonts w:ascii="Times New Roman" w:hAnsi="Times New Roman" w:eastAsia="Times New Roman" w:cs="Times New Roman"/>
                <w:color w:val="auto"/>
                <w:spacing w:val="-1"/>
                <w:sz w:val="24"/>
                <w:szCs w:val="24"/>
                <w:lang w:eastAsia="zh-CN"/>
              </w:rPr>
              <w:t>m</w:t>
            </w:r>
            <w:r>
              <w:rPr>
                <w:rFonts w:hint="eastAsia" w:ascii="Times New Roman" w:hAnsi="Times New Roman" w:eastAsia="Times New Roman" w:cs="Times New Roman"/>
                <w:color w:val="auto"/>
                <w:spacing w:val="-1"/>
                <w:sz w:val="24"/>
                <w:szCs w:val="24"/>
                <w:vertAlign w:val="superscript"/>
                <w:lang w:eastAsia="zh-CN"/>
              </w:rPr>
              <w:t>2</w:t>
            </w:r>
            <w:r>
              <w:rPr>
                <w:color w:val="auto"/>
                <w:spacing w:val="-1"/>
                <w:sz w:val="24"/>
                <w:szCs w:val="24"/>
                <w:lang w:eastAsia="zh-CN"/>
              </w:rPr>
              <w:t>，按照</w:t>
            </w:r>
            <w:r>
              <w:rPr>
                <w:rFonts w:hint="eastAsia"/>
                <w:color w:val="auto"/>
                <w:spacing w:val="-1"/>
                <w:sz w:val="24"/>
                <w:szCs w:val="24"/>
                <w:lang w:eastAsia="zh-CN"/>
              </w:rPr>
              <w:t>《危险废物贮存污染控制标准》（GB18597-2023）</w:t>
            </w:r>
            <w:r>
              <w:rPr>
                <w:color w:val="auto"/>
                <w:sz w:val="24"/>
                <w:szCs w:val="24"/>
                <w:lang w:eastAsia="zh-CN"/>
              </w:rPr>
              <w:t>相关要求进行建设，项目危险废物产生量较少</w:t>
            </w:r>
            <w:r>
              <w:rPr>
                <w:color w:val="auto"/>
                <w:spacing w:val="-1"/>
                <w:sz w:val="24"/>
                <w:szCs w:val="24"/>
                <w:lang w:eastAsia="zh-CN"/>
              </w:rPr>
              <w:t>，能够满足储</w:t>
            </w:r>
            <w:r>
              <w:rPr>
                <w:color w:val="auto"/>
                <w:spacing w:val="-3"/>
                <w:sz w:val="24"/>
                <w:szCs w:val="24"/>
                <w:lang w:eastAsia="zh-CN"/>
              </w:rPr>
              <w:t>存要求。</w:t>
            </w:r>
          </w:p>
          <w:p>
            <w:pPr>
              <w:pStyle w:val="22"/>
              <w:widowControl w:val="0"/>
              <w:kinsoku/>
              <w:spacing w:before="36" w:line="218" w:lineRule="auto"/>
              <w:ind w:left="598"/>
              <w:jc w:val="both"/>
              <w:rPr>
                <w:rFonts w:ascii="Times New Roman" w:hAnsi="Times New Roman" w:cs="Times New Roman"/>
                <w:b/>
                <w:bCs/>
                <w:color w:val="auto"/>
                <w:lang w:eastAsia="zh-CN"/>
              </w:rPr>
            </w:pPr>
            <w:r>
              <w:rPr>
                <w:rFonts w:ascii="Times New Roman" w:hAnsi="Times New Roman" w:cs="Times New Roman"/>
                <w:b/>
                <w:bCs/>
                <w:color w:val="auto"/>
                <w:spacing w:val="-1"/>
                <w:lang w:eastAsia="zh-CN"/>
              </w:rPr>
              <w:t>（4）本评价对危险废物的收集、贮存和运输要求</w:t>
            </w:r>
          </w:p>
          <w:p>
            <w:pPr>
              <w:pStyle w:val="22"/>
              <w:widowControl w:val="0"/>
              <w:kinsoku/>
              <w:spacing w:before="182" w:line="219" w:lineRule="auto"/>
              <w:ind w:left="609"/>
              <w:jc w:val="both"/>
              <w:rPr>
                <w:rFonts w:ascii="Times New Roman" w:hAnsi="Times New Roman" w:cs="Times New Roman"/>
                <w:color w:val="auto"/>
                <w:lang w:eastAsia="zh-CN"/>
              </w:rPr>
            </w:pPr>
            <w:r>
              <w:rPr>
                <w:rFonts w:ascii="Times New Roman" w:hAnsi="Times New Roman" w:cs="Times New Roman"/>
                <w:color w:val="auto"/>
                <w:spacing w:val="-2"/>
                <w:lang w:eastAsia="zh-CN"/>
              </w:rPr>
              <w:t>1）危险废物的收集要求</w:t>
            </w:r>
          </w:p>
          <w:p>
            <w:pPr>
              <w:pStyle w:val="22"/>
              <w:widowControl w:val="0"/>
              <w:kinsoku/>
              <w:spacing w:before="183"/>
              <w:ind w:left="117" w:firstLine="479"/>
              <w:jc w:val="both"/>
              <w:rPr>
                <w:rFonts w:ascii="Times New Roman" w:hAnsi="Times New Roman" w:cs="Times New Roman"/>
                <w:color w:val="auto"/>
                <w:lang w:eastAsia="zh-CN"/>
              </w:rPr>
            </w:pPr>
            <w:r>
              <w:rPr>
                <w:rFonts w:ascii="Times New Roman" w:hAnsi="Times New Roman" w:cs="Times New Roman"/>
                <w:color w:val="auto"/>
                <w:spacing w:val="9"/>
                <w:lang w:eastAsia="zh-CN"/>
              </w:rPr>
              <w:t>①性质类似的废物可收集到同一容器中、性质不相容</w:t>
            </w:r>
            <w:r>
              <w:rPr>
                <w:rFonts w:ascii="Times New Roman" w:hAnsi="Times New Roman" w:cs="Times New Roman"/>
                <w:color w:val="auto"/>
                <w:spacing w:val="8"/>
                <w:lang w:eastAsia="zh-CN"/>
              </w:rPr>
              <w:t>的危险废物不应混合包</w:t>
            </w:r>
            <w:r>
              <w:rPr>
                <w:rFonts w:ascii="Times New Roman" w:hAnsi="Times New Roman" w:cs="Times New Roman"/>
                <w:color w:val="auto"/>
                <w:spacing w:val="-5"/>
                <w:lang w:eastAsia="zh-CN"/>
              </w:rPr>
              <w:t>装。</w:t>
            </w:r>
          </w:p>
          <w:p>
            <w:pPr>
              <w:pStyle w:val="22"/>
              <w:widowControl w:val="0"/>
              <w:kinsoku/>
              <w:spacing w:before="182"/>
              <w:ind w:left="119" w:firstLine="476"/>
              <w:jc w:val="both"/>
              <w:rPr>
                <w:rFonts w:ascii="Times New Roman" w:hAnsi="Times New Roman" w:cs="Times New Roman"/>
                <w:color w:val="auto"/>
                <w:lang w:eastAsia="zh-CN"/>
              </w:rPr>
            </w:pPr>
            <w:r>
              <w:rPr>
                <w:rFonts w:ascii="Times New Roman" w:hAnsi="Times New Roman" w:cs="Times New Roman"/>
                <w:color w:val="auto"/>
                <w:spacing w:val="9"/>
                <w:lang w:eastAsia="zh-CN"/>
              </w:rPr>
              <w:t>②危险废物包装应能有效隔断危险废物迁移扩散途径，</w:t>
            </w:r>
            <w:r>
              <w:rPr>
                <w:rFonts w:ascii="Times New Roman" w:hAnsi="Times New Roman" w:cs="Times New Roman"/>
                <w:color w:val="auto"/>
                <w:spacing w:val="8"/>
                <w:lang w:eastAsia="zh-CN"/>
              </w:rPr>
              <w:t>并达到防渗、防漏要</w:t>
            </w:r>
            <w:r>
              <w:rPr>
                <w:rFonts w:ascii="Times New Roman" w:hAnsi="Times New Roman" w:cs="Times New Roman"/>
                <w:color w:val="auto"/>
                <w:spacing w:val="-6"/>
                <w:lang w:eastAsia="zh-CN"/>
              </w:rPr>
              <w:t>求。</w:t>
            </w:r>
          </w:p>
          <w:p>
            <w:pPr>
              <w:pStyle w:val="22"/>
              <w:widowControl w:val="0"/>
              <w:kinsoku/>
              <w:spacing w:before="178" w:line="360" w:lineRule="auto"/>
              <w:ind w:left="117" w:right="58" w:firstLine="478"/>
              <w:jc w:val="both"/>
              <w:rPr>
                <w:rFonts w:ascii="Times New Roman" w:hAnsi="Times New Roman" w:cs="Times New Roman"/>
                <w:color w:val="auto"/>
                <w:lang w:eastAsia="zh-CN"/>
              </w:rPr>
            </w:pPr>
            <w:r>
              <w:rPr>
                <w:rFonts w:ascii="Times New Roman" w:hAnsi="Times New Roman" w:cs="Times New Roman"/>
                <w:color w:val="auto"/>
                <w:lang w:eastAsia="zh-CN"/>
              </w:rPr>
              <w:t>③在危险废物的收集和转运过程中，应采取相应的安全</w:t>
            </w:r>
            <w:r>
              <w:rPr>
                <w:rFonts w:ascii="Times New Roman" w:hAnsi="Times New Roman" w:cs="Times New Roman"/>
                <w:color w:val="auto"/>
                <w:spacing w:val="-1"/>
                <w:lang w:eastAsia="zh-CN"/>
              </w:rPr>
              <w:t>防护和污染防治措施，</w:t>
            </w:r>
            <w:r>
              <w:rPr>
                <w:rFonts w:ascii="Times New Roman" w:hAnsi="Times New Roman" w:cs="Times New Roman"/>
                <w:color w:val="auto"/>
                <w:lang w:eastAsia="zh-CN"/>
              </w:rPr>
              <w:t>包括防爆、防火、防泄漏、防风、防雨或</w:t>
            </w:r>
            <w:r>
              <w:rPr>
                <w:rFonts w:hint="eastAsia" w:ascii="Times New Roman" w:hAnsi="Times New Roman" w:cs="Times New Roman"/>
                <w:color w:val="auto"/>
                <w:lang w:eastAsia="zh-CN"/>
              </w:rPr>
              <w:t>其他</w:t>
            </w:r>
            <w:r>
              <w:rPr>
                <w:rFonts w:ascii="Times New Roman" w:hAnsi="Times New Roman" w:cs="Times New Roman"/>
                <w:color w:val="auto"/>
                <w:spacing w:val="-1"/>
                <w:lang w:eastAsia="zh-CN"/>
              </w:rPr>
              <w:t>防止污染环境的措施。</w:t>
            </w:r>
          </w:p>
          <w:p>
            <w:pPr>
              <w:pStyle w:val="22"/>
              <w:widowControl w:val="0"/>
              <w:kinsoku/>
              <w:spacing w:before="41" w:line="360" w:lineRule="auto"/>
              <w:ind w:left="126" w:firstLine="484" w:firstLineChars="200"/>
              <w:jc w:val="both"/>
              <w:rPr>
                <w:rFonts w:ascii="Times New Roman" w:hAnsi="Times New Roman" w:cs="Times New Roman"/>
                <w:color w:val="auto"/>
                <w:lang w:eastAsia="zh-CN"/>
              </w:rPr>
            </w:pPr>
            <w:r>
              <w:rPr>
                <w:rFonts w:ascii="Times New Roman" w:hAnsi="Times New Roman" w:cs="Times New Roman"/>
                <w:color w:val="auto"/>
                <w:spacing w:val="1"/>
                <w:lang w:eastAsia="zh-CN"/>
              </w:rPr>
              <w:t>④危险废物内部转运应综合考虑厂区的实际情况确定转运路线，尽量避开办公</w:t>
            </w:r>
            <w:r>
              <w:rPr>
                <w:rFonts w:ascii="Times New Roman" w:hAnsi="Times New Roman" w:cs="Times New Roman"/>
                <w:color w:val="auto"/>
                <w:spacing w:val="-5"/>
                <w:lang w:eastAsia="zh-CN"/>
              </w:rPr>
              <w:t>区和生活区。</w:t>
            </w:r>
          </w:p>
          <w:p>
            <w:pPr>
              <w:pStyle w:val="22"/>
              <w:widowControl w:val="0"/>
              <w:kinsoku/>
              <w:spacing w:before="178" w:line="360" w:lineRule="auto"/>
              <w:ind w:left="107" w:right="104" w:firstLine="479"/>
              <w:jc w:val="both"/>
              <w:rPr>
                <w:rFonts w:ascii="Times New Roman" w:hAnsi="Times New Roman" w:cs="Times New Roman"/>
                <w:color w:val="auto"/>
                <w:lang w:eastAsia="zh-CN"/>
              </w:rPr>
            </w:pPr>
            <w:r>
              <w:rPr>
                <w:rFonts w:ascii="Times New Roman" w:hAnsi="Times New Roman" w:cs="Times New Roman"/>
                <w:color w:val="auto"/>
                <w:spacing w:val="1"/>
                <w:lang w:eastAsia="zh-CN"/>
              </w:rPr>
              <w:t>⑤危险废物内部转运结束后，应对转运路线进行检查和清理，确保无危险废物</w:t>
            </w:r>
            <w:r>
              <w:rPr>
                <w:rFonts w:ascii="Times New Roman" w:hAnsi="Times New Roman" w:cs="Times New Roman"/>
                <w:color w:val="auto"/>
                <w:spacing w:val="-1"/>
                <w:lang w:eastAsia="zh-CN"/>
              </w:rPr>
              <w:t>遗失在转运路线上，并对转运工具进行清洗。</w:t>
            </w:r>
          </w:p>
          <w:p>
            <w:pPr>
              <w:pStyle w:val="22"/>
              <w:widowControl w:val="0"/>
              <w:kinsoku/>
              <w:spacing w:before="182" w:line="360" w:lineRule="auto"/>
              <w:ind w:left="110" w:right="104" w:firstLine="476"/>
              <w:jc w:val="both"/>
              <w:rPr>
                <w:rFonts w:ascii="Times New Roman" w:hAnsi="Times New Roman" w:cs="Times New Roman"/>
                <w:color w:val="auto"/>
                <w:lang w:eastAsia="zh-CN"/>
              </w:rPr>
            </w:pPr>
            <w:r>
              <w:rPr>
                <w:rFonts w:ascii="Times New Roman" w:hAnsi="Times New Roman" w:cs="Times New Roman"/>
                <w:color w:val="auto"/>
                <w:spacing w:val="1"/>
                <w:lang w:eastAsia="zh-CN"/>
              </w:rPr>
              <w:t>⑥收集过危险废物的容器、设备、设施、场所及其他物品转作他用时，应消除</w:t>
            </w:r>
            <w:r>
              <w:rPr>
                <w:rFonts w:ascii="Times New Roman" w:hAnsi="Times New Roman" w:cs="Times New Roman"/>
                <w:color w:val="auto"/>
                <w:spacing w:val="-2"/>
                <w:lang w:eastAsia="zh-CN"/>
              </w:rPr>
              <w:t>污染，确保其使用安全。</w:t>
            </w:r>
          </w:p>
          <w:p>
            <w:pPr>
              <w:pStyle w:val="22"/>
              <w:widowControl w:val="0"/>
              <w:kinsoku/>
              <w:spacing w:before="183" w:line="219" w:lineRule="auto"/>
              <w:ind w:left="600"/>
              <w:jc w:val="both"/>
              <w:rPr>
                <w:rFonts w:ascii="Times New Roman" w:hAnsi="Times New Roman" w:cs="Times New Roman"/>
                <w:color w:val="auto"/>
                <w:lang w:eastAsia="zh-CN"/>
              </w:rPr>
            </w:pPr>
            <w:r>
              <w:rPr>
                <w:rFonts w:ascii="Times New Roman" w:hAnsi="Times New Roman" w:cs="Times New Roman"/>
                <w:color w:val="auto"/>
                <w:spacing w:val="-2"/>
                <w:lang w:eastAsia="zh-CN"/>
              </w:rPr>
              <w:t>2）危废贮存场所的要求</w:t>
            </w:r>
          </w:p>
          <w:p>
            <w:pPr>
              <w:pStyle w:val="22"/>
              <w:widowControl w:val="0"/>
              <w:kinsoku/>
              <w:spacing w:before="181" w:line="354" w:lineRule="auto"/>
              <w:ind w:left="107" w:right="102" w:firstLine="484"/>
              <w:jc w:val="both"/>
              <w:rPr>
                <w:rFonts w:ascii="Times New Roman" w:hAnsi="Times New Roman" w:cs="Times New Roman"/>
                <w:color w:val="auto"/>
                <w:lang w:eastAsia="zh-CN"/>
              </w:rPr>
            </w:pPr>
            <w:r>
              <w:rPr>
                <w:rFonts w:ascii="Times New Roman" w:hAnsi="Times New Roman" w:cs="Times New Roman"/>
                <w:color w:val="auto"/>
                <w:spacing w:val="5"/>
                <w:lang w:eastAsia="zh-CN"/>
              </w:rPr>
              <w:t>项目运营期间产生的废活性炭、</w:t>
            </w:r>
            <w:r>
              <w:rPr>
                <w:rFonts w:hint="eastAsia" w:ascii="Times New Roman" w:hAnsi="Times New Roman" w:cs="Times New Roman"/>
                <w:color w:val="auto"/>
                <w:spacing w:val="5"/>
                <w:lang w:eastAsia="zh-CN"/>
              </w:rPr>
              <w:t>废润滑油</w:t>
            </w:r>
            <w:r>
              <w:rPr>
                <w:rFonts w:ascii="Times New Roman" w:hAnsi="Times New Roman" w:cs="Times New Roman"/>
                <w:color w:val="auto"/>
                <w:spacing w:val="5"/>
                <w:lang w:eastAsia="zh-CN"/>
              </w:rPr>
              <w:t>、废胶桶等危险废物在</w:t>
            </w:r>
            <w:r>
              <w:rPr>
                <w:rFonts w:ascii="Times New Roman" w:hAnsi="Times New Roman" w:cs="Times New Roman"/>
                <w:color w:val="auto"/>
                <w:spacing w:val="1"/>
                <w:lang w:eastAsia="zh-CN"/>
              </w:rPr>
              <w:t>贮存过程中应设置围堰。贮存危险废物的容器上必须粘贴标签，标签内容应包括废物类别、行业来源、废物代码、危险废物和危险特性。为降低危废渗漏的影响，建设单位拟在危废暂存点设置防水特殊保护层，危险废物在厂区内收集后，暂</w:t>
            </w:r>
            <w:r>
              <w:rPr>
                <w:rFonts w:ascii="Times New Roman" w:hAnsi="Times New Roman" w:cs="Times New Roman"/>
                <w:color w:val="auto"/>
                <w:spacing w:val="-1"/>
                <w:lang w:eastAsia="zh-CN"/>
              </w:rPr>
              <w:t>存于防风、防雨、防晒、防渗的危废暂存场所。</w:t>
            </w:r>
          </w:p>
          <w:p>
            <w:pPr>
              <w:pStyle w:val="22"/>
              <w:widowControl w:val="0"/>
              <w:kinsoku/>
              <w:spacing w:before="32" w:line="350" w:lineRule="auto"/>
              <w:ind w:left="107" w:right="102" w:firstLine="483"/>
              <w:jc w:val="both"/>
              <w:rPr>
                <w:rFonts w:ascii="Times New Roman" w:hAnsi="Times New Roman" w:cs="Times New Roman"/>
                <w:color w:val="auto"/>
                <w:lang w:eastAsia="zh-CN"/>
              </w:rPr>
            </w:pPr>
            <w:r>
              <w:rPr>
                <w:rFonts w:ascii="Times New Roman" w:hAnsi="Times New Roman" w:cs="Times New Roman"/>
                <w:color w:val="auto"/>
                <w:spacing w:val="1"/>
                <w:lang w:eastAsia="zh-CN"/>
              </w:rPr>
              <w:t>危险废物在堆放时若管理不当容易发生扩散和</w:t>
            </w:r>
            <w:r>
              <w:rPr>
                <w:rFonts w:hint="eastAsia" w:ascii="Times New Roman" w:hAnsi="Times New Roman" w:cs="Times New Roman"/>
                <w:color w:val="auto"/>
                <w:spacing w:val="1"/>
                <w:lang w:eastAsia="zh-CN"/>
              </w:rPr>
              <w:t>泄漏</w:t>
            </w:r>
            <w:r>
              <w:rPr>
                <w:rFonts w:ascii="Times New Roman" w:hAnsi="Times New Roman" w:cs="Times New Roman"/>
                <w:color w:val="auto"/>
                <w:spacing w:val="1"/>
                <w:lang w:eastAsia="zh-CN"/>
              </w:rPr>
              <w:t>，进而对环境造成污染，甚</w:t>
            </w:r>
            <w:r>
              <w:rPr>
                <w:rFonts w:ascii="Times New Roman" w:hAnsi="Times New Roman" w:cs="Times New Roman"/>
                <w:color w:val="auto"/>
                <w:lang w:eastAsia="zh-CN"/>
              </w:rPr>
              <w:t>至损害人们的健康。因此，根据《危险废物贮存污染控制标准》（GB18958-2023</w:t>
            </w:r>
            <w:r>
              <w:rPr>
                <w:rFonts w:ascii="Times New Roman" w:hAnsi="Times New Roman" w:cs="Times New Roman"/>
                <w:color w:val="auto"/>
                <w:spacing w:val="-1"/>
                <w:lang w:eastAsia="zh-CN"/>
              </w:rPr>
              <w:t>）</w:t>
            </w:r>
            <w:r>
              <w:rPr>
                <w:rFonts w:ascii="Times New Roman" w:hAnsi="Times New Roman" w:cs="Times New Roman"/>
                <w:color w:val="auto"/>
                <w:lang w:eastAsia="zh-CN"/>
              </w:rPr>
              <w:t>的相关要求，本评价建</w:t>
            </w:r>
            <w:r>
              <w:rPr>
                <w:rFonts w:ascii="Times New Roman" w:hAnsi="Times New Roman" w:cs="Times New Roman"/>
                <w:color w:val="auto"/>
                <w:spacing w:val="-1"/>
                <w:lang w:eastAsia="zh-CN"/>
              </w:rPr>
              <w:t>议项目落实以下措施：</w:t>
            </w:r>
          </w:p>
          <w:p>
            <w:pPr>
              <w:pStyle w:val="22"/>
              <w:widowControl w:val="0"/>
              <w:kinsoku/>
              <w:spacing w:before="38" w:line="217" w:lineRule="auto"/>
              <w:ind w:left="587"/>
              <w:jc w:val="both"/>
              <w:rPr>
                <w:rFonts w:ascii="Times New Roman" w:hAnsi="Times New Roman" w:cs="Times New Roman"/>
                <w:color w:val="auto"/>
                <w:lang w:eastAsia="zh-CN"/>
              </w:rPr>
            </w:pPr>
            <w:r>
              <w:rPr>
                <w:rFonts w:ascii="Times New Roman" w:hAnsi="Times New Roman" w:cs="Times New Roman"/>
                <w:color w:val="auto"/>
                <w:spacing w:val="-1"/>
                <w:lang w:eastAsia="zh-CN"/>
              </w:rPr>
              <w:t>①危险废物集中贮存场所的选址位于生产车间内。</w:t>
            </w:r>
          </w:p>
          <w:p>
            <w:pPr>
              <w:pStyle w:val="22"/>
              <w:widowControl w:val="0"/>
              <w:kinsoku/>
              <w:spacing w:before="184" w:line="290" w:lineRule="auto"/>
              <w:ind w:left="111" w:right="104" w:firstLine="475"/>
              <w:jc w:val="both"/>
              <w:rPr>
                <w:rFonts w:ascii="Times New Roman" w:hAnsi="Times New Roman" w:cs="Times New Roman"/>
                <w:color w:val="auto"/>
                <w:lang w:eastAsia="zh-CN"/>
              </w:rPr>
            </w:pPr>
            <w:r>
              <w:rPr>
                <w:rFonts w:ascii="Times New Roman" w:hAnsi="Times New Roman" w:cs="Times New Roman"/>
                <w:color w:val="auto"/>
                <w:spacing w:val="1"/>
                <w:lang w:eastAsia="zh-CN"/>
              </w:rPr>
              <w:t>②危险废物贮存设施要用坚固、防渗的材料建造，建筑材料必须与危险废物相</w:t>
            </w:r>
            <w:r>
              <w:rPr>
                <w:rFonts w:ascii="Times New Roman" w:hAnsi="Times New Roman" w:cs="Times New Roman"/>
                <w:color w:val="auto"/>
                <w:spacing w:val="-7"/>
                <w:lang w:eastAsia="zh-CN"/>
              </w:rPr>
              <w:t>容。</w:t>
            </w:r>
          </w:p>
          <w:p>
            <w:pPr>
              <w:pStyle w:val="22"/>
              <w:widowControl w:val="0"/>
              <w:kinsoku/>
              <w:spacing w:before="32" w:line="350" w:lineRule="auto"/>
              <w:ind w:left="107" w:right="102" w:firstLine="483"/>
              <w:jc w:val="both"/>
              <w:rPr>
                <w:rFonts w:ascii="Times New Roman" w:hAnsi="Times New Roman" w:cs="Times New Roman"/>
                <w:color w:val="auto"/>
                <w:lang w:eastAsia="zh-CN"/>
              </w:rPr>
            </w:pPr>
            <w:r>
              <w:rPr>
                <w:rFonts w:ascii="Times New Roman" w:hAnsi="Times New Roman" w:cs="Times New Roman"/>
                <w:color w:val="auto"/>
                <w:lang w:eastAsia="zh-CN"/>
              </w:rPr>
              <w:t>③危废暂存间必须进行重点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cs="Times New Roman"/>
                <w:color w:val="auto"/>
                <w:vertAlign w:val="superscript"/>
                <w:lang w:eastAsia="zh-CN"/>
              </w:rPr>
              <w:t>-7</w:t>
            </w:r>
            <w:r>
              <w:rPr>
                <w:rFonts w:ascii="Times New Roman" w:hAnsi="Times New Roman" w:cs="Times New Roman"/>
                <w:color w:val="auto"/>
                <w:lang w:eastAsia="zh-CN"/>
              </w:rPr>
              <w:t>cm/s），或至少2mm厚高密度聚乙烯膜等人工防渗材料（渗透系数不大于10</w:t>
            </w:r>
            <w:r>
              <w:rPr>
                <w:rFonts w:ascii="Times New Roman" w:hAnsi="Times New Roman" w:cs="Times New Roman"/>
                <w:color w:val="auto"/>
                <w:vertAlign w:val="superscript"/>
                <w:lang w:eastAsia="zh-CN"/>
              </w:rPr>
              <w:t>-10</w:t>
            </w:r>
            <w:r>
              <w:rPr>
                <w:rFonts w:ascii="Times New Roman" w:hAnsi="Times New Roman" w:cs="Times New Roman"/>
                <w:color w:val="auto"/>
                <w:lang w:eastAsia="zh-CN"/>
              </w:rPr>
              <w:t>cm/s），或其他防渗性能等效的材料。</w:t>
            </w:r>
          </w:p>
          <w:p>
            <w:pPr>
              <w:pStyle w:val="22"/>
              <w:widowControl w:val="0"/>
              <w:kinsoku/>
              <w:spacing w:before="182" w:line="217" w:lineRule="auto"/>
              <w:ind w:left="586"/>
              <w:jc w:val="both"/>
              <w:rPr>
                <w:rFonts w:ascii="Times New Roman" w:hAnsi="Times New Roman" w:cs="Times New Roman"/>
                <w:color w:val="auto"/>
                <w:lang w:eastAsia="zh-CN"/>
              </w:rPr>
            </w:pPr>
            <w:r>
              <w:rPr>
                <w:rFonts w:ascii="Times New Roman" w:hAnsi="Times New Roman" w:cs="Times New Roman"/>
                <w:color w:val="auto"/>
                <w:spacing w:val="-1"/>
                <w:lang w:eastAsia="zh-CN"/>
              </w:rPr>
              <w:t>④危险废物堆放要防风、防雨、防晒。</w:t>
            </w:r>
          </w:p>
          <w:p>
            <w:pPr>
              <w:pStyle w:val="22"/>
              <w:widowControl w:val="0"/>
              <w:kinsoku/>
              <w:spacing w:before="186" w:line="350" w:lineRule="auto"/>
              <w:ind w:left="107" w:right="102" w:firstLine="483"/>
              <w:jc w:val="both"/>
              <w:rPr>
                <w:rFonts w:ascii="Times New Roman" w:hAnsi="Times New Roman" w:cs="Times New Roman"/>
                <w:color w:val="auto"/>
                <w:lang w:eastAsia="zh-CN"/>
              </w:rPr>
            </w:pPr>
            <w:r>
              <w:rPr>
                <w:rFonts w:ascii="Times New Roman" w:hAnsi="Times New Roman" w:cs="Times New Roman"/>
                <w:color w:val="auto"/>
                <w:spacing w:val="1"/>
                <w:lang w:eastAsia="zh-CN"/>
              </w:rPr>
              <w:t>综上所述，项目危险废物贮存场选址可行，场所贮存能力满足要求。项目危险废物通过各污染防治措施，贮存符合相关要求，不会对周围环境空气、地表水、地</w:t>
            </w:r>
            <w:r>
              <w:rPr>
                <w:rFonts w:ascii="Times New Roman" w:hAnsi="Times New Roman" w:cs="Times New Roman"/>
                <w:color w:val="auto"/>
                <w:spacing w:val="-1"/>
                <w:lang w:eastAsia="zh-CN"/>
              </w:rPr>
              <w:t>下水、土壤以及环境敏感保护目标造成影响。</w:t>
            </w:r>
          </w:p>
          <w:p>
            <w:pPr>
              <w:widowControl w:val="0"/>
              <w:kinsoku/>
              <w:spacing w:line="360" w:lineRule="auto"/>
              <w:ind w:firstLine="48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bidi="ar"/>
              </w:rPr>
              <w:t>（4）管理要求</w:t>
            </w:r>
          </w:p>
          <w:p>
            <w:pPr>
              <w:widowControl w:val="0"/>
              <w:kinsoku/>
              <w:spacing w:line="360" w:lineRule="auto"/>
              <w:ind w:firstLine="48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bidi="ar"/>
              </w:rPr>
              <w:t>根据《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评价要求建设单位按照《一般工业固体废物管理台账制定指南（试行）》等技术规范，建立工业固体废物管理台账。</w:t>
            </w:r>
          </w:p>
          <w:p>
            <w:pPr>
              <w:widowControl w:val="0"/>
              <w:kinsoku/>
              <w:spacing w:line="360" w:lineRule="auto"/>
              <w:ind w:firstLine="480" w:firstLineChars="200"/>
              <w:jc w:val="both"/>
              <w:rPr>
                <w:color w:val="auto"/>
                <w:lang w:eastAsia="zh-CN"/>
              </w:rPr>
            </w:pPr>
            <w:r>
              <w:rPr>
                <w:rFonts w:hint="eastAsia" w:ascii="宋体" w:hAnsi="宋体" w:eastAsia="宋体" w:cs="宋体"/>
                <w:color w:val="auto"/>
                <w:sz w:val="24"/>
                <w:szCs w:val="24"/>
                <w:lang w:eastAsia="zh-CN"/>
              </w:rPr>
              <w:t>综上，本项目一般工业固废为固体，贮存在一般固废暂存间内，在贮存、处置等过程中不会对环境空气、地表水、地下水、土壤等产生影响。</w:t>
            </w:r>
          </w:p>
          <w:p>
            <w:pPr>
              <w:widowControl w:val="0"/>
              <w:kinsoku/>
              <w:spacing w:line="360" w:lineRule="auto"/>
              <w:ind w:firstLine="421" w:firstLineChars="200"/>
              <w:jc w:val="center"/>
              <w:rPr>
                <w:rFonts w:hint="eastAsia" w:ascii="宋体" w:hAnsi="宋体" w:eastAsia="宋体" w:cs="宋体"/>
                <w:b/>
                <w:bCs/>
                <w:color w:val="auto"/>
                <w:spacing w:val="5"/>
                <w:sz w:val="20"/>
                <w:szCs w:val="20"/>
                <w:lang w:eastAsia="zh-CN"/>
              </w:rPr>
            </w:pPr>
            <w:r>
              <w:rPr>
                <w:rFonts w:hint="eastAsia" w:ascii="宋体" w:hAnsi="宋体" w:eastAsia="宋体" w:cs="宋体"/>
                <w:b/>
                <w:bCs/>
                <w:color w:val="auto"/>
                <w:spacing w:val="5"/>
                <w:sz w:val="20"/>
                <w:szCs w:val="20"/>
                <w:lang w:eastAsia="zh-CN"/>
              </w:rPr>
              <w:t>表4-16固体废物产排情况一览表</w:t>
            </w:r>
          </w:p>
          <w:tbl>
            <w:tblPr>
              <w:tblStyle w:val="16"/>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13"/>
              <w:gridCol w:w="1152"/>
              <w:gridCol w:w="966"/>
              <w:gridCol w:w="633"/>
              <w:gridCol w:w="693"/>
              <w:gridCol w:w="794"/>
              <w:gridCol w:w="903"/>
              <w:gridCol w:w="1310"/>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序号</w:t>
                  </w:r>
                </w:p>
              </w:tc>
              <w:tc>
                <w:tcPr>
                  <w:tcW w:w="71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产生环节</w:t>
                  </w:r>
                </w:p>
              </w:tc>
              <w:tc>
                <w:tcPr>
                  <w:tcW w:w="1152"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名称</w:t>
                  </w:r>
                </w:p>
              </w:tc>
              <w:tc>
                <w:tcPr>
                  <w:tcW w:w="966"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属性</w:t>
                  </w:r>
                </w:p>
              </w:tc>
              <w:tc>
                <w:tcPr>
                  <w:tcW w:w="63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物理性</w:t>
                  </w:r>
                </w:p>
                <w:p>
                  <w:pPr>
                    <w:kinsoku/>
                    <w:jc w:val="center"/>
                    <w:rPr>
                      <w:rFonts w:ascii="Times New Roman" w:hAnsi="Times New Roman" w:cs="Times New Roman"/>
                      <w:color w:val="auto"/>
                    </w:rPr>
                  </w:pPr>
                  <w:r>
                    <w:rPr>
                      <w:rFonts w:ascii="Times New Roman" w:hAnsi="Times New Roman" w:cs="Times New Roman"/>
                      <w:color w:val="auto"/>
                      <w:lang w:eastAsia="zh-CN"/>
                    </w:rPr>
                    <w:t>状</w:t>
                  </w:r>
                </w:p>
              </w:tc>
              <w:tc>
                <w:tcPr>
                  <w:tcW w:w="69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环境危险特性</w:t>
                  </w:r>
                </w:p>
              </w:tc>
              <w:tc>
                <w:tcPr>
                  <w:tcW w:w="794"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产生量(t/a)</w:t>
                  </w:r>
                </w:p>
              </w:tc>
              <w:tc>
                <w:tcPr>
                  <w:tcW w:w="90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贮存方式</w:t>
                  </w:r>
                </w:p>
              </w:tc>
              <w:tc>
                <w:tcPr>
                  <w:tcW w:w="1310"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利用处置方式和去向</w:t>
                  </w:r>
                </w:p>
              </w:tc>
              <w:tc>
                <w:tcPr>
                  <w:tcW w:w="809"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713"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w:t>
                  </w:r>
                </w:p>
              </w:tc>
              <w:tc>
                <w:tcPr>
                  <w:tcW w:w="1152"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生活垃圾</w:t>
                  </w:r>
                </w:p>
              </w:tc>
              <w:tc>
                <w:tcPr>
                  <w:tcW w:w="96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生活垃圾</w:t>
                  </w:r>
                </w:p>
              </w:tc>
              <w:tc>
                <w:tcPr>
                  <w:tcW w:w="633"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固态</w:t>
                  </w:r>
                </w:p>
              </w:tc>
              <w:tc>
                <w:tcPr>
                  <w:tcW w:w="693"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4.62</w:t>
                  </w:r>
                </w:p>
              </w:tc>
              <w:tc>
                <w:tcPr>
                  <w:tcW w:w="903"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垃圾桶收集</w:t>
                  </w: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委托环卫部门收集</w:t>
                  </w: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p>
              </w:tc>
              <w:tc>
                <w:tcPr>
                  <w:tcW w:w="713" w:type="dxa"/>
                  <w:shd w:val="clear" w:color="auto" w:fill="auto"/>
                  <w:vAlign w:val="center"/>
                </w:tcPr>
                <w:p>
                  <w:pPr>
                    <w:kinsoku/>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52"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化粪池污泥</w:t>
                  </w:r>
                </w:p>
              </w:tc>
              <w:tc>
                <w:tcPr>
                  <w:tcW w:w="966"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污泥</w:t>
                  </w:r>
                </w:p>
              </w:tc>
              <w:tc>
                <w:tcPr>
                  <w:tcW w:w="63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94"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0.0293</w:t>
                  </w:r>
                </w:p>
              </w:tc>
              <w:tc>
                <w:tcPr>
                  <w:tcW w:w="90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化粪池</w:t>
                  </w: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委托环卫部门清掏</w:t>
                  </w:r>
                </w:p>
              </w:tc>
              <w:tc>
                <w:tcPr>
                  <w:tcW w:w="809"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713" w:type="dxa"/>
                  <w:vMerge w:val="restart"/>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机加工</w:t>
                  </w:r>
                </w:p>
              </w:tc>
              <w:tc>
                <w:tcPr>
                  <w:tcW w:w="1152"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废边角料</w:t>
                  </w:r>
                </w:p>
              </w:tc>
              <w:tc>
                <w:tcPr>
                  <w:tcW w:w="96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900-009-S17</w:t>
                  </w:r>
                </w:p>
              </w:tc>
              <w:tc>
                <w:tcPr>
                  <w:tcW w:w="63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固态</w:t>
                  </w:r>
                </w:p>
              </w:tc>
              <w:tc>
                <w:tcPr>
                  <w:tcW w:w="69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w:t>
                  </w:r>
                </w:p>
              </w:tc>
              <w:tc>
                <w:tcPr>
                  <w:tcW w:w="794"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p>
              </w:tc>
              <w:tc>
                <w:tcPr>
                  <w:tcW w:w="903" w:type="dxa"/>
                  <w:vMerge w:val="restart"/>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一般固废暂存</w:t>
                  </w:r>
                </w:p>
                <w:p>
                  <w:pPr>
                    <w:kinsoku/>
                    <w:jc w:val="center"/>
                    <w:rPr>
                      <w:rFonts w:ascii="Times New Roman" w:hAnsi="Times New Roman" w:cs="Times New Roman"/>
                      <w:color w:val="auto"/>
                    </w:rPr>
                  </w:pPr>
                  <w:r>
                    <w:rPr>
                      <w:rFonts w:ascii="Times New Roman" w:hAnsi="Times New Roman" w:cs="Times New Roman"/>
                      <w:color w:val="auto"/>
                      <w:lang w:eastAsia="zh-CN"/>
                    </w:rPr>
                    <w:t>间暂存</w:t>
                  </w: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收集后</w:t>
                  </w:r>
                  <w:bookmarkStart w:id="39" w:name="_Hlk203642458"/>
                  <w:r>
                    <w:rPr>
                      <w:rFonts w:hint="eastAsia" w:ascii="Times New Roman" w:hAnsi="Times New Roman" w:eastAsia="宋体" w:cs="Times New Roman"/>
                      <w:color w:val="auto"/>
                      <w:lang w:eastAsia="zh-CN"/>
                    </w:rPr>
                    <w:t>外售废品回收站回收处理</w:t>
                  </w:r>
                  <w:bookmarkEnd w:id="39"/>
                </w:p>
              </w:tc>
              <w:tc>
                <w:tcPr>
                  <w:tcW w:w="809"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713" w:type="dxa"/>
                  <w:vMerge w:val="continue"/>
                  <w:shd w:val="clear" w:color="auto" w:fill="auto"/>
                  <w:vAlign w:val="center"/>
                </w:tcPr>
                <w:p>
                  <w:pPr>
                    <w:kinsoku/>
                    <w:jc w:val="center"/>
                    <w:rPr>
                      <w:rFonts w:ascii="Times New Roman" w:hAnsi="Times New Roman" w:cs="Times New Roman"/>
                      <w:color w:val="auto"/>
                      <w:lang w:eastAsia="zh-CN"/>
                    </w:rPr>
                  </w:pPr>
                </w:p>
              </w:tc>
              <w:tc>
                <w:tcPr>
                  <w:tcW w:w="1152"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不合格产品</w:t>
                  </w:r>
                </w:p>
              </w:tc>
              <w:tc>
                <w:tcPr>
                  <w:tcW w:w="96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eastAsia="宋体" w:cs="Times New Roman"/>
                      <w:color w:val="auto"/>
                      <w:lang w:eastAsia="zh-CN"/>
                    </w:rPr>
                    <w:t>900-009-S17</w:t>
                  </w:r>
                </w:p>
              </w:tc>
              <w:tc>
                <w:tcPr>
                  <w:tcW w:w="63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93.423</w:t>
                  </w:r>
                </w:p>
              </w:tc>
              <w:tc>
                <w:tcPr>
                  <w:tcW w:w="903" w:type="dxa"/>
                  <w:vMerge w:val="continue"/>
                  <w:shd w:val="clear" w:color="auto" w:fill="auto"/>
                  <w:vAlign w:val="center"/>
                </w:tcPr>
                <w:p>
                  <w:pPr>
                    <w:kinsoku/>
                    <w:jc w:val="center"/>
                    <w:rPr>
                      <w:rFonts w:ascii="Times New Roman" w:hAnsi="Times New Roman" w:cs="Times New Roman"/>
                      <w:color w:val="auto"/>
                      <w:lang w:eastAsia="zh-CN"/>
                    </w:rPr>
                  </w:pP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收集后外售废品回收站回收处理</w:t>
                  </w: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713" w:type="dxa"/>
                  <w:vMerge w:val="continue"/>
                  <w:shd w:val="clear" w:color="auto" w:fill="auto"/>
                  <w:vAlign w:val="center"/>
                </w:tcPr>
                <w:p>
                  <w:pPr>
                    <w:kinsoku/>
                    <w:jc w:val="center"/>
                    <w:rPr>
                      <w:rFonts w:ascii="Times New Roman" w:hAnsi="Times New Roman" w:cs="Times New Roman"/>
                      <w:color w:val="auto"/>
                      <w:lang w:eastAsia="zh-CN"/>
                    </w:rPr>
                  </w:pPr>
                </w:p>
              </w:tc>
              <w:tc>
                <w:tcPr>
                  <w:tcW w:w="1152"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中央除尘系统收尘</w:t>
                  </w:r>
                </w:p>
              </w:tc>
              <w:tc>
                <w:tcPr>
                  <w:tcW w:w="96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eastAsia="宋体" w:cs="Times New Roman"/>
                      <w:color w:val="auto"/>
                      <w:lang w:eastAsia="zh-CN"/>
                    </w:rPr>
                    <w:t>900-0999-S17</w:t>
                  </w:r>
                </w:p>
              </w:tc>
              <w:tc>
                <w:tcPr>
                  <w:tcW w:w="63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0.2061</w:t>
                  </w:r>
                </w:p>
              </w:tc>
              <w:tc>
                <w:tcPr>
                  <w:tcW w:w="903" w:type="dxa"/>
                  <w:vMerge w:val="continue"/>
                  <w:shd w:val="clear" w:color="auto" w:fill="auto"/>
                  <w:vAlign w:val="center"/>
                </w:tcPr>
                <w:p>
                  <w:pPr>
                    <w:kinsoku/>
                    <w:jc w:val="center"/>
                    <w:rPr>
                      <w:rFonts w:ascii="Times New Roman" w:hAnsi="Times New Roman" w:cs="Times New Roman"/>
                      <w:color w:val="auto"/>
                      <w:lang w:eastAsia="zh-CN"/>
                    </w:rPr>
                  </w:pP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收集后外售废品回收站回收处理</w:t>
                  </w: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w:t>
                  </w:r>
                </w:p>
              </w:tc>
              <w:tc>
                <w:tcPr>
                  <w:tcW w:w="713" w:type="dxa"/>
                  <w:vMerge w:val="continue"/>
                  <w:shd w:val="clear" w:color="auto" w:fill="auto"/>
                  <w:vAlign w:val="center"/>
                </w:tcPr>
                <w:p>
                  <w:pPr>
                    <w:kinsoku/>
                    <w:jc w:val="center"/>
                    <w:rPr>
                      <w:rFonts w:ascii="Times New Roman" w:hAnsi="Times New Roman" w:cs="Times New Roman"/>
                      <w:color w:val="auto"/>
                      <w:lang w:eastAsia="zh-CN"/>
                    </w:rPr>
                  </w:pPr>
                </w:p>
              </w:tc>
              <w:tc>
                <w:tcPr>
                  <w:tcW w:w="1152"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废胶</w:t>
                  </w:r>
                </w:p>
              </w:tc>
              <w:tc>
                <w:tcPr>
                  <w:tcW w:w="96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eastAsia="宋体" w:cs="Times New Roman"/>
                      <w:color w:val="auto"/>
                      <w:lang w:eastAsia="zh-CN"/>
                    </w:rPr>
                    <w:t>900-099-S17</w:t>
                  </w:r>
                </w:p>
              </w:tc>
              <w:tc>
                <w:tcPr>
                  <w:tcW w:w="633"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半</w:t>
                  </w:r>
                  <w:r>
                    <w:rPr>
                      <w:rFonts w:ascii="Times New Roman" w:hAnsi="Times New Roman" w:eastAsia="宋体"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0.06</w:t>
                  </w:r>
                </w:p>
              </w:tc>
              <w:tc>
                <w:tcPr>
                  <w:tcW w:w="903" w:type="dxa"/>
                  <w:vMerge w:val="continue"/>
                  <w:shd w:val="clear" w:color="auto" w:fill="auto"/>
                  <w:vAlign w:val="center"/>
                </w:tcPr>
                <w:p>
                  <w:pPr>
                    <w:kinsoku/>
                    <w:jc w:val="center"/>
                    <w:rPr>
                      <w:rFonts w:ascii="Times New Roman" w:hAnsi="Times New Roman" w:cs="Times New Roman"/>
                      <w:color w:val="auto"/>
                      <w:lang w:eastAsia="zh-CN"/>
                    </w:rPr>
                  </w:pPr>
                </w:p>
              </w:tc>
              <w:tc>
                <w:tcPr>
                  <w:tcW w:w="1310" w:type="dxa"/>
                  <w:shd w:val="clear" w:color="auto" w:fill="auto"/>
                  <w:vAlign w:val="center"/>
                </w:tcPr>
                <w:p>
                  <w:pPr>
                    <w:kinsoku/>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收集后出售给废品回收公司</w:t>
                  </w: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w:t>
                  </w:r>
                </w:p>
              </w:tc>
              <w:tc>
                <w:tcPr>
                  <w:tcW w:w="713"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原料仓库</w:t>
                  </w:r>
                </w:p>
              </w:tc>
              <w:tc>
                <w:tcPr>
                  <w:tcW w:w="1152"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废包装</w:t>
                  </w:r>
                </w:p>
              </w:tc>
              <w:tc>
                <w:tcPr>
                  <w:tcW w:w="966"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900-009-S17</w:t>
                  </w:r>
                </w:p>
              </w:tc>
              <w:tc>
                <w:tcPr>
                  <w:tcW w:w="633" w:type="dxa"/>
                  <w:shd w:val="clear" w:color="auto" w:fill="auto"/>
                  <w:vAlign w:val="center"/>
                </w:tcPr>
                <w:p>
                  <w:pPr>
                    <w:kinsoku/>
                    <w:jc w:val="center"/>
                    <w:rPr>
                      <w:rFonts w:ascii="Times New Roman" w:hAnsi="Times New Roman" w:cs="Times New Roman"/>
                      <w:color w:val="auto"/>
                    </w:rPr>
                  </w:pPr>
                  <w:r>
                    <w:rPr>
                      <w:rFonts w:ascii="Times New Roman" w:hAnsi="Times New Roman"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794" w:type="dxa"/>
                  <w:shd w:val="clear" w:color="auto" w:fill="auto"/>
                  <w:vAlign w:val="center"/>
                </w:tcPr>
                <w:p>
                  <w:pPr>
                    <w:kinsoku/>
                    <w:jc w:val="center"/>
                    <w:rPr>
                      <w:rFonts w:ascii="Times New Roman" w:hAnsi="Times New Roman" w:cs="Times New Roman"/>
                      <w:color w:val="auto"/>
                    </w:rPr>
                  </w:pPr>
                  <w:r>
                    <w:rPr>
                      <w:rFonts w:hint="eastAsia" w:ascii="Times New Roman" w:hAnsi="Times New Roman" w:cs="Times New Roman"/>
                      <w:color w:val="auto"/>
                      <w:lang w:eastAsia="zh-CN"/>
                    </w:rPr>
                    <w:t>3</w:t>
                  </w:r>
                </w:p>
              </w:tc>
              <w:tc>
                <w:tcPr>
                  <w:tcW w:w="903" w:type="dxa"/>
                  <w:vMerge w:val="continue"/>
                  <w:shd w:val="clear" w:color="auto" w:fill="auto"/>
                  <w:vAlign w:val="center"/>
                </w:tcPr>
                <w:p>
                  <w:pPr>
                    <w:kinsoku/>
                    <w:jc w:val="center"/>
                    <w:rPr>
                      <w:rFonts w:ascii="Times New Roman" w:hAnsi="Times New Roman" w:cs="Times New Roman"/>
                      <w:color w:val="auto"/>
                    </w:rPr>
                  </w:pPr>
                </w:p>
              </w:tc>
              <w:tc>
                <w:tcPr>
                  <w:tcW w:w="1310"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eastAsia="宋体" w:cs="Times New Roman"/>
                      <w:color w:val="auto"/>
                      <w:lang w:eastAsia="zh-CN"/>
                    </w:rPr>
                    <w:t>收集后出售给废品回收公司</w:t>
                  </w:r>
                </w:p>
              </w:tc>
              <w:tc>
                <w:tcPr>
                  <w:tcW w:w="809" w:type="dxa"/>
                  <w:shd w:val="clear" w:color="auto" w:fill="auto"/>
                  <w:vAlign w:val="center"/>
                </w:tcPr>
                <w:p>
                  <w:pPr>
                    <w:kinsoku/>
                    <w:jc w:val="center"/>
                    <w:rPr>
                      <w:rFonts w:ascii="Times New Roman" w:hAnsi="Times New Roman" w:cs="Times New Roman"/>
                      <w:color w:val="auto"/>
                    </w:rPr>
                  </w:pPr>
                  <w:r>
                    <w:rPr>
                      <w:rFonts w:hint="eastAsia" w:ascii="Times New Roman" w:hAnsi="Times New Roman" w:cs="Times New Roman"/>
                      <w:color w:val="auto"/>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6" w:type="dxa"/>
                  <w:shd w:val="clear" w:color="auto" w:fill="auto"/>
                  <w:vAlign w:val="center"/>
                </w:tcPr>
                <w:p>
                  <w:pPr>
                    <w:kinsoku/>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8</w:t>
                  </w:r>
                </w:p>
              </w:tc>
              <w:tc>
                <w:tcPr>
                  <w:tcW w:w="713" w:type="dxa"/>
                  <w:shd w:val="clear" w:color="auto" w:fill="auto"/>
                  <w:vAlign w:val="center"/>
                </w:tcPr>
                <w:p>
                  <w:pPr>
                    <w:kinsoku/>
                    <w:jc w:val="center"/>
                    <w:rPr>
                      <w:rFonts w:hint="eastAsia" w:ascii="Times New Roman" w:hAnsi="Times New Roman" w:eastAsia="Arial" w:cs="Times New Roman"/>
                      <w:snapToGrid w:val="0"/>
                      <w:color w:val="auto"/>
                      <w:sz w:val="21"/>
                      <w:szCs w:val="21"/>
                      <w:lang w:val="en-US" w:eastAsia="zh-CN" w:bidi="ar-SA"/>
                    </w:rPr>
                  </w:pPr>
                  <w:r>
                    <w:rPr>
                      <w:rFonts w:hint="eastAsia" w:ascii="Times New Roman" w:hAnsi="Times New Roman" w:cs="Times New Roman"/>
                      <w:color w:val="auto"/>
                      <w:lang w:eastAsia="zh-CN"/>
                    </w:rPr>
                    <w:t>封边</w:t>
                  </w:r>
                </w:p>
              </w:tc>
              <w:tc>
                <w:tcPr>
                  <w:tcW w:w="1152" w:type="dxa"/>
                  <w:shd w:val="clear" w:color="auto" w:fill="auto"/>
                  <w:vAlign w:val="center"/>
                </w:tcPr>
                <w:p>
                  <w:pPr>
                    <w:kinsoku/>
                    <w:jc w:val="center"/>
                    <w:rPr>
                      <w:rFonts w:hint="eastAsia" w:ascii="Times New Roman" w:hAnsi="Times New Roman" w:eastAsia="Arial" w:cs="Times New Roman"/>
                      <w:snapToGrid w:val="0"/>
                      <w:color w:val="auto"/>
                      <w:sz w:val="21"/>
                      <w:szCs w:val="21"/>
                      <w:lang w:val="en-US" w:eastAsia="zh-CN" w:bidi="ar-SA"/>
                    </w:rPr>
                  </w:pPr>
                  <w:r>
                    <w:rPr>
                      <w:rFonts w:ascii="Times New Roman" w:hAnsi="Times New Roman" w:cs="Times New Roman"/>
                      <w:color w:val="auto"/>
                      <w:lang w:eastAsia="zh-CN"/>
                    </w:rPr>
                    <w:t>废</w:t>
                  </w:r>
                  <w:r>
                    <w:rPr>
                      <w:rFonts w:hint="eastAsia" w:ascii="Times New Roman" w:hAnsi="Times New Roman" w:cs="Times New Roman"/>
                      <w:color w:val="auto"/>
                      <w:lang w:eastAsia="zh-CN"/>
                    </w:rPr>
                    <w:t>胶</w:t>
                  </w:r>
                  <w:r>
                    <w:rPr>
                      <w:rFonts w:ascii="Times New Roman" w:hAnsi="Times New Roman" w:cs="Times New Roman"/>
                      <w:color w:val="auto"/>
                      <w:lang w:eastAsia="zh-CN"/>
                    </w:rPr>
                    <w:t>桶</w:t>
                  </w:r>
                </w:p>
              </w:tc>
              <w:tc>
                <w:tcPr>
                  <w:tcW w:w="966"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HW49</w:t>
                  </w:r>
                </w:p>
                <w:p>
                  <w:pPr>
                    <w:kinsoku/>
                    <w:jc w:val="center"/>
                    <w:rPr>
                      <w:rFonts w:hint="eastAsia" w:ascii="Times New Roman" w:hAnsi="Times New Roman" w:eastAsia="Arial" w:cs="Times New Roman"/>
                      <w:snapToGrid w:val="0"/>
                      <w:color w:val="auto"/>
                      <w:sz w:val="21"/>
                      <w:szCs w:val="21"/>
                      <w:lang w:val="en-US" w:eastAsia="zh-CN" w:bidi="ar-SA"/>
                    </w:rPr>
                  </w:pPr>
                  <w:r>
                    <w:rPr>
                      <w:rFonts w:ascii="Times New Roman" w:hAnsi="Times New Roman" w:eastAsia="宋体" w:cs="Times New Roman"/>
                      <w:color w:val="auto"/>
                      <w:sz w:val="24"/>
                      <w:szCs w:val="24"/>
                      <w:lang w:eastAsia="zh-CN"/>
                    </w:rPr>
                    <w:t>900-041-49</w:t>
                  </w:r>
                </w:p>
              </w:tc>
              <w:tc>
                <w:tcPr>
                  <w:tcW w:w="633" w:type="dxa"/>
                  <w:shd w:val="clear" w:color="auto" w:fill="auto"/>
                  <w:vAlign w:val="center"/>
                </w:tcPr>
                <w:p>
                  <w:pPr>
                    <w:kinsoku/>
                    <w:jc w:val="center"/>
                    <w:rPr>
                      <w:rFonts w:ascii="Times New Roman" w:hAnsi="Times New Roman" w:eastAsia="Arial" w:cs="Times New Roman"/>
                      <w:snapToGrid w:val="0"/>
                      <w:color w:val="auto"/>
                      <w:sz w:val="21"/>
                      <w:szCs w:val="21"/>
                      <w:lang w:val="en-US" w:eastAsia="zh-CN" w:bidi="ar-SA"/>
                    </w:rPr>
                  </w:pPr>
                  <w:r>
                    <w:rPr>
                      <w:rFonts w:ascii="Times New Roman" w:hAnsi="Times New Roman" w:cs="Times New Roman"/>
                      <w:color w:val="auto"/>
                      <w:lang w:eastAsia="zh-CN"/>
                    </w:rPr>
                    <w:t>固态</w:t>
                  </w:r>
                </w:p>
              </w:tc>
              <w:tc>
                <w:tcPr>
                  <w:tcW w:w="693" w:type="dxa"/>
                  <w:shd w:val="clear" w:color="auto" w:fill="auto"/>
                  <w:vAlign w:val="center"/>
                </w:tcPr>
                <w:p>
                  <w:pPr>
                    <w:kinsoku/>
                    <w:jc w:val="center"/>
                    <w:rPr>
                      <w:rFonts w:hint="eastAsia" w:ascii="Times New Roman" w:hAnsi="Times New Roman" w:eastAsia="Arial" w:cs="Times New Roman"/>
                      <w:snapToGrid w:val="0"/>
                      <w:color w:val="auto"/>
                      <w:sz w:val="21"/>
                      <w:szCs w:val="21"/>
                      <w:lang w:val="en-US" w:eastAsia="zh-CN" w:bidi="ar-SA"/>
                    </w:rPr>
                  </w:pPr>
                  <w:r>
                    <w:rPr>
                      <w:rFonts w:ascii="Times New Roman" w:hAnsi="Times New Roman" w:cs="Times New Roman"/>
                      <w:color w:val="auto"/>
                      <w:lang w:eastAsia="zh-CN"/>
                    </w:rPr>
                    <w:t>T</w:t>
                  </w:r>
                </w:p>
              </w:tc>
              <w:tc>
                <w:tcPr>
                  <w:tcW w:w="794" w:type="dxa"/>
                  <w:shd w:val="clear" w:color="auto" w:fill="auto"/>
                  <w:vAlign w:val="center"/>
                </w:tcPr>
                <w:p>
                  <w:pPr>
                    <w:kinsoku/>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0.04</w:t>
                  </w:r>
                </w:p>
              </w:tc>
              <w:tc>
                <w:tcPr>
                  <w:tcW w:w="903" w:type="dxa"/>
                  <w:vMerge w:val="continue"/>
                  <w:shd w:val="clear" w:color="auto" w:fill="auto"/>
                  <w:vAlign w:val="center"/>
                </w:tcPr>
                <w:p>
                  <w:pPr>
                    <w:kinsoku/>
                    <w:jc w:val="center"/>
                    <w:rPr>
                      <w:rFonts w:ascii="Times New Roman" w:hAnsi="Times New Roman" w:cs="Times New Roman"/>
                      <w:color w:val="auto"/>
                    </w:rPr>
                  </w:pPr>
                </w:p>
              </w:tc>
              <w:tc>
                <w:tcPr>
                  <w:tcW w:w="131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收集后出售给废品回收公司</w:t>
                  </w:r>
                </w:p>
              </w:tc>
              <w:tc>
                <w:tcPr>
                  <w:tcW w:w="809" w:type="dxa"/>
                  <w:shd w:val="clear" w:color="auto" w:fill="auto"/>
                  <w:vAlign w:val="center"/>
                </w:tcPr>
                <w:p>
                  <w:pPr>
                    <w:kinsoku/>
                    <w:jc w:val="center"/>
                    <w:rPr>
                      <w:rFonts w:hint="eastAsia" w:ascii="Times New Roman" w:hAnsi="Times New Roman" w:cs="Times New Roman"/>
                      <w:color w:val="auto"/>
                      <w:lang w:eastAsia="zh-CN"/>
                    </w:rPr>
                  </w:pPr>
                  <w:r>
                    <w:rPr>
                      <w:rFonts w:hint="eastAsia" w:ascii="Times New Roman" w:hAnsi="Times New Roman" w:eastAsia="宋体" w:cs="Times New Roman"/>
                      <w:color w:val="auto"/>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1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w:t>
                  </w:r>
                </w:p>
              </w:tc>
              <w:tc>
                <w:tcPr>
                  <w:tcW w:w="71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废气处理</w:t>
                  </w:r>
                </w:p>
              </w:tc>
              <w:tc>
                <w:tcPr>
                  <w:tcW w:w="1152"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废活性炭</w:t>
                  </w:r>
                </w:p>
              </w:tc>
              <w:tc>
                <w:tcPr>
                  <w:tcW w:w="966"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HW49</w:t>
                  </w:r>
                </w:p>
                <w:p>
                  <w:pPr>
                    <w:kinsoku/>
                    <w:jc w:val="center"/>
                    <w:rPr>
                      <w:rFonts w:ascii="Times New Roman" w:hAnsi="Times New Roman" w:cs="Times New Roman"/>
                      <w:color w:val="auto"/>
                      <w:lang w:eastAsia="zh-CN"/>
                    </w:rPr>
                  </w:pPr>
                  <w:r>
                    <w:rPr>
                      <w:rFonts w:ascii="Times New Roman" w:hAnsi="Times New Roman" w:eastAsia="宋体" w:cs="Times New Roman"/>
                      <w:color w:val="auto"/>
                      <w:sz w:val="24"/>
                      <w:szCs w:val="24"/>
                      <w:lang w:eastAsia="zh-CN"/>
                    </w:rPr>
                    <w:t>900-039-49</w:t>
                  </w:r>
                </w:p>
              </w:tc>
              <w:tc>
                <w:tcPr>
                  <w:tcW w:w="63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固态</w:t>
                  </w:r>
                </w:p>
              </w:tc>
              <w:tc>
                <w:tcPr>
                  <w:tcW w:w="69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T</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0.5508</w:t>
                  </w:r>
                </w:p>
              </w:tc>
              <w:tc>
                <w:tcPr>
                  <w:tcW w:w="903" w:type="dxa"/>
                  <w:vMerge w:val="restart"/>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分类收集暂存</w:t>
                  </w:r>
                </w:p>
                <w:p>
                  <w:pPr>
                    <w:kinsoku/>
                    <w:jc w:val="center"/>
                    <w:rPr>
                      <w:rFonts w:ascii="Times New Roman" w:hAnsi="Times New Roman" w:eastAsia="Arial" w:cs="Times New Roman"/>
                      <w:snapToGrid w:val="0"/>
                      <w:color w:val="auto"/>
                      <w:sz w:val="21"/>
                      <w:szCs w:val="21"/>
                      <w:lang w:val="en-US" w:eastAsia="zh-CN" w:bidi="ar-SA"/>
                    </w:rPr>
                  </w:pPr>
                  <w:r>
                    <w:rPr>
                      <w:rFonts w:ascii="Times New Roman" w:hAnsi="Times New Roman" w:cs="Times New Roman"/>
                      <w:color w:val="auto"/>
                      <w:lang w:eastAsia="zh-CN"/>
                    </w:rPr>
                    <w:t>于危废暂存间</w:t>
                  </w:r>
                </w:p>
              </w:tc>
              <w:tc>
                <w:tcPr>
                  <w:tcW w:w="1310" w:type="dxa"/>
                  <w:vMerge w:val="restart"/>
                  <w:shd w:val="clear" w:color="auto" w:fill="auto"/>
                  <w:vAlign w:val="center"/>
                </w:tcPr>
                <w:p>
                  <w:pPr>
                    <w:kinsoku/>
                    <w:jc w:val="center"/>
                    <w:rPr>
                      <w:rFonts w:ascii="Times New Roman" w:hAnsi="Times New Roman" w:eastAsia="Arial" w:cs="Times New Roman"/>
                      <w:snapToGrid w:val="0"/>
                      <w:color w:val="auto"/>
                      <w:sz w:val="21"/>
                      <w:szCs w:val="21"/>
                      <w:lang w:val="en-US" w:eastAsia="zh-CN" w:bidi="ar-SA"/>
                    </w:rPr>
                  </w:pPr>
                  <w:r>
                    <w:rPr>
                      <w:rFonts w:ascii="Times New Roman" w:hAnsi="Times New Roman" w:cs="Times New Roman"/>
                      <w:color w:val="auto"/>
                      <w:lang w:eastAsia="zh-CN"/>
                    </w:rPr>
                    <w:t>委托有危险废物处理资质的单位外运处置</w:t>
                  </w: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0.5508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1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10</w:t>
                  </w:r>
                </w:p>
              </w:tc>
              <w:tc>
                <w:tcPr>
                  <w:tcW w:w="713" w:type="dxa"/>
                  <w:vMerge w:val="restart"/>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维修、保养</w:t>
                  </w:r>
                </w:p>
              </w:tc>
              <w:tc>
                <w:tcPr>
                  <w:tcW w:w="1152"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废润滑油</w:t>
                  </w:r>
                </w:p>
              </w:tc>
              <w:tc>
                <w:tcPr>
                  <w:tcW w:w="966"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HW08</w:t>
                  </w:r>
                </w:p>
                <w:p>
                  <w:pPr>
                    <w:kinsoku/>
                    <w:jc w:val="center"/>
                    <w:rPr>
                      <w:rFonts w:ascii="Times New Roman" w:hAnsi="Times New Roman" w:cs="Times New Roman"/>
                      <w:color w:val="auto"/>
                      <w:lang w:eastAsia="zh-CN"/>
                    </w:rPr>
                  </w:pPr>
                  <w:r>
                    <w:rPr>
                      <w:rFonts w:ascii="Times New Roman" w:hAnsi="Times New Roman" w:cs="Times New Roman"/>
                      <w:color w:val="auto"/>
                      <w:lang w:eastAsia="zh-CN"/>
                    </w:rPr>
                    <w:t>900-249-08</w:t>
                  </w:r>
                </w:p>
              </w:tc>
              <w:tc>
                <w:tcPr>
                  <w:tcW w:w="63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固态</w:t>
                  </w:r>
                </w:p>
              </w:tc>
              <w:tc>
                <w:tcPr>
                  <w:tcW w:w="693" w:type="dxa"/>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T,I</w:t>
                  </w:r>
                </w:p>
              </w:tc>
              <w:tc>
                <w:tcPr>
                  <w:tcW w:w="79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0.02</w:t>
                  </w:r>
                </w:p>
              </w:tc>
              <w:tc>
                <w:tcPr>
                  <w:tcW w:w="903" w:type="dxa"/>
                  <w:vMerge w:val="continue"/>
                  <w:shd w:val="clear" w:color="auto" w:fill="auto"/>
                  <w:vAlign w:val="center"/>
                </w:tcPr>
                <w:p>
                  <w:pPr>
                    <w:kinsoku/>
                    <w:jc w:val="center"/>
                    <w:rPr>
                      <w:rFonts w:ascii="Times New Roman" w:hAnsi="Times New Roman" w:cs="Times New Roman"/>
                      <w:color w:val="auto"/>
                      <w:lang w:eastAsia="zh-CN"/>
                    </w:rPr>
                  </w:pPr>
                </w:p>
              </w:tc>
              <w:tc>
                <w:tcPr>
                  <w:tcW w:w="1310" w:type="dxa"/>
                  <w:vMerge w:val="continue"/>
                  <w:shd w:val="clear" w:color="auto" w:fill="auto"/>
                  <w:vAlign w:val="center"/>
                </w:tcPr>
                <w:p>
                  <w:pPr>
                    <w:kinsoku/>
                    <w:jc w:val="center"/>
                    <w:rPr>
                      <w:rFonts w:ascii="Times New Roman" w:hAnsi="Times New Roman" w:cs="Times New Roman"/>
                      <w:color w:val="auto"/>
                      <w:lang w:eastAsia="zh-CN"/>
                    </w:rPr>
                  </w:pP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16"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11</w:t>
                  </w:r>
                </w:p>
              </w:tc>
              <w:tc>
                <w:tcPr>
                  <w:tcW w:w="713" w:type="dxa"/>
                  <w:vMerge w:val="continue"/>
                  <w:shd w:val="clear" w:color="auto" w:fill="auto"/>
                  <w:vAlign w:val="center"/>
                </w:tcPr>
                <w:p>
                  <w:pPr>
                    <w:kinsoku/>
                    <w:jc w:val="center"/>
                    <w:rPr>
                      <w:rFonts w:ascii="Times New Roman" w:hAnsi="Times New Roman" w:cs="Times New Roman"/>
                      <w:color w:val="auto"/>
                      <w:lang w:eastAsia="zh-CN"/>
                    </w:rPr>
                  </w:pPr>
                </w:p>
              </w:tc>
              <w:tc>
                <w:tcPr>
                  <w:tcW w:w="1152"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废含油棉纱、手套</w:t>
                  </w:r>
                </w:p>
              </w:tc>
              <w:tc>
                <w:tcPr>
                  <w:tcW w:w="966"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HW49</w:t>
                  </w:r>
                </w:p>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900-041-49</w:t>
                  </w:r>
                </w:p>
              </w:tc>
              <w:tc>
                <w:tcPr>
                  <w:tcW w:w="63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固态</w:t>
                  </w:r>
                </w:p>
              </w:tc>
              <w:tc>
                <w:tcPr>
                  <w:tcW w:w="693"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T</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I</w:t>
                  </w:r>
                </w:p>
              </w:tc>
              <w:tc>
                <w:tcPr>
                  <w:tcW w:w="794"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0.01</w:t>
                  </w:r>
                </w:p>
              </w:tc>
              <w:tc>
                <w:tcPr>
                  <w:tcW w:w="903" w:type="dxa"/>
                  <w:vMerge w:val="continue"/>
                  <w:shd w:val="clear" w:color="auto" w:fill="auto"/>
                  <w:vAlign w:val="center"/>
                </w:tcPr>
                <w:p>
                  <w:pPr>
                    <w:kinsoku/>
                    <w:jc w:val="center"/>
                    <w:rPr>
                      <w:rFonts w:ascii="Times New Roman" w:hAnsi="Times New Roman" w:cs="Times New Roman"/>
                      <w:color w:val="auto"/>
                      <w:lang w:eastAsia="zh-CN"/>
                    </w:rPr>
                  </w:pPr>
                </w:p>
              </w:tc>
              <w:tc>
                <w:tcPr>
                  <w:tcW w:w="1310" w:type="dxa"/>
                  <w:vMerge w:val="continue"/>
                  <w:shd w:val="clear" w:color="auto" w:fill="auto"/>
                  <w:vAlign w:val="center"/>
                </w:tcPr>
                <w:p>
                  <w:pPr>
                    <w:kinsoku/>
                    <w:jc w:val="center"/>
                    <w:rPr>
                      <w:rFonts w:ascii="Times New Roman" w:hAnsi="Times New Roman" w:cs="Times New Roman"/>
                      <w:color w:val="auto"/>
                      <w:lang w:eastAsia="zh-CN"/>
                    </w:rPr>
                  </w:pPr>
                </w:p>
              </w:tc>
              <w:tc>
                <w:tcPr>
                  <w:tcW w:w="809"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0.01</w:t>
                  </w:r>
                </w:p>
              </w:tc>
            </w:tr>
          </w:tbl>
          <w:p>
            <w:pPr>
              <w:pStyle w:val="22"/>
              <w:widowControl w:val="0"/>
              <w:kinsoku/>
              <w:spacing w:before="33" w:line="350" w:lineRule="auto"/>
              <w:ind w:left="117" w:firstLine="482"/>
              <w:jc w:val="both"/>
              <w:rPr>
                <w:rFonts w:hint="eastAsia"/>
                <w:color w:val="auto"/>
                <w:lang w:eastAsia="zh-CN"/>
              </w:rPr>
            </w:pPr>
            <w:r>
              <w:rPr>
                <w:color w:val="auto"/>
                <w:spacing w:val="1"/>
                <w:lang w:eastAsia="zh-CN"/>
              </w:rPr>
              <w:t>从项目采用的固废利用及处置方式来分析，对产生的各类固废按其性质分类分区收集和暂存，并均能得到有效利用或妥善处置。在严格管理下，本项目的固体废</w:t>
            </w:r>
            <w:r>
              <w:rPr>
                <w:color w:val="auto"/>
                <w:spacing w:val="-1"/>
                <w:lang w:eastAsia="zh-CN"/>
              </w:rPr>
              <w:t>物对周围环境不会产生二次污染。</w:t>
            </w:r>
          </w:p>
          <w:p>
            <w:pPr>
              <w:pStyle w:val="22"/>
              <w:widowControl w:val="0"/>
              <w:kinsoku/>
              <w:spacing w:before="36" w:line="220" w:lineRule="auto"/>
              <w:ind w:left="587"/>
              <w:jc w:val="both"/>
              <w:rPr>
                <w:rFonts w:hint="eastAsia"/>
                <w:color w:val="auto"/>
                <w:lang w:eastAsia="zh-CN"/>
              </w:rPr>
            </w:pPr>
            <w:r>
              <w:rPr>
                <w:rFonts w:hint="eastAsia"/>
                <w:b/>
                <w:bCs/>
                <w:color w:val="auto"/>
                <w:spacing w:val="-8"/>
                <w:lang w:eastAsia="zh-CN"/>
              </w:rPr>
              <w:t>五</w:t>
            </w:r>
            <w:r>
              <w:rPr>
                <w:b/>
                <w:bCs/>
                <w:color w:val="auto"/>
                <w:spacing w:val="-8"/>
                <w:lang w:eastAsia="zh-CN"/>
              </w:rPr>
              <w:t>、环境风险</w:t>
            </w:r>
          </w:p>
          <w:p>
            <w:pPr>
              <w:pStyle w:val="22"/>
              <w:widowControl w:val="0"/>
              <w:kinsoku/>
              <w:spacing w:before="180" w:line="217" w:lineRule="auto"/>
              <w:ind w:left="587"/>
              <w:jc w:val="both"/>
              <w:rPr>
                <w:rFonts w:hint="eastAsia"/>
                <w:color w:val="auto"/>
                <w:lang w:eastAsia="zh-CN"/>
              </w:rPr>
            </w:pPr>
            <w:r>
              <w:rPr>
                <w:rFonts w:hint="eastAsia"/>
                <w:b/>
                <w:bCs/>
                <w:color w:val="auto"/>
                <w:spacing w:val="-2"/>
                <w:lang w:eastAsia="zh-CN"/>
              </w:rPr>
              <w:t>1、</w:t>
            </w:r>
            <w:r>
              <w:rPr>
                <w:b/>
                <w:bCs/>
                <w:color w:val="auto"/>
                <w:spacing w:val="-1"/>
                <w:lang w:eastAsia="zh-CN"/>
              </w:rPr>
              <w:t>主要危险物质及分布情况</w:t>
            </w:r>
          </w:p>
          <w:p>
            <w:pPr>
              <w:pStyle w:val="22"/>
              <w:widowControl w:val="0"/>
              <w:kinsoku/>
              <w:spacing w:before="186" w:line="344" w:lineRule="auto"/>
              <w:ind w:left="128" w:right="104" w:firstLine="459"/>
              <w:jc w:val="both"/>
              <w:rPr>
                <w:rFonts w:hint="eastAsia"/>
                <w:color w:val="auto"/>
                <w:lang w:eastAsia="zh-CN"/>
              </w:rPr>
            </w:pPr>
            <w:r>
              <w:rPr>
                <w:color w:val="auto"/>
                <w:lang w:eastAsia="zh-CN"/>
              </w:rPr>
              <w:t>对照《建设项目环境风险评价技术导则》（</w:t>
            </w:r>
            <w:r>
              <w:rPr>
                <w:rFonts w:ascii="Times New Roman" w:hAnsi="Times New Roman" w:eastAsia="Times New Roman" w:cs="Times New Roman"/>
                <w:color w:val="auto"/>
                <w:lang w:eastAsia="zh-CN"/>
              </w:rPr>
              <w:t>HJ169-2018</w:t>
            </w:r>
            <w:r>
              <w:rPr>
                <w:color w:val="auto"/>
                <w:lang w:eastAsia="zh-CN"/>
              </w:rPr>
              <w:t>）附录</w:t>
            </w:r>
            <w:r>
              <w:rPr>
                <w:rFonts w:ascii="Times New Roman" w:hAnsi="Times New Roman" w:eastAsia="Times New Roman" w:cs="Times New Roman"/>
                <w:color w:val="auto"/>
                <w:lang w:eastAsia="zh-CN"/>
              </w:rPr>
              <w:t>B</w:t>
            </w:r>
            <w:r>
              <w:rPr>
                <w:color w:val="auto"/>
                <w:lang w:eastAsia="zh-CN"/>
              </w:rPr>
              <w:t>和《危险化学</w:t>
            </w:r>
            <w:r>
              <w:rPr>
                <w:color w:val="auto"/>
                <w:spacing w:val="-1"/>
                <w:lang w:eastAsia="zh-CN"/>
              </w:rPr>
              <w:t>品重大危险源辨识</w:t>
            </w:r>
            <w:r>
              <w:rPr>
                <w:rFonts w:ascii="Times New Roman" w:hAnsi="Times New Roman" w:eastAsia="Times New Roman" w:cs="Times New Roman"/>
                <w:color w:val="auto"/>
                <w:spacing w:val="-1"/>
                <w:lang w:eastAsia="zh-CN"/>
              </w:rPr>
              <w:t>(GB18218-2021)</w:t>
            </w:r>
            <w:r>
              <w:rPr>
                <w:color w:val="auto"/>
                <w:spacing w:val="-1"/>
                <w:lang w:eastAsia="zh-CN"/>
              </w:rPr>
              <w:t>》，项目重大危险源识别结果见表</w:t>
            </w:r>
            <w:r>
              <w:rPr>
                <w:rFonts w:ascii="Times New Roman" w:hAnsi="Times New Roman" w:eastAsia="Times New Roman" w:cs="Times New Roman"/>
                <w:color w:val="auto"/>
                <w:spacing w:val="-1"/>
                <w:lang w:eastAsia="zh-CN"/>
              </w:rPr>
              <w:t>4-</w:t>
            </w:r>
            <w:r>
              <w:rPr>
                <w:rFonts w:hint="eastAsia" w:ascii="Times New Roman" w:hAnsi="Times New Roman" w:eastAsia="Times New Roman" w:cs="Times New Roman"/>
                <w:color w:val="auto"/>
                <w:spacing w:val="-1"/>
                <w:lang w:eastAsia="zh-CN"/>
              </w:rPr>
              <w:t>17</w:t>
            </w:r>
            <w:r>
              <w:rPr>
                <w:color w:val="auto"/>
                <w:spacing w:val="-1"/>
                <w:lang w:eastAsia="zh-CN"/>
              </w:rPr>
              <w:t>。</w:t>
            </w:r>
          </w:p>
          <w:p>
            <w:pPr>
              <w:pStyle w:val="22"/>
              <w:widowControl w:val="0"/>
              <w:kinsoku/>
              <w:spacing w:before="34" w:line="228" w:lineRule="auto"/>
              <w:ind w:left="1918"/>
              <w:jc w:val="both"/>
              <w:rPr>
                <w:rFonts w:hint="eastAsia"/>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w:t>
            </w:r>
            <w:r>
              <w:rPr>
                <w:rFonts w:hint="eastAsia" w:ascii="Times New Roman" w:hAnsi="Times New Roman" w:eastAsia="Times New Roman" w:cs="Times New Roman"/>
                <w:b/>
                <w:bCs/>
                <w:color w:val="auto"/>
                <w:spacing w:val="6"/>
                <w:sz w:val="20"/>
                <w:szCs w:val="20"/>
                <w:lang w:eastAsia="zh-CN"/>
              </w:rPr>
              <w:t>17</w:t>
            </w:r>
            <w:r>
              <w:rPr>
                <w:b/>
                <w:bCs/>
                <w:color w:val="auto"/>
                <w:spacing w:val="6"/>
                <w:sz w:val="20"/>
                <w:szCs w:val="20"/>
                <w:lang w:eastAsia="zh-CN"/>
              </w:rPr>
              <w:t>建设项目涉及的风险物质最大使用量及储存方式</w:t>
            </w:r>
          </w:p>
          <w:p>
            <w:pPr>
              <w:widowControl w:val="0"/>
              <w:kinsoku/>
              <w:spacing w:line="130" w:lineRule="exact"/>
              <w:jc w:val="both"/>
              <w:rPr>
                <w:color w:val="auto"/>
                <w:lang w:eastAsia="zh-CN"/>
              </w:rPr>
            </w:pPr>
          </w:p>
          <w:tbl>
            <w:tblPr>
              <w:tblStyle w:val="1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95"/>
              <w:gridCol w:w="1437"/>
              <w:gridCol w:w="1520"/>
              <w:gridCol w:w="1193"/>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54"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序号</w:t>
                  </w:r>
                </w:p>
              </w:tc>
              <w:tc>
                <w:tcPr>
                  <w:tcW w:w="1695"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风险源</w:t>
                  </w:r>
                </w:p>
              </w:tc>
              <w:tc>
                <w:tcPr>
                  <w:tcW w:w="1437"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物质名称</w:t>
                  </w:r>
                </w:p>
              </w:tc>
              <w:tc>
                <w:tcPr>
                  <w:tcW w:w="1520"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最大储存量(t)</w:t>
                  </w:r>
                </w:p>
              </w:tc>
              <w:tc>
                <w:tcPr>
                  <w:tcW w:w="1193"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临界量(t)</w:t>
                  </w:r>
                </w:p>
              </w:tc>
              <w:tc>
                <w:tcPr>
                  <w:tcW w:w="1930"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b/>
                      <w:bCs/>
                      <w:color w:val="auto"/>
                      <w:lang w:eastAsia="zh-CN"/>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4" w:type="dxa"/>
                  <w:shd w:val="clear" w:color="auto" w:fill="auto"/>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1695"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color w:val="auto"/>
                      <w:lang w:eastAsia="zh-CN"/>
                    </w:rPr>
                    <w:t>危废暂存间</w:t>
                  </w:r>
                </w:p>
              </w:tc>
              <w:tc>
                <w:tcPr>
                  <w:tcW w:w="1437" w:type="dxa"/>
                  <w:shd w:val="clear" w:color="auto" w:fill="auto"/>
                  <w:vAlign w:val="center"/>
                </w:tcPr>
                <w:p>
                  <w:pPr>
                    <w:kinsoku/>
                    <w:jc w:val="center"/>
                    <w:textAlignment w:val="center"/>
                    <w:rPr>
                      <w:rFonts w:ascii="Times New Roman" w:hAnsi="Times New Roman" w:cs="Times New Roman"/>
                      <w:color w:val="auto"/>
                      <w:lang w:eastAsia="zh-CN"/>
                    </w:rPr>
                  </w:pPr>
                  <w:r>
                    <w:rPr>
                      <w:rFonts w:ascii="Times New Roman" w:hAnsi="Times New Roman" w:eastAsia="宋体" w:cs="Times New Roman"/>
                      <w:color w:val="auto"/>
                      <w:lang w:eastAsia="zh-CN"/>
                    </w:rPr>
                    <w:t>废润滑油</w:t>
                  </w:r>
                </w:p>
              </w:tc>
              <w:tc>
                <w:tcPr>
                  <w:tcW w:w="1520" w:type="dxa"/>
                  <w:shd w:val="clear" w:color="auto" w:fill="auto"/>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w:t>
                  </w:r>
                </w:p>
              </w:tc>
              <w:tc>
                <w:tcPr>
                  <w:tcW w:w="1193" w:type="dxa"/>
                  <w:shd w:val="clear" w:color="auto" w:fill="auto"/>
                  <w:vAlign w:val="center"/>
                </w:tcPr>
                <w:p>
                  <w:pPr>
                    <w:kinsoku/>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2500</w:t>
                  </w:r>
                </w:p>
              </w:tc>
              <w:tc>
                <w:tcPr>
                  <w:tcW w:w="1930" w:type="dxa"/>
                  <w:shd w:val="clear" w:color="auto" w:fill="auto"/>
                  <w:vAlign w:val="center"/>
                </w:tcPr>
                <w:p>
                  <w:pPr>
                    <w:kinsoku/>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0.000008</w:t>
                  </w:r>
                </w:p>
              </w:tc>
            </w:tr>
          </w:tbl>
          <w:p>
            <w:pPr>
              <w:pStyle w:val="22"/>
              <w:widowControl w:val="0"/>
              <w:kinsoku/>
              <w:spacing w:before="182" w:line="350" w:lineRule="auto"/>
              <w:ind w:left="107" w:right="102" w:firstLine="480"/>
              <w:jc w:val="both"/>
              <w:rPr>
                <w:rFonts w:hint="eastAsia"/>
                <w:color w:val="auto"/>
                <w:lang w:eastAsia="zh-CN"/>
              </w:rPr>
            </w:pPr>
            <w:r>
              <w:rPr>
                <w:color w:val="auto"/>
                <w:spacing w:val="1"/>
                <w:lang w:eastAsia="zh-CN"/>
              </w:rPr>
              <w:t>根据《建设项目环境风险评价技术导则》（</w:t>
            </w:r>
            <w:r>
              <w:rPr>
                <w:rFonts w:ascii="Times New Roman" w:hAnsi="Times New Roman" w:eastAsia="Times New Roman" w:cs="Times New Roman"/>
                <w:color w:val="auto"/>
                <w:lang w:eastAsia="zh-CN"/>
              </w:rPr>
              <w:t>HJ</w:t>
            </w:r>
            <w:r>
              <w:rPr>
                <w:rFonts w:ascii="Times New Roman" w:hAnsi="Times New Roman" w:eastAsia="Times New Roman" w:cs="Times New Roman"/>
                <w:color w:val="auto"/>
                <w:spacing w:val="1"/>
                <w:lang w:eastAsia="zh-CN"/>
              </w:rPr>
              <w:t>169-2018</w:t>
            </w:r>
            <w:r>
              <w:rPr>
                <w:color w:val="auto"/>
                <w:spacing w:val="1"/>
                <w:lang w:eastAsia="zh-CN"/>
              </w:rPr>
              <w:t>）中附录</w:t>
            </w:r>
            <w:r>
              <w:rPr>
                <w:rFonts w:ascii="Times New Roman" w:hAnsi="Times New Roman" w:eastAsia="Times New Roman" w:cs="Times New Roman"/>
                <w:color w:val="auto"/>
                <w:spacing w:val="1"/>
                <w:lang w:eastAsia="zh-CN"/>
              </w:rPr>
              <w:t>C</w:t>
            </w:r>
            <w:r>
              <w:rPr>
                <w:color w:val="auto"/>
                <w:spacing w:val="1"/>
                <w:lang w:eastAsia="zh-CN"/>
              </w:rPr>
              <w:t>，并根据企</w:t>
            </w:r>
            <w:r>
              <w:rPr>
                <w:color w:val="auto"/>
                <w:spacing w:val="6"/>
                <w:lang w:eastAsia="zh-CN"/>
              </w:rPr>
              <w:t>业所涉及的每种危险物质在厂界内的最大存</w:t>
            </w:r>
            <w:r>
              <w:rPr>
                <w:color w:val="auto"/>
                <w:spacing w:val="5"/>
                <w:lang w:eastAsia="zh-CN"/>
              </w:rPr>
              <w:t>在量与其在（</w:t>
            </w:r>
            <w:r>
              <w:rPr>
                <w:rFonts w:ascii="Times New Roman" w:hAnsi="Times New Roman" w:eastAsia="Times New Roman" w:cs="Times New Roman"/>
                <w:color w:val="auto"/>
                <w:lang w:eastAsia="zh-CN"/>
              </w:rPr>
              <w:t>HJ</w:t>
            </w:r>
            <w:r>
              <w:rPr>
                <w:rFonts w:ascii="Times New Roman" w:hAnsi="Times New Roman" w:eastAsia="Times New Roman" w:cs="Times New Roman"/>
                <w:color w:val="auto"/>
                <w:spacing w:val="5"/>
                <w:lang w:eastAsia="zh-CN"/>
              </w:rPr>
              <w:t>169-2018</w:t>
            </w:r>
            <w:r>
              <w:rPr>
                <w:color w:val="auto"/>
                <w:spacing w:val="5"/>
                <w:lang w:eastAsia="zh-CN"/>
              </w:rPr>
              <w:t>）中附录</w:t>
            </w:r>
            <w:r>
              <w:rPr>
                <w:rFonts w:ascii="Times New Roman" w:hAnsi="Times New Roman" w:eastAsia="Times New Roman" w:cs="Times New Roman"/>
                <w:color w:val="auto"/>
                <w:spacing w:val="5"/>
                <w:lang w:eastAsia="zh-CN"/>
              </w:rPr>
              <w:t>B</w:t>
            </w:r>
            <w:r>
              <w:rPr>
                <w:color w:val="auto"/>
                <w:spacing w:val="-3"/>
                <w:lang w:eastAsia="zh-CN"/>
              </w:rPr>
              <w:t>中对应临界量，计算比值</w:t>
            </w:r>
            <w:r>
              <w:rPr>
                <w:rFonts w:ascii="Times New Roman" w:hAnsi="Times New Roman" w:eastAsia="Times New Roman" w:cs="Times New Roman"/>
                <w:color w:val="auto"/>
                <w:spacing w:val="-3"/>
                <w:lang w:eastAsia="zh-CN"/>
              </w:rPr>
              <w:t>Q</w:t>
            </w:r>
            <w:r>
              <w:rPr>
                <w:color w:val="auto"/>
                <w:spacing w:val="-3"/>
                <w:lang w:eastAsia="zh-CN"/>
              </w:rPr>
              <w:t>，计算公式如下：</w:t>
            </w:r>
          </w:p>
          <w:p>
            <w:pPr>
              <w:pStyle w:val="22"/>
              <w:widowControl w:val="0"/>
              <w:kinsoku/>
              <w:spacing w:before="38" w:line="212" w:lineRule="auto"/>
              <w:ind w:left="603"/>
              <w:jc w:val="both"/>
              <w:rPr>
                <w:rFonts w:hint="eastAsia"/>
                <w:color w:val="auto"/>
                <w:lang w:eastAsia="zh-CN"/>
              </w:rPr>
            </w:pPr>
            <w:r>
              <w:rPr>
                <w:color w:val="auto"/>
                <w:spacing w:val="-1"/>
                <w:lang w:eastAsia="zh-CN"/>
              </w:rPr>
              <w:t>当涉及一种危险物质时，计算该物质的总量与其临界量比值，即</w:t>
            </w:r>
            <w:r>
              <w:rPr>
                <w:color w:val="auto"/>
                <w:spacing w:val="-2"/>
                <w:lang w:eastAsia="zh-CN"/>
              </w:rPr>
              <w:t>为</w:t>
            </w:r>
            <w:r>
              <w:rPr>
                <w:rFonts w:ascii="Times New Roman" w:hAnsi="Times New Roman" w:eastAsia="Times New Roman" w:cs="Times New Roman"/>
                <w:color w:val="auto"/>
                <w:spacing w:val="-2"/>
                <w:lang w:eastAsia="zh-CN"/>
              </w:rPr>
              <w:t>Q</w:t>
            </w:r>
            <w:r>
              <w:rPr>
                <w:color w:val="auto"/>
                <w:spacing w:val="-2"/>
                <w:lang w:eastAsia="zh-CN"/>
              </w:rPr>
              <w:t>；</w:t>
            </w:r>
          </w:p>
          <w:p>
            <w:pPr>
              <w:pStyle w:val="22"/>
              <w:widowControl w:val="0"/>
              <w:kinsoku/>
              <w:spacing w:before="194" w:line="343" w:lineRule="auto"/>
              <w:ind w:left="120" w:right="101" w:firstLine="483"/>
              <w:jc w:val="both"/>
              <w:rPr>
                <w:rFonts w:hint="eastAsia"/>
                <w:color w:val="auto"/>
                <w:lang w:eastAsia="zh-CN"/>
              </w:rPr>
            </w:pPr>
            <w:r>
              <w:rPr>
                <w:color w:val="auto"/>
                <w:spacing w:val="16"/>
                <w:lang w:eastAsia="zh-CN"/>
              </w:rPr>
              <w:t>当存在多种危险物质时，则按式（</w:t>
            </w:r>
            <w:r>
              <w:rPr>
                <w:rFonts w:ascii="Times New Roman" w:hAnsi="Times New Roman" w:eastAsia="Times New Roman" w:cs="Times New Roman"/>
                <w:color w:val="auto"/>
                <w:spacing w:val="16"/>
                <w:lang w:eastAsia="zh-CN"/>
              </w:rPr>
              <w:t>C.1</w:t>
            </w:r>
            <w:r>
              <w:rPr>
                <w:color w:val="auto"/>
                <w:spacing w:val="16"/>
                <w:lang w:eastAsia="zh-CN"/>
              </w:rPr>
              <w:t>）计算物质总量与其临界</w:t>
            </w:r>
            <w:r>
              <w:rPr>
                <w:color w:val="auto"/>
                <w:spacing w:val="15"/>
                <w:lang w:eastAsia="zh-CN"/>
              </w:rPr>
              <w:t>量比值</w:t>
            </w:r>
            <w:r>
              <w:rPr>
                <w:color w:val="auto"/>
                <w:spacing w:val="-11"/>
                <w:lang w:eastAsia="zh-CN"/>
              </w:rPr>
              <w:t>（</w:t>
            </w:r>
            <w:r>
              <w:rPr>
                <w:rFonts w:ascii="Times New Roman" w:hAnsi="Times New Roman" w:eastAsia="Times New Roman" w:cs="Times New Roman"/>
                <w:color w:val="auto"/>
                <w:spacing w:val="-11"/>
                <w:lang w:eastAsia="zh-CN"/>
              </w:rPr>
              <w:t>Q</w:t>
            </w:r>
            <w:r>
              <w:rPr>
                <w:color w:val="auto"/>
                <w:spacing w:val="-1"/>
                <w:lang w:eastAsia="zh-CN"/>
              </w:rPr>
              <w:t>）；</w:t>
            </w:r>
          </w:p>
          <w:p>
            <w:pPr>
              <w:widowControl w:val="0"/>
              <w:kinsoku/>
              <w:spacing w:before="3" w:line="869" w:lineRule="exact"/>
              <w:ind w:firstLine="579"/>
              <w:jc w:val="both"/>
              <w:rPr>
                <w:color w:val="auto"/>
              </w:rPr>
            </w:pPr>
            <w:r>
              <w:rPr>
                <w:color w:val="auto"/>
                <w:position w:val="-17"/>
                <w:lang w:eastAsia="zh-CN"/>
              </w:rPr>
              <w:drawing>
                <wp:inline distT="0" distB="0" distL="0" distR="0">
                  <wp:extent cx="1628775" cy="551180"/>
                  <wp:effectExtent l="0" t="0" r="9525" b="1270"/>
                  <wp:docPr id="2" name="IM 52"/>
                  <wp:cNvGraphicFramePr/>
                  <a:graphic xmlns:a="http://schemas.openxmlformats.org/drawingml/2006/main">
                    <a:graphicData uri="http://schemas.openxmlformats.org/drawingml/2006/picture">
                      <pic:pic xmlns:pic="http://schemas.openxmlformats.org/drawingml/2006/picture">
                        <pic:nvPicPr>
                          <pic:cNvPr id="2" name="IM 52"/>
                          <pic:cNvPicPr/>
                        </pic:nvPicPr>
                        <pic:blipFill>
                          <a:blip r:embed="rId28" cstate="print"/>
                          <a:stretch>
                            <a:fillRect/>
                          </a:stretch>
                        </pic:blipFill>
                        <pic:spPr>
                          <a:xfrm>
                            <a:off x="0" y="0"/>
                            <a:ext cx="1629155" cy="551688"/>
                          </a:xfrm>
                          <a:prstGeom prst="rect">
                            <a:avLst/>
                          </a:prstGeom>
                        </pic:spPr>
                      </pic:pic>
                    </a:graphicData>
                  </a:graphic>
                </wp:inline>
              </w:drawing>
            </w:r>
          </w:p>
          <w:p>
            <w:pPr>
              <w:pStyle w:val="22"/>
              <w:widowControl w:val="0"/>
              <w:kinsoku/>
              <w:spacing w:before="42" w:line="360" w:lineRule="auto"/>
              <w:ind w:left="588"/>
              <w:jc w:val="both"/>
              <w:rPr>
                <w:rFonts w:hint="eastAsia"/>
                <w:color w:val="auto"/>
                <w:spacing w:val="-5"/>
                <w:lang w:eastAsia="zh-CN"/>
              </w:rPr>
            </w:pPr>
            <w:r>
              <w:rPr>
                <w:color w:val="auto"/>
                <w:spacing w:val="-4"/>
                <w:lang w:eastAsia="zh-CN"/>
              </w:rPr>
              <w:t>式中：</w:t>
            </w:r>
            <w:r>
              <w:rPr>
                <w:rFonts w:ascii="Times New Roman" w:hAnsi="Times New Roman" w:eastAsia="Times New Roman" w:cs="Times New Roman"/>
                <w:color w:val="auto"/>
                <w:spacing w:val="-4"/>
                <w:lang w:eastAsia="zh-CN"/>
              </w:rPr>
              <w:t>q</w:t>
            </w:r>
            <w:r>
              <w:rPr>
                <w:rFonts w:ascii="Times New Roman" w:hAnsi="Times New Roman" w:eastAsia="Times New Roman" w:cs="Times New Roman"/>
                <w:color w:val="auto"/>
                <w:spacing w:val="-4"/>
                <w:position w:val="-1"/>
                <w:sz w:val="15"/>
                <w:szCs w:val="15"/>
                <w:lang w:eastAsia="zh-CN"/>
              </w:rPr>
              <w:t>1</w:t>
            </w:r>
            <w:r>
              <w:rPr>
                <w:color w:val="auto"/>
                <w:spacing w:val="-4"/>
                <w:lang w:eastAsia="zh-CN"/>
              </w:rPr>
              <w:t>、</w:t>
            </w:r>
            <w:r>
              <w:rPr>
                <w:rFonts w:ascii="Times New Roman" w:hAnsi="Times New Roman" w:eastAsia="Times New Roman" w:cs="Times New Roman"/>
                <w:color w:val="auto"/>
                <w:spacing w:val="-4"/>
                <w:lang w:eastAsia="zh-CN"/>
              </w:rPr>
              <w:t>q</w:t>
            </w:r>
            <w:r>
              <w:rPr>
                <w:rFonts w:ascii="Times New Roman" w:hAnsi="Times New Roman" w:eastAsia="Times New Roman" w:cs="Times New Roman"/>
                <w:color w:val="auto"/>
                <w:spacing w:val="-4"/>
                <w:position w:val="-1"/>
                <w:sz w:val="15"/>
                <w:szCs w:val="15"/>
                <w:lang w:eastAsia="zh-CN"/>
              </w:rPr>
              <w:t>2</w:t>
            </w:r>
            <w:r>
              <w:rPr>
                <w:color w:val="auto"/>
                <w:spacing w:val="-4"/>
                <w:lang w:eastAsia="zh-CN"/>
              </w:rPr>
              <w:t>、</w:t>
            </w:r>
            <w:r>
              <w:rPr>
                <w:rFonts w:ascii="Times New Roman" w:hAnsi="Times New Roman" w:eastAsia="Times New Roman" w:cs="Times New Roman"/>
                <w:color w:val="auto"/>
                <w:spacing w:val="-4"/>
                <w:lang w:eastAsia="zh-CN"/>
              </w:rPr>
              <w:t>…qn-------</w:t>
            </w:r>
            <w:r>
              <w:rPr>
                <w:color w:val="auto"/>
                <w:spacing w:val="-4"/>
                <w:lang w:eastAsia="zh-CN"/>
              </w:rPr>
              <w:t>每种危险物</w:t>
            </w:r>
            <w:r>
              <w:rPr>
                <w:color w:val="auto"/>
                <w:spacing w:val="-5"/>
                <w:lang w:eastAsia="zh-CN"/>
              </w:rPr>
              <w:t>质的最大存在量，</w:t>
            </w:r>
            <w:r>
              <w:rPr>
                <w:rFonts w:ascii="Times New Roman" w:hAnsi="Times New Roman" w:eastAsia="Times New Roman" w:cs="Times New Roman"/>
                <w:color w:val="auto"/>
                <w:spacing w:val="-5"/>
                <w:lang w:eastAsia="zh-CN"/>
              </w:rPr>
              <w:t>t</w:t>
            </w:r>
            <w:r>
              <w:rPr>
                <w:color w:val="auto"/>
                <w:spacing w:val="-5"/>
                <w:lang w:eastAsia="zh-CN"/>
              </w:rPr>
              <w:t>；</w:t>
            </w:r>
          </w:p>
          <w:p>
            <w:pPr>
              <w:pStyle w:val="22"/>
              <w:widowControl w:val="0"/>
              <w:kinsoku/>
              <w:spacing w:before="42" w:line="360" w:lineRule="auto"/>
              <w:ind w:left="588"/>
              <w:jc w:val="both"/>
              <w:rPr>
                <w:rFonts w:hint="eastAsia"/>
                <w:color w:val="auto"/>
                <w:lang w:eastAsia="zh-CN"/>
              </w:rPr>
            </w:pPr>
            <w:r>
              <w:rPr>
                <w:rFonts w:ascii="Times New Roman" w:hAnsi="Times New Roman" w:eastAsia="Times New Roman" w:cs="Times New Roman"/>
                <w:color w:val="auto"/>
                <w:spacing w:val="-6"/>
                <w:lang w:eastAsia="zh-CN"/>
              </w:rPr>
              <w:t>Q</w:t>
            </w:r>
            <w:r>
              <w:rPr>
                <w:rFonts w:ascii="Times New Roman" w:hAnsi="Times New Roman" w:eastAsia="Times New Roman" w:cs="Times New Roman"/>
                <w:color w:val="auto"/>
                <w:spacing w:val="-6"/>
                <w:position w:val="-1"/>
                <w:sz w:val="15"/>
                <w:szCs w:val="15"/>
                <w:lang w:eastAsia="zh-CN"/>
              </w:rPr>
              <w:t>1</w:t>
            </w:r>
            <w:r>
              <w:rPr>
                <w:color w:val="auto"/>
                <w:spacing w:val="-6"/>
                <w:lang w:eastAsia="zh-CN"/>
              </w:rPr>
              <w:t>、</w:t>
            </w:r>
            <w:r>
              <w:rPr>
                <w:rFonts w:ascii="Times New Roman" w:hAnsi="Times New Roman" w:eastAsia="Times New Roman" w:cs="Times New Roman"/>
                <w:color w:val="auto"/>
                <w:spacing w:val="-6"/>
                <w:lang w:eastAsia="zh-CN"/>
              </w:rPr>
              <w:t>Q</w:t>
            </w:r>
            <w:r>
              <w:rPr>
                <w:rFonts w:ascii="Times New Roman" w:hAnsi="Times New Roman" w:eastAsia="Times New Roman" w:cs="Times New Roman"/>
                <w:color w:val="auto"/>
                <w:spacing w:val="-6"/>
                <w:position w:val="-1"/>
                <w:sz w:val="15"/>
                <w:szCs w:val="15"/>
                <w:lang w:eastAsia="zh-CN"/>
              </w:rPr>
              <w:t>2</w:t>
            </w:r>
            <w:r>
              <w:rPr>
                <w:color w:val="auto"/>
                <w:spacing w:val="-2"/>
                <w:lang w:eastAsia="zh-CN"/>
              </w:rPr>
              <w:t>、</w:t>
            </w:r>
            <w:r>
              <w:rPr>
                <w:rFonts w:ascii="Times New Roman" w:hAnsi="Times New Roman" w:eastAsia="Times New Roman" w:cs="Times New Roman"/>
                <w:color w:val="auto"/>
                <w:spacing w:val="-2"/>
                <w:lang w:eastAsia="zh-CN"/>
              </w:rPr>
              <w:t>…Qn------</w:t>
            </w:r>
            <w:r>
              <w:rPr>
                <w:color w:val="auto"/>
                <w:spacing w:val="-2"/>
                <w:lang w:eastAsia="zh-CN"/>
              </w:rPr>
              <w:t>每种危险物质的临界</w:t>
            </w:r>
            <w:r>
              <w:rPr>
                <w:color w:val="auto"/>
                <w:spacing w:val="-3"/>
                <w:lang w:eastAsia="zh-CN"/>
              </w:rPr>
              <w:t>量，</w:t>
            </w:r>
            <w:r>
              <w:rPr>
                <w:rFonts w:ascii="Times New Roman" w:hAnsi="Times New Roman" w:eastAsia="Times New Roman" w:cs="Times New Roman"/>
                <w:color w:val="auto"/>
                <w:spacing w:val="-3"/>
                <w:lang w:eastAsia="zh-CN"/>
              </w:rPr>
              <w:t>t</w:t>
            </w:r>
            <w:r>
              <w:rPr>
                <w:color w:val="auto"/>
                <w:spacing w:val="6"/>
                <w:lang w:eastAsia="zh-CN"/>
              </w:rPr>
              <w:t>计算出</w:t>
            </w:r>
            <w:r>
              <w:rPr>
                <w:rFonts w:ascii="Times New Roman" w:hAnsi="Times New Roman" w:eastAsia="Times New Roman" w:cs="Times New Roman"/>
                <w:color w:val="auto"/>
                <w:spacing w:val="6"/>
                <w:lang w:eastAsia="zh-CN"/>
              </w:rPr>
              <w:t>Q</w:t>
            </w:r>
            <w:r>
              <w:rPr>
                <w:color w:val="auto"/>
                <w:spacing w:val="6"/>
                <w:lang w:eastAsia="zh-CN"/>
              </w:rPr>
              <w:t>值后：</w:t>
            </w:r>
          </w:p>
          <w:p>
            <w:pPr>
              <w:pStyle w:val="22"/>
              <w:widowControl w:val="0"/>
              <w:kinsoku/>
              <w:spacing w:before="192" w:line="210" w:lineRule="auto"/>
              <w:ind w:left="603"/>
              <w:jc w:val="both"/>
              <w:rPr>
                <w:rFonts w:hint="eastAsia"/>
                <w:color w:val="auto"/>
                <w:lang w:eastAsia="zh-CN"/>
              </w:rPr>
            </w:pPr>
            <w:r>
              <w:rPr>
                <w:color w:val="auto"/>
                <w:spacing w:val="-4"/>
                <w:lang w:eastAsia="zh-CN"/>
              </w:rPr>
              <w:t>当</w:t>
            </w:r>
            <w:r>
              <w:rPr>
                <w:rFonts w:ascii="Times New Roman" w:hAnsi="Times New Roman" w:eastAsia="Times New Roman" w:cs="Times New Roman"/>
                <w:color w:val="auto"/>
                <w:spacing w:val="-4"/>
                <w:lang w:eastAsia="zh-CN"/>
              </w:rPr>
              <w:t>Q&lt;1</w:t>
            </w:r>
            <w:r>
              <w:rPr>
                <w:color w:val="auto"/>
                <w:spacing w:val="-4"/>
                <w:lang w:eastAsia="zh-CN"/>
              </w:rPr>
              <w:t>时，该项目环境风险潜势为</w:t>
            </w:r>
            <w:r>
              <w:rPr>
                <w:rFonts w:ascii="Times New Roman" w:hAnsi="Times New Roman" w:eastAsia="Times New Roman" w:cs="Times New Roman"/>
                <w:color w:val="auto"/>
                <w:spacing w:val="-4"/>
                <w:lang w:eastAsia="zh-CN"/>
              </w:rPr>
              <w:t>Ⅰ</w:t>
            </w:r>
            <w:r>
              <w:rPr>
                <w:color w:val="auto"/>
                <w:spacing w:val="-4"/>
                <w:lang w:eastAsia="zh-CN"/>
              </w:rPr>
              <w:t>。</w:t>
            </w:r>
          </w:p>
          <w:p>
            <w:pPr>
              <w:pStyle w:val="22"/>
              <w:widowControl w:val="0"/>
              <w:kinsoku/>
              <w:spacing w:before="181" w:line="350" w:lineRule="auto"/>
              <w:ind w:left="107" w:right="101" w:firstLine="482"/>
              <w:jc w:val="both"/>
              <w:rPr>
                <w:rFonts w:hint="eastAsia"/>
                <w:color w:val="auto"/>
                <w:spacing w:val="-6"/>
                <w:lang w:eastAsia="zh-CN"/>
              </w:rPr>
            </w:pPr>
            <w:r>
              <w:rPr>
                <w:color w:val="auto"/>
                <w:spacing w:val="2"/>
                <w:lang w:eastAsia="zh-CN"/>
              </w:rPr>
              <w:t>当</w:t>
            </w:r>
            <w:r>
              <w:rPr>
                <w:rFonts w:ascii="Times New Roman" w:hAnsi="Times New Roman" w:eastAsia="Times New Roman" w:cs="Times New Roman"/>
                <w:color w:val="auto"/>
                <w:spacing w:val="2"/>
                <w:lang w:eastAsia="zh-CN"/>
              </w:rPr>
              <w:t>Q≥1</w:t>
            </w:r>
            <w:r>
              <w:rPr>
                <w:color w:val="auto"/>
                <w:spacing w:val="2"/>
                <w:lang w:eastAsia="zh-CN"/>
              </w:rPr>
              <w:t>时，将</w:t>
            </w:r>
            <w:r>
              <w:rPr>
                <w:rFonts w:ascii="Times New Roman" w:hAnsi="Times New Roman" w:eastAsia="Times New Roman" w:cs="Times New Roman"/>
                <w:color w:val="auto"/>
                <w:spacing w:val="2"/>
                <w:lang w:eastAsia="zh-CN"/>
              </w:rPr>
              <w:t>Q</w:t>
            </w:r>
            <w:r>
              <w:rPr>
                <w:color w:val="auto"/>
                <w:spacing w:val="2"/>
                <w:lang w:eastAsia="zh-CN"/>
              </w:rPr>
              <w:t>值划分为：①</w:t>
            </w:r>
            <w:r>
              <w:rPr>
                <w:rFonts w:ascii="Times New Roman" w:hAnsi="Times New Roman" w:eastAsia="Times New Roman" w:cs="Times New Roman"/>
                <w:color w:val="auto"/>
                <w:spacing w:val="2"/>
                <w:lang w:eastAsia="zh-CN"/>
              </w:rPr>
              <w:t>1≤Q&lt;10</w:t>
            </w:r>
            <w:r>
              <w:rPr>
                <w:color w:val="auto"/>
                <w:spacing w:val="2"/>
                <w:lang w:eastAsia="zh-CN"/>
              </w:rPr>
              <w:t>；②</w:t>
            </w:r>
            <w:r>
              <w:rPr>
                <w:rFonts w:ascii="Times New Roman" w:hAnsi="Times New Roman" w:eastAsia="Times New Roman" w:cs="Times New Roman"/>
                <w:color w:val="auto"/>
                <w:spacing w:val="2"/>
                <w:lang w:eastAsia="zh-CN"/>
              </w:rPr>
              <w:t>10≤Q&lt;100</w:t>
            </w:r>
            <w:r>
              <w:rPr>
                <w:color w:val="auto"/>
                <w:spacing w:val="2"/>
                <w:lang w:eastAsia="zh-CN"/>
              </w:rPr>
              <w:t>；③</w:t>
            </w:r>
            <w:r>
              <w:rPr>
                <w:rFonts w:ascii="Times New Roman" w:hAnsi="Times New Roman" w:eastAsia="Times New Roman" w:cs="Times New Roman"/>
                <w:color w:val="auto"/>
                <w:spacing w:val="2"/>
                <w:lang w:eastAsia="zh-CN"/>
              </w:rPr>
              <w:t>Q≥100</w:t>
            </w:r>
            <w:r>
              <w:rPr>
                <w:color w:val="auto"/>
                <w:spacing w:val="2"/>
                <w:lang w:eastAsia="zh-CN"/>
              </w:rPr>
              <w:t>，再结合项</w:t>
            </w:r>
            <w:r>
              <w:rPr>
                <w:color w:val="auto"/>
                <w:spacing w:val="5"/>
                <w:lang w:eastAsia="zh-CN"/>
              </w:rPr>
              <w:t>目行业及生产工艺（</w:t>
            </w:r>
            <w:r>
              <w:rPr>
                <w:rFonts w:ascii="Times New Roman" w:hAnsi="Times New Roman" w:eastAsia="Times New Roman" w:cs="Times New Roman"/>
                <w:color w:val="auto"/>
                <w:spacing w:val="5"/>
                <w:lang w:eastAsia="zh-CN"/>
              </w:rPr>
              <w:t>M</w:t>
            </w:r>
            <w:r>
              <w:rPr>
                <w:color w:val="auto"/>
                <w:spacing w:val="5"/>
                <w:lang w:eastAsia="zh-CN"/>
              </w:rPr>
              <w:t>）进一步判断项目危险物质与工艺系统危险性（</w:t>
            </w:r>
            <w:r>
              <w:rPr>
                <w:rFonts w:ascii="Times New Roman" w:hAnsi="Times New Roman" w:eastAsia="Times New Roman" w:cs="Times New Roman"/>
                <w:color w:val="auto"/>
                <w:spacing w:val="5"/>
                <w:lang w:eastAsia="zh-CN"/>
              </w:rPr>
              <w:t>P</w:t>
            </w:r>
            <w:r>
              <w:rPr>
                <w:color w:val="auto"/>
                <w:spacing w:val="5"/>
                <w:lang w:eastAsia="zh-CN"/>
              </w:rPr>
              <w:t>）分级，</w:t>
            </w:r>
            <w:r>
              <w:rPr>
                <w:color w:val="auto"/>
                <w:spacing w:val="9"/>
                <w:lang w:eastAsia="zh-CN"/>
              </w:rPr>
              <w:t>然后再根据建设项目的</w:t>
            </w:r>
            <w:r>
              <w:rPr>
                <w:rFonts w:ascii="Times New Roman" w:hAnsi="Times New Roman" w:eastAsia="Times New Roman" w:cs="Times New Roman"/>
                <w:color w:val="auto"/>
                <w:spacing w:val="9"/>
                <w:lang w:eastAsia="zh-CN"/>
              </w:rPr>
              <w:t>P</w:t>
            </w:r>
            <w:r>
              <w:rPr>
                <w:color w:val="auto"/>
                <w:spacing w:val="9"/>
                <w:lang w:eastAsia="zh-CN"/>
              </w:rPr>
              <w:t>值及其项目所在地的环境敏感程度确定项目环境风险潜</w:t>
            </w:r>
            <w:r>
              <w:rPr>
                <w:color w:val="auto"/>
                <w:spacing w:val="-6"/>
                <w:lang w:eastAsia="zh-CN"/>
              </w:rPr>
              <w:t>势。</w:t>
            </w:r>
          </w:p>
          <w:p>
            <w:pPr>
              <w:pStyle w:val="22"/>
              <w:widowControl w:val="0"/>
              <w:numPr>
                <w:ilvl w:val="0"/>
                <w:numId w:val="7"/>
              </w:numPr>
              <w:kinsoku/>
              <w:spacing w:before="181" w:line="350" w:lineRule="auto"/>
              <w:ind w:right="101" w:firstLine="456" w:firstLineChars="200"/>
              <w:jc w:val="both"/>
              <w:rPr>
                <w:rFonts w:hint="eastAsia"/>
                <w:color w:val="auto"/>
                <w:lang w:eastAsia="zh-CN"/>
              </w:rPr>
            </w:pPr>
            <w:r>
              <w:rPr>
                <w:rFonts w:hint="eastAsia"/>
                <w:color w:val="auto"/>
                <w:spacing w:val="-6"/>
                <w:lang w:eastAsia="zh-CN"/>
              </w:rPr>
              <w:t>环境风险潜势划分</w:t>
            </w:r>
          </w:p>
          <w:p>
            <w:pPr>
              <w:widowControl/>
              <w:spacing w:line="360" w:lineRule="auto"/>
              <w:ind w:firstLine="419" w:firstLineChars="172"/>
              <w:jc w:val="left"/>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建</w:t>
            </w:r>
            <w:r>
              <w:rPr>
                <w:rFonts w:ascii="宋体" w:hAnsi="宋体" w:eastAsia="宋体" w:cs="宋体"/>
                <w:color w:val="auto"/>
                <w:spacing w:val="2"/>
                <w:sz w:val="24"/>
                <w:szCs w:val="24"/>
                <w:lang w:eastAsia="zh-CN"/>
              </w:rPr>
              <w:t xml:space="preserve">设项目环境风险潜势划分为Ⅰ、Ⅱ、Ⅲ、Ⅳ/Ⅳ+ 级。 </w:t>
            </w:r>
          </w:p>
          <w:p>
            <w:pPr>
              <w:widowControl/>
              <w:spacing w:line="360" w:lineRule="auto"/>
              <w:ind w:firstLine="419" w:firstLineChars="172"/>
              <w:jc w:val="left"/>
              <w:rPr>
                <w:rFonts w:hint="eastAsia"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根据建设项目涉及的物质和工艺系统的危险性及其所在地的环境敏感程度，结合事故情形下环境影响途径，对建设项目潜在环境危害程度进行概化分析，按照表</w:t>
            </w:r>
            <w:r>
              <w:rPr>
                <w:rFonts w:hint="eastAsia" w:ascii="宋体" w:hAnsi="宋体" w:eastAsia="宋体" w:cs="宋体"/>
                <w:color w:val="auto"/>
                <w:spacing w:val="2"/>
                <w:sz w:val="24"/>
                <w:szCs w:val="24"/>
                <w:lang w:eastAsia="zh-CN"/>
              </w:rPr>
              <w:t>4-18</w:t>
            </w:r>
            <w:r>
              <w:rPr>
                <w:rFonts w:ascii="宋体" w:hAnsi="宋体" w:eastAsia="宋体" w:cs="宋体"/>
                <w:color w:val="auto"/>
                <w:spacing w:val="2"/>
                <w:sz w:val="24"/>
                <w:szCs w:val="24"/>
                <w:lang w:eastAsia="zh-CN"/>
              </w:rPr>
              <w:t>确定环境风险潜势。</w:t>
            </w:r>
          </w:p>
          <w:p>
            <w:pPr>
              <w:widowControl/>
              <w:spacing w:line="360" w:lineRule="auto"/>
              <w:ind w:firstLine="419" w:firstLineChars="172"/>
              <w:jc w:val="left"/>
              <w:rPr>
                <w:rFonts w:hint="eastAsia" w:ascii="宋体" w:hAnsi="宋体" w:eastAsia="宋体" w:cs="宋体"/>
                <w:color w:val="auto"/>
                <w:spacing w:val="2"/>
                <w:sz w:val="24"/>
                <w:szCs w:val="24"/>
                <w:lang w:eastAsia="zh-CN"/>
              </w:rPr>
            </w:pPr>
          </w:p>
          <w:p>
            <w:pPr>
              <w:widowControl/>
              <w:spacing w:line="360" w:lineRule="auto"/>
              <w:ind w:firstLine="419" w:firstLineChars="172"/>
              <w:jc w:val="left"/>
              <w:rPr>
                <w:rFonts w:hint="eastAsia" w:ascii="宋体" w:hAnsi="宋体" w:eastAsia="宋体" w:cs="宋体"/>
                <w:color w:val="auto"/>
                <w:spacing w:val="2"/>
                <w:sz w:val="24"/>
                <w:szCs w:val="24"/>
                <w:lang w:eastAsia="zh-CN"/>
              </w:rPr>
            </w:pPr>
          </w:p>
          <w:p>
            <w:pPr>
              <w:widowControl/>
              <w:jc w:val="center"/>
              <w:rPr>
                <w:rFonts w:hint="eastAsia" w:ascii="宋体" w:hAnsi="宋体" w:eastAsia="宋体" w:cs="宋体"/>
                <w:b/>
                <w:bCs/>
                <w:color w:val="auto"/>
                <w:spacing w:val="6"/>
                <w:sz w:val="20"/>
                <w:szCs w:val="20"/>
                <w:lang w:eastAsia="zh-CN"/>
              </w:rPr>
            </w:pPr>
            <w:r>
              <w:rPr>
                <w:rFonts w:ascii="宋体" w:hAnsi="宋体" w:eastAsia="宋体" w:cs="宋体"/>
                <w:b/>
                <w:bCs/>
                <w:color w:val="auto"/>
                <w:spacing w:val="6"/>
                <w:sz w:val="20"/>
                <w:szCs w:val="20"/>
                <w:lang w:eastAsia="zh-CN"/>
              </w:rPr>
              <w:t>表4-</w:t>
            </w:r>
            <w:r>
              <w:rPr>
                <w:rFonts w:hint="eastAsia" w:ascii="宋体" w:hAnsi="宋体" w:eastAsia="宋体" w:cs="宋体"/>
                <w:b/>
                <w:bCs/>
                <w:color w:val="auto"/>
                <w:spacing w:val="6"/>
                <w:sz w:val="20"/>
                <w:szCs w:val="20"/>
                <w:lang w:eastAsia="zh-CN"/>
              </w:rPr>
              <w:t>18</w:t>
            </w:r>
            <w:r>
              <w:rPr>
                <w:rFonts w:ascii="宋体" w:hAnsi="宋体" w:eastAsia="宋体" w:cs="宋体"/>
                <w:b/>
                <w:bCs/>
                <w:color w:val="auto"/>
                <w:spacing w:val="6"/>
                <w:sz w:val="20"/>
                <w:szCs w:val="20"/>
                <w:lang w:eastAsia="zh-CN"/>
              </w:rPr>
              <w:t>建设项目环境风险潜势划分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770"/>
              <w:gridCol w:w="1770"/>
              <w:gridCol w:w="1770"/>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770" w:type="dxa"/>
                  <w:vMerge w:val="restart"/>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环境敏感程度（E）</w:t>
                  </w:r>
                </w:p>
              </w:tc>
              <w:tc>
                <w:tcPr>
                  <w:tcW w:w="7081" w:type="dxa"/>
                  <w:gridSpan w:val="4"/>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70" w:type="dxa"/>
                  <w:vMerge w:val="continue"/>
                  <w:vAlign w:val="center"/>
                </w:tcPr>
                <w:p>
                  <w:pPr>
                    <w:pStyle w:val="22"/>
                    <w:widowControl/>
                    <w:kinsoku/>
                    <w:spacing w:before="35" w:line="228" w:lineRule="auto"/>
                    <w:jc w:val="center"/>
                    <w:rPr>
                      <w:rFonts w:hint="eastAsia"/>
                      <w:color w:val="auto"/>
                      <w:spacing w:val="8"/>
                      <w:sz w:val="20"/>
                      <w:szCs w:val="20"/>
                      <w:lang w:eastAsia="zh-CN"/>
                    </w:rPr>
                  </w:pP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极高危害（P1）</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高度危害（P2）</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中度危害（P3）</w:t>
                  </w:r>
                </w:p>
              </w:tc>
              <w:tc>
                <w:tcPr>
                  <w:tcW w:w="1771"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环境高度敏感区（E1）</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IV+</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IV</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c>
                <w:tcPr>
                  <w:tcW w:w="1771"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环境中度敏感区（E2）</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IV</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c>
                <w:tcPr>
                  <w:tcW w:w="1771"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环境低度敏感区（E3）</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III</w:t>
                  </w:r>
                </w:p>
              </w:tc>
              <w:tc>
                <w:tcPr>
                  <w:tcW w:w="1770"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II</w:t>
                  </w:r>
                </w:p>
              </w:tc>
              <w:tc>
                <w:tcPr>
                  <w:tcW w:w="1771" w:type="dxa"/>
                  <w:vAlign w:val="center"/>
                </w:tcPr>
                <w:p>
                  <w:pPr>
                    <w:pStyle w:val="22"/>
                    <w:widowControl/>
                    <w:kinsoku/>
                    <w:spacing w:before="35" w:line="228" w:lineRule="auto"/>
                    <w:jc w:val="center"/>
                    <w:rPr>
                      <w:rFonts w:hint="eastAsia"/>
                      <w:color w:val="auto"/>
                      <w:spacing w:val="8"/>
                      <w:sz w:val="20"/>
                      <w:szCs w:val="20"/>
                      <w:lang w:eastAsia="zh-CN"/>
                    </w:rPr>
                  </w:pPr>
                  <w:r>
                    <w:rPr>
                      <w:color w:val="auto"/>
                      <w:spacing w:val="8"/>
                      <w:sz w:val="20"/>
                      <w:szCs w:val="20"/>
                      <w:lang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1" w:type="dxa"/>
                  <w:gridSpan w:val="5"/>
                </w:tcPr>
                <w:p>
                  <w:pPr>
                    <w:pStyle w:val="22"/>
                    <w:widowControl/>
                    <w:kinsoku/>
                    <w:spacing w:before="35" w:line="228" w:lineRule="auto"/>
                    <w:jc w:val="left"/>
                    <w:rPr>
                      <w:rFonts w:hint="eastAsia"/>
                      <w:color w:val="auto"/>
                      <w:spacing w:val="8"/>
                      <w:sz w:val="20"/>
                      <w:szCs w:val="20"/>
                      <w:lang w:eastAsia="zh-CN"/>
                    </w:rPr>
                  </w:pPr>
                  <w:r>
                    <w:rPr>
                      <w:color w:val="auto"/>
                      <w:spacing w:val="8"/>
                      <w:sz w:val="20"/>
                      <w:szCs w:val="20"/>
                      <w:lang w:eastAsia="zh-CN"/>
                    </w:rPr>
                    <w:t>注：IV+为极高环境风险。</w:t>
                  </w:r>
                </w:p>
              </w:tc>
            </w:tr>
          </w:tbl>
          <w:p>
            <w:pPr>
              <w:pStyle w:val="22"/>
              <w:widowControl w:val="0"/>
              <w:numPr>
                <w:ilvl w:val="0"/>
                <w:numId w:val="7"/>
              </w:numPr>
              <w:kinsoku/>
              <w:spacing w:before="181" w:line="350" w:lineRule="auto"/>
              <w:ind w:right="101" w:firstLine="472" w:firstLineChars="200"/>
              <w:jc w:val="both"/>
              <w:rPr>
                <w:rFonts w:hint="eastAsia"/>
                <w:color w:val="auto"/>
                <w:lang w:eastAsia="zh-CN"/>
              </w:rPr>
            </w:pPr>
            <w:r>
              <w:rPr>
                <w:color w:val="auto"/>
                <w:spacing w:val="-2"/>
                <w:lang w:eastAsia="zh-CN"/>
              </w:rPr>
              <w:t>环境风险评价等级</w:t>
            </w:r>
          </w:p>
          <w:p>
            <w:pPr>
              <w:pStyle w:val="22"/>
              <w:widowControl w:val="0"/>
              <w:spacing w:before="186" w:line="350" w:lineRule="auto"/>
              <w:ind w:left="111" w:right="101" w:firstLine="477"/>
              <w:jc w:val="both"/>
              <w:rPr>
                <w:rFonts w:hint="eastAsia"/>
                <w:color w:val="auto"/>
                <w:lang w:eastAsia="zh-CN"/>
              </w:rPr>
            </w:pPr>
            <w:r>
              <w:rPr>
                <w:color w:val="auto"/>
                <w:spacing w:val="3"/>
                <w:lang w:eastAsia="zh-CN"/>
              </w:rPr>
              <w:t>根据前面项目环境风险潜势初判，确定本项目环境风险潜势为</w:t>
            </w:r>
            <w:r>
              <w:rPr>
                <w:rFonts w:ascii="Times New Roman" w:hAnsi="Times New Roman" w:eastAsia="Times New Roman" w:cs="Times New Roman"/>
                <w:color w:val="auto"/>
                <w:spacing w:val="3"/>
                <w:lang w:eastAsia="zh-CN"/>
              </w:rPr>
              <w:t>Ⅰ</w:t>
            </w:r>
            <w:r>
              <w:rPr>
                <w:color w:val="auto"/>
                <w:spacing w:val="3"/>
                <w:lang w:eastAsia="zh-CN"/>
              </w:rPr>
              <w:t>,根据《建设</w:t>
            </w:r>
            <w:r>
              <w:rPr>
                <w:color w:val="auto"/>
                <w:spacing w:val="1"/>
                <w:lang w:eastAsia="zh-CN"/>
              </w:rPr>
              <w:t>项目环境风险评价技术导则》（</w:t>
            </w:r>
            <w:r>
              <w:rPr>
                <w:rFonts w:ascii="Times New Roman" w:hAnsi="Times New Roman" w:eastAsia="Times New Roman" w:cs="Times New Roman"/>
                <w:color w:val="auto"/>
                <w:lang w:eastAsia="zh-CN"/>
              </w:rPr>
              <w:t>HJ</w:t>
            </w:r>
            <w:r>
              <w:rPr>
                <w:rFonts w:ascii="Times New Roman" w:hAnsi="Times New Roman" w:eastAsia="Times New Roman" w:cs="Times New Roman"/>
                <w:color w:val="auto"/>
                <w:spacing w:val="1"/>
                <w:lang w:eastAsia="zh-CN"/>
              </w:rPr>
              <w:t>169-2018</w:t>
            </w:r>
            <w:r>
              <w:rPr>
                <w:color w:val="auto"/>
                <w:spacing w:val="10"/>
                <w:lang w:eastAsia="zh-CN"/>
              </w:rPr>
              <w:t>），</w:t>
            </w:r>
            <w:r>
              <w:rPr>
                <w:color w:val="auto"/>
                <w:spacing w:val="1"/>
                <w:lang w:eastAsia="zh-CN"/>
              </w:rPr>
              <w:t>确定项目风险评价工作等级为简单</w:t>
            </w:r>
            <w:r>
              <w:rPr>
                <w:color w:val="auto"/>
                <w:spacing w:val="-5"/>
                <w:lang w:eastAsia="zh-CN"/>
              </w:rPr>
              <w:t>分析。</w:t>
            </w:r>
          </w:p>
          <w:p>
            <w:pPr>
              <w:pStyle w:val="22"/>
              <w:widowControl w:val="0"/>
              <w:spacing w:before="30" w:line="226" w:lineRule="auto"/>
              <w:ind w:left="2902"/>
              <w:jc w:val="both"/>
              <w:rPr>
                <w:rFonts w:hint="eastAsia"/>
                <w:color w:val="auto"/>
                <w:sz w:val="20"/>
                <w:szCs w:val="20"/>
                <w:lang w:eastAsia="zh-CN"/>
              </w:rPr>
            </w:pPr>
            <w:r>
              <w:rPr>
                <w:b/>
                <w:bCs/>
                <w:color w:val="auto"/>
                <w:spacing w:val="5"/>
                <w:sz w:val="20"/>
                <w:szCs w:val="20"/>
                <w:lang w:eastAsia="zh-CN"/>
              </w:rPr>
              <w:t>表</w:t>
            </w:r>
            <w:r>
              <w:rPr>
                <w:rFonts w:ascii="Times New Roman" w:hAnsi="Times New Roman" w:eastAsia="Times New Roman" w:cs="Times New Roman"/>
                <w:b/>
                <w:bCs/>
                <w:color w:val="auto"/>
                <w:spacing w:val="5"/>
                <w:sz w:val="20"/>
                <w:szCs w:val="20"/>
                <w:lang w:eastAsia="zh-CN"/>
              </w:rPr>
              <w:t>4-</w:t>
            </w:r>
            <w:r>
              <w:rPr>
                <w:rFonts w:hint="eastAsia" w:ascii="Times New Roman" w:hAnsi="Times New Roman" w:eastAsia="Times New Roman" w:cs="Times New Roman"/>
                <w:b/>
                <w:bCs/>
                <w:color w:val="auto"/>
                <w:spacing w:val="5"/>
                <w:sz w:val="20"/>
                <w:szCs w:val="20"/>
                <w:lang w:eastAsia="zh-CN"/>
              </w:rPr>
              <w:t>19</w:t>
            </w:r>
            <w:r>
              <w:rPr>
                <w:b/>
                <w:bCs/>
                <w:color w:val="auto"/>
                <w:spacing w:val="5"/>
                <w:sz w:val="20"/>
                <w:szCs w:val="20"/>
                <w:lang w:eastAsia="zh-CN"/>
              </w:rPr>
              <w:t>项目风险评价工</w:t>
            </w:r>
            <w:r>
              <w:rPr>
                <w:b/>
                <w:bCs/>
                <w:color w:val="auto"/>
                <w:spacing w:val="4"/>
                <w:sz w:val="20"/>
                <w:szCs w:val="20"/>
                <w:lang w:eastAsia="zh-CN"/>
              </w:rPr>
              <w:t>作等级</w:t>
            </w:r>
          </w:p>
          <w:p>
            <w:pPr>
              <w:widowControl w:val="0"/>
              <w:spacing w:line="131" w:lineRule="exact"/>
              <w:jc w:val="both"/>
              <w:rPr>
                <w:color w:val="auto"/>
                <w:lang w:eastAsia="zh-CN"/>
              </w:rPr>
            </w:pPr>
          </w:p>
          <w:tbl>
            <w:tblPr>
              <w:tblStyle w:val="21"/>
              <w:tblW w:w="8581"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17"/>
              <w:gridCol w:w="1718"/>
              <w:gridCol w:w="1714"/>
              <w:gridCol w:w="1714"/>
              <w:gridCol w:w="17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17" w:type="dxa"/>
                </w:tcPr>
                <w:p>
                  <w:pPr>
                    <w:pStyle w:val="22"/>
                    <w:spacing w:before="35" w:line="228" w:lineRule="auto"/>
                    <w:ind w:left="233"/>
                    <w:rPr>
                      <w:rFonts w:hint="eastAsia"/>
                      <w:color w:val="auto"/>
                      <w:sz w:val="20"/>
                      <w:szCs w:val="20"/>
                      <w:lang w:eastAsia="zh-CN"/>
                    </w:rPr>
                  </w:pPr>
                  <w:r>
                    <w:rPr>
                      <w:color w:val="auto"/>
                      <w:spacing w:val="8"/>
                      <w:sz w:val="20"/>
                      <w:szCs w:val="20"/>
                      <w:lang w:eastAsia="zh-CN"/>
                    </w:rPr>
                    <w:t>环境风险潜势</w:t>
                  </w:r>
                </w:p>
              </w:tc>
              <w:tc>
                <w:tcPr>
                  <w:tcW w:w="1718" w:type="dxa"/>
                </w:tcPr>
                <w:p>
                  <w:pPr>
                    <w:pStyle w:val="22"/>
                    <w:spacing w:before="75" w:line="183" w:lineRule="auto"/>
                    <w:ind w:left="461"/>
                    <w:rPr>
                      <w:rFonts w:ascii="Times New Roman" w:hAnsi="Times New Roman" w:eastAsia="Times New Roman" w:cs="Times New Roman"/>
                      <w:color w:val="auto"/>
                      <w:sz w:val="20"/>
                      <w:szCs w:val="20"/>
                      <w:lang w:eastAsia="zh-CN"/>
                    </w:rPr>
                  </w:pPr>
                  <w:r>
                    <w:rPr>
                      <w:rFonts w:ascii="Times New Roman" w:hAnsi="Times New Roman" w:eastAsia="Times New Roman" w:cs="Times New Roman"/>
                      <w:b/>
                      <w:bCs/>
                      <w:color w:val="auto"/>
                      <w:sz w:val="20"/>
                      <w:szCs w:val="20"/>
                      <w:lang w:eastAsia="zh-CN"/>
                    </w:rPr>
                    <w:t>IV</w:t>
                  </w:r>
                  <w:r>
                    <w:rPr>
                      <w:b/>
                      <w:bCs/>
                      <w:color w:val="auto"/>
                      <w:spacing w:val="3"/>
                      <w:sz w:val="20"/>
                      <w:szCs w:val="20"/>
                      <w:lang w:eastAsia="zh-CN"/>
                    </w:rPr>
                    <w:t>、</w:t>
                  </w:r>
                  <w:r>
                    <w:rPr>
                      <w:rFonts w:ascii="Times New Roman" w:hAnsi="Times New Roman" w:eastAsia="Times New Roman" w:cs="Times New Roman"/>
                      <w:b/>
                      <w:bCs/>
                      <w:color w:val="auto"/>
                      <w:sz w:val="20"/>
                      <w:szCs w:val="20"/>
                      <w:lang w:eastAsia="zh-CN"/>
                    </w:rPr>
                    <w:t>IV</w:t>
                  </w:r>
                  <w:r>
                    <w:rPr>
                      <w:rFonts w:ascii="Times New Roman" w:hAnsi="Times New Roman" w:eastAsia="Times New Roman" w:cs="Times New Roman"/>
                      <w:b/>
                      <w:bCs/>
                      <w:color w:val="auto"/>
                      <w:spacing w:val="3"/>
                      <w:sz w:val="20"/>
                      <w:szCs w:val="20"/>
                      <w:lang w:eastAsia="zh-CN"/>
                    </w:rPr>
                    <w:t>+</w:t>
                  </w:r>
                </w:p>
              </w:tc>
              <w:tc>
                <w:tcPr>
                  <w:tcW w:w="1714" w:type="dxa"/>
                </w:tcPr>
                <w:p>
                  <w:pPr>
                    <w:spacing w:before="58" w:line="192" w:lineRule="auto"/>
                    <w:ind w:left="735"/>
                    <w:rPr>
                      <w:rFonts w:ascii="Times New Roman" w:hAnsi="Times New Roman" w:eastAsia="Times New Roman" w:cs="Times New Roman"/>
                      <w:color w:val="auto"/>
                      <w:sz w:val="20"/>
                      <w:szCs w:val="20"/>
                      <w:lang w:eastAsia="zh-CN"/>
                    </w:rPr>
                  </w:pPr>
                  <w:r>
                    <w:rPr>
                      <w:rFonts w:ascii="Times New Roman" w:hAnsi="Times New Roman" w:eastAsia="Times New Roman" w:cs="Times New Roman"/>
                      <w:b/>
                      <w:bCs/>
                      <w:color w:val="auto"/>
                      <w:spacing w:val="2"/>
                      <w:sz w:val="20"/>
                      <w:szCs w:val="20"/>
                      <w:lang w:eastAsia="zh-CN"/>
                    </w:rPr>
                    <w:t>III</w:t>
                  </w:r>
                </w:p>
              </w:tc>
              <w:tc>
                <w:tcPr>
                  <w:tcW w:w="1714" w:type="dxa"/>
                </w:tcPr>
                <w:p>
                  <w:pPr>
                    <w:pStyle w:val="22"/>
                    <w:spacing w:before="75" w:line="183" w:lineRule="auto"/>
                    <w:ind w:left="761"/>
                    <w:rPr>
                      <w:rFonts w:hint="eastAsia"/>
                      <w:color w:val="auto"/>
                      <w:sz w:val="20"/>
                      <w:szCs w:val="20"/>
                      <w:lang w:eastAsia="zh-CN"/>
                    </w:rPr>
                  </w:pPr>
                  <w:r>
                    <w:rPr>
                      <w:color w:val="auto"/>
                      <w:sz w:val="20"/>
                      <w:szCs w:val="20"/>
                      <w:lang w:eastAsia="zh-CN"/>
                    </w:rPr>
                    <w:t>二</w:t>
                  </w:r>
                </w:p>
              </w:tc>
              <w:tc>
                <w:tcPr>
                  <w:tcW w:w="1718" w:type="dxa"/>
                </w:tcPr>
                <w:p>
                  <w:pPr>
                    <w:spacing w:before="58" w:line="192" w:lineRule="auto"/>
                    <w:ind w:left="818"/>
                    <w:rPr>
                      <w:rFonts w:ascii="Times New Roman" w:hAnsi="Times New Roman" w:eastAsia="Times New Roman" w:cs="Times New Roman"/>
                      <w:color w:val="auto"/>
                      <w:sz w:val="20"/>
                      <w:szCs w:val="20"/>
                      <w:lang w:eastAsia="zh-CN"/>
                    </w:rPr>
                  </w:pPr>
                  <w:r>
                    <w:rPr>
                      <w:rFonts w:ascii="Times New Roman" w:hAnsi="Times New Roman" w:eastAsia="Times New Roman" w:cs="Times New Roman"/>
                      <w:b/>
                      <w:bCs/>
                      <w:color w:val="auto"/>
                      <w:sz w:val="20"/>
                      <w:szCs w:val="20"/>
                      <w:lang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17" w:type="dxa"/>
                </w:tcPr>
                <w:p>
                  <w:pPr>
                    <w:pStyle w:val="22"/>
                    <w:spacing w:before="34" w:line="226" w:lineRule="auto"/>
                    <w:ind w:left="232"/>
                    <w:rPr>
                      <w:rFonts w:hint="eastAsia"/>
                      <w:color w:val="auto"/>
                      <w:sz w:val="20"/>
                      <w:szCs w:val="20"/>
                      <w:lang w:eastAsia="zh-CN"/>
                    </w:rPr>
                  </w:pPr>
                  <w:r>
                    <w:rPr>
                      <w:color w:val="auto"/>
                      <w:spacing w:val="8"/>
                      <w:sz w:val="20"/>
                      <w:szCs w:val="20"/>
                      <w:lang w:eastAsia="zh-CN"/>
                    </w:rPr>
                    <w:t>评价工作等级</w:t>
                  </w:r>
                </w:p>
              </w:tc>
              <w:tc>
                <w:tcPr>
                  <w:tcW w:w="1718" w:type="dxa"/>
                </w:tcPr>
                <w:p>
                  <w:pPr>
                    <w:pStyle w:val="22"/>
                    <w:spacing w:before="112" w:line="156" w:lineRule="exact"/>
                    <w:ind w:left="761"/>
                    <w:rPr>
                      <w:rFonts w:hint="eastAsia"/>
                      <w:color w:val="auto"/>
                      <w:sz w:val="20"/>
                      <w:szCs w:val="20"/>
                      <w:lang w:eastAsia="zh-CN"/>
                    </w:rPr>
                  </w:pPr>
                  <w:r>
                    <w:rPr>
                      <w:color w:val="auto"/>
                      <w:position w:val="-4"/>
                      <w:sz w:val="20"/>
                      <w:szCs w:val="20"/>
                      <w:lang w:eastAsia="zh-CN"/>
                    </w:rPr>
                    <w:t>一</w:t>
                  </w:r>
                </w:p>
              </w:tc>
              <w:tc>
                <w:tcPr>
                  <w:tcW w:w="1714" w:type="dxa"/>
                </w:tcPr>
                <w:p>
                  <w:pPr>
                    <w:pStyle w:val="22"/>
                    <w:spacing w:before="73" w:line="183" w:lineRule="auto"/>
                    <w:ind w:left="759"/>
                    <w:rPr>
                      <w:rFonts w:hint="eastAsia"/>
                      <w:color w:val="auto"/>
                      <w:sz w:val="20"/>
                      <w:szCs w:val="20"/>
                      <w:lang w:eastAsia="zh-CN"/>
                    </w:rPr>
                  </w:pPr>
                  <w:r>
                    <w:rPr>
                      <w:color w:val="auto"/>
                      <w:sz w:val="20"/>
                      <w:szCs w:val="20"/>
                      <w:lang w:eastAsia="zh-CN"/>
                    </w:rPr>
                    <w:t>二</w:t>
                  </w:r>
                </w:p>
              </w:tc>
              <w:tc>
                <w:tcPr>
                  <w:tcW w:w="1714" w:type="dxa"/>
                </w:tcPr>
                <w:p>
                  <w:pPr>
                    <w:pStyle w:val="22"/>
                    <w:spacing w:before="34" w:line="265" w:lineRule="exact"/>
                    <w:ind w:left="758"/>
                    <w:rPr>
                      <w:rFonts w:hint="eastAsia"/>
                      <w:color w:val="auto"/>
                      <w:sz w:val="20"/>
                      <w:szCs w:val="20"/>
                      <w:lang w:eastAsia="zh-CN"/>
                    </w:rPr>
                  </w:pPr>
                  <w:r>
                    <w:rPr>
                      <w:color w:val="auto"/>
                      <w:position w:val="1"/>
                      <w:sz w:val="20"/>
                      <w:szCs w:val="20"/>
                      <w:lang w:eastAsia="zh-CN"/>
                    </w:rPr>
                    <w:t>三</w:t>
                  </w:r>
                </w:p>
              </w:tc>
              <w:tc>
                <w:tcPr>
                  <w:tcW w:w="1718" w:type="dxa"/>
                </w:tcPr>
                <w:p>
                  <w:pPr>
                    <w:pStyle w:val="22"/>
                    <w:spacing w:before="34" w:line="227" w:lineRule="auto"/>
                    <w:ind w:left="349"/>
                    <w:rPr>
                      <w:rFonts w:ascii="Times New Roman" w:hAnsi="Times New Roman" w:eastAsia="Times New Roman" w:cs="Times New Roman"/>
                      <w:color w:val="auto"/>
                      <w:sz w:val="20"/>
                      <w:szCs w:val="20"/>
                      <w:lang w:eastAsia="zh-CN"/>
                    </w:rPr>
                  </w:pPr>
                  <w:r>
                    <w:rPr>
                      <w:color w:val="auto"/>
                      <w:spacing w:val="5"/>
                      <w:sz w:val="20"/>
                      <w:szCs w:val="20"/>
                      <w:lang w:eastAsia="zh-CN"/>
                    </w:rPr>
                    <w:t>简单分析</w:t>
                  </w:r>
                  <w:r>
                    <w:rPr>
                      <w:rFonts w:ascii="Times New Roman" w:hAnsi="Times New Roman" w:eastAsia="Times New Roman" w:cs="Times New Roman"/>
                      <w:color w:val="auto"/>
                      <w:spacing w:val="5"/>
                      <w:sz w:val="20"/>
                      <w:szCs w:val="20"/>
                      <w:lang w:eastAsia="zh-CN"/>
                    </w:rPr>
                    <w:t>a</w:t>
                  </w:r>
                </w:p>
              </w:tc>
            </w:tr>
          </w:tbl>
          <w:p>
            <w:pPr>
              <w:pStyle w:val="22"/>
              <w:widowControl w:val="0"/>
              <w:spacing w:before="33" w:line="347" w:lineRule="auto"/>
              <w:ind w:left="109" w:right="102" w:firstLine="479"/>
              <w:jc w:val="both"/>
              <w:rPr>
                <w:rFonts w:hint="eastAsia"/>
                <w:color w:val="auto"/>
                <w:lang w:eastAsia="zh-CN"/>
              </w:rPr>
            </w:pPr>
            <w:r>
              <w:rPr>
                <w:color w:val="auto"/>
                <w:spacing w:val="2"/>
                <w:lang w:eastAsia="zh-CN"/>
              </w:rPr>
              <w:t>注：</w:t>
            </w:r>
            <w:r>
              <w:rPr>
                <w:rFonts w:ascii="Times New Roman" w:hAnsi="Times New Roman" w:eastAsia="Times New Roman" w:cs="Times New Roman"/>
                <w:color w:val="auto"/>
                <w:spacing w:val="2"/>
                <w:lang w:eastAsia="zh-CN"/>
              </w:rPr>
              <w:t>a</w:t>
            </w:r>
            <w:r>
              <w:rPr>
                <w:color w:val="auto"/>
                <w:spacing w:val="2"/>
                <w:lang w:eastAsia="zh-CN"/>
              </w:rPr>
              <w:t>是相对于详细评价工作内容而言，在描述危险物</w:t>
            </w:r>
            <w:r>
              <w:rPr>
                <w:color w:val="auto"/>
                <w:spacing w:val="1"/>
                <w:lang w:eastAsia="zh-CN"/>
              </w:rPr>
              <w:t>质、环境影响途径、环</w:t>
            </w:r>
            <w:r>
              <w:rPr>
                <w:color w:val="auto"/>
                <w:spacing w:val="-1"/>
                <w:lang w:eastAsia="zh-CN"/>
              </w:rPr>
              <w:t>境危害后果、风险防范措施等方面给出定性的说明。</w:t>
            </w:r>
          </w:p>
          <w:p>
            <w:pPr>
              <w:pStyle w:val="22"/>
              <w:widowControl w:val="0"/>
              <w:kinsoku/>
              <w:spacing w:before="181" w:line="350" w:lineRule="auto"/>
              <w:ind w:right="101"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综上，项目所涉及的风险物质最大存在量未超过临界量，仅进行简单分析。</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2、可能影响途径</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根据工程分析，本项目主要风险因素为废机油储存、管理不当引起的泄漏</w:t>
            </w:r>
            <w:r>
              <w:rPr>
                <w:rFonts w:hint="eastAsia" w:ascii="Times New Roman" w:hAnsi="Times New Roman" w:eastAsia="宋体" w:cs="Times New Roman"/>
                <w:color w:val="auto"/>
                <w:spacing w:val="2"/>
                <w:sz w:val="24"/>
                <w:szCs w:val="24"/>
                <w:lang w:eastAsia="zh-CN"/>
              </w:rPr>
              <w:t>及</w:t>
            </w:r>
            <w:r>
              <w:rPr>
                <w:rFonts w:ascii="Times New Roman" w:hAnsi="Times New Roman" w:eastAsia="宋体" w:cs="Times New Roman"/>
                <w:color w:val="auto"/>
                <w:spacing w:val="2"/>
                <w:sz w:val="24"/>
                <w:szCs w:val="24"/>
                <w:lang w:eastAsia="zh-CN"/>
              </w:rPr>
              <w:t>火灾、爆炸</w:t>
            </w:r>
            <w:r>
              <w:rPr>
                <w:rFonts w:hint="eastAsia" w:ascii="Times New Roman" w:hAnsi="Times New Roman" w:eastAsia="宋体" w:cs="Times New Roman"/>
                <w:color w:val="auto"/>
                <w:spacing w:val="2"/>
                <w:sz w:val="24"/>
                <w:szCs w:val="24"/>
                <w:lang w:eastAsia="zh-CN"/>
              </w:rPr>
              <w:t>引起的次生污染</w:t>
            </w:r>
            <w:r>
              <w:rPr>
                <w:rFonts w:ascii="Times New Roman" w:hAnsi="Times New Roman" w:eastAsia="宋体" w:cs="Times New Roman"/>
                <w:color w:val="auto"/>
                <w:spacing w:val="2"/>
                <w:sz w:val="24"/>
                <w:szCs w:val="24"/>
                <w:lang w:eastAsia="zh-CN"/>
              </w:rPr>
              <w:t xml:space="preserve">。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3、风险防范措施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（1）危险废物泄漏/撒漏环境风险事件</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项目危废除</w:t>
            </w:r>
            <w:r>
              <w:rPr>
                <w:rFonts w:hint="eastAsia" w:ascii="Times New Roman" w:hAnsi="Times New Roman" w:eastAsia="宋体" w:cs="Times New Roman"/>
                <w:color w:val="auto"/>
                <w:spacing w:val="2"/>
                <w:sz w:val="24"/>
                <w:szCs w:val="24"/>
                <w:lang w:eastAsia="zh-CN"/>
              </w:rPr>
              <w:t>废润滑油</w:t>
            </w:r>
            <w:r>
              <w:rPr>
                <w:rFonts w:ascii="Times New Roman" w:hAnsi="Times New Roman" w:eastAsia="宋体" w:cs="Times New Roman"/>
                <w:color w:val="auto"/>
                <w:spacing w:val="2"/>
                <w:sz w:val="24"/>
                <w:szCs w:val="24"/>
                <w:lang w:eastAsia="zh-CN"/>
              </w:rPr>
              <w:t>外，其余均为固体危险废物，撒漏后及时更换新的密封包装袋将其扎紧，对周边环境影响较小，风险在可控范围内。</w:t>
            </w:r>
            <w:r>
              <w:rPr>
                <w:rFonts w:hint="eastAsia" w:ascii="Times New Roman" w:hAnsi="Times New Roman" w:eastAsia="宋体" w:cs="Times New Roman"/>
                <w:color w:val="auto"/>
                <w:spacing w:val="2"/>
                <w:sz w:val="24"/>
                <w:szCs w:val="24"/>
                <w:lang w:eastAsia="zh-CN"/>
              </w:rPr>
              <w:t>要求废润滑油</w:t>
            </w:r>
            <w:r>
              <w:rPr>
                <w:rFonts w:ascii="Times New Roman" w:hAnsi="Times New Roman" w:eastAsia="宋体" w:cs="Times New Roman"/>
                <w:color w:val="auto"/>
                <w:spacing w:val="2"/>
                <w:sz w:val="24"/>
                <w:szCs w:val="24"/>
                <w:lang w:eastAsia="zh-CN"/>
              </w:rPr>
              <w:t>下设置防渗托盘，泄漏后可被防渗托盘收集，对周边环境影响较小，风险在可控范围内。</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（2）火灾风险防范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厂房内可燃物料遇明火发生火灾，火灾释放大量烟尘及CO。生产厂房、危废暂存间配置必要的消防灭火设施，并定期维护检查；消防器材应放置在明显、易拿取又安全的地方，其周围不得有障碍物或堆放杂物，道路畅通。配备必要的救灾防毒器具及防护用品。</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（3）废气事故排放风险防范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废气处理装置应定期维护检查，一旦发现装置故障，应暂停相应工序作业，待废气处理装置检修可正常运行后，相应工序方可继续作业。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（4）其他风险防范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①公司应</w:t>
            </w:r>
            <w:bookmarkStart w:id="40" w:name="_Hlk203642814"/>
            <w:r>
              <w:rPr>
                <w:rFonts w:ascii="Times New Roman" w:hAnsi="Times New Roman" w:eastAsia="宋体" w:cs="Times New Roman"/>
                <w:color w:val="auto"/>
                <w:spacing w:val="2"/>
                <w:sz w:val="24"/>
                <w:szCs w:val="24"/>
                <w:lang w:eastAsia="zh-CN"/>
              </w:rPr>
              <w:t>建立健全的健康/安全/环境管理制度</w:t>
            </w:r>
            <w:bookmarkEnd w:id="40"/>
            <w:r>
              <w:rPr>
                <w:rFonts w:ascii="Times New Roman" w:hAnsi="Times New Roman" w:eastAsia="宋体" w:cs="Times New Roman"/>
                <w:color w:val="auto"/>
                <w:spacing w:val="2"/>
                <w:sz w:val="24"/>
                <w:szCs w:val="24"/>
                <w:lang w:eastAsia="zh-CN"/>
              </w:rPr>
              <w:t xml:space="preserve">，并严格予以执行。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②消除电器火花，为确保易燃场所中使用电气设备的安全，应严格按照《中华人民共和国爆炸危险场所安全规程》和现行有关标准、规程的规定及要求执行。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③严格执行我国有关的劳动安全、环境保护、工业卫生的规范和标准，</w:t>
            </w:r>
            <w:r>
              <w:rPr>
                <w:rFonts w:hint="eastAsia" w:ascii="Times New Roman" w:hAnsi="Times New Roman" w:eastAsia="宋体" w:cs="Times New Roman"/>
                <w:color w:val="auto"/>
                <w:spacing w:val="2"/>
                <w:sz w:val="24"/>
                <w:szCs w:val="24"/>
                <w:lang w:eastAsia="zh-CN"/>
              </w:rPr>
              <w:t>最大</w:t>
            </w:r>
            <w:r>
              <w:rPr>
                <w:rFonts w:ascii="Times New Roman" w:hAnsi="Times New Roman" w:eastAsia="宋体" w:cs="Times New Roman"/>
                <w:color w:val="auto"/>
                <w:spacing w:val="2"/>
                <w:sz w:val="24"/>
                <w:szCs w:val="24"/>
                <w:lang w:eastAsia="zh-CN"/>
              </w:rPr>
              <w:t>限度</w:t>
            </w:r>
            <w:r>
              <w:rPr>
                <w:rFonts w:hint="eastAsia" w:ascii="Times New Roman" w:hAnsi="Times New Roman" w:eastAsia="宋体" w:cs="Times New Roman"/>
                <w:color w:val="auto"/>
                <w:spacing w:val="2"/>
                <w:sz w:val="24"/>
                <w:szCs w:val="24"/>
                <w:lang w:eastAsia="zh-CN"/>
              </w:rPr>
              <w:t>地消除</w:t>
            </w:r>
            <w:r>
              <w:rPr>
                <w:rFonts w:ascii="Times New Roman" w:hAnsi="Times New Roman" w:eastAsia="宋体" w:cs="Times New Roman"/>
                <w:color w:val="auto"/>
                <w:spacing w:val="2"/>
                <w:sz w:val="24"/>
                <w:szCs w:val="24"/>
                <w:lang w:eastAsia="zh-CN"/>
              </w:rPr>
              <w:t xml:space="preserve">事故隐患，一旦发生事故应采取有效措施，降低因事故引起的损失和对环境的污染。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④</w:t>
            </w:r>
            <w:bookmarkStart w:id="41" w:name="_Hlk203642837"/>
            <w:r>
              <w:rPr>
                <w:rFonts w:ascii="Times New Roman" w:hAnsi="Times New Roman" w:eastAsia="宋体" w:cs="Times New Roman"/>
                <w:color w:val="auto"/>
                <w:spacing w:val="2"/>
                <w:sz w:val="24"/>
                <w:szCs w:val="24"/>
                <w:lang w:eastAsia="zh-CN"/>
              </w:rPr>
              <w:t>加强厂区的安全环保管理，对全厂职工进行安全环保的教育和培训，实行上岗证制度</w:t>
            </w:r>
            <w:bookmarkEnd w:id="41"/>
            <w:r>
              <w:rPr>
                <w:rFonts w:ascii="Times New Roman" w:hAnsi="Times New Roman" w:eastAsia="宋体" w:cs="Times New Roman"/>
                <w:color w:val="auto"/>
                <w:spacing w:val="2"/>
                <w:sz w:val="24"/>
                <w:szCs w:val="24"/>
                <w:lang w:eastAsia="zh-CN"/>
              </w:rPr>
              <w:t xml:space="preserve">。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 xml:space="preserve">⑤编制应急预案，并与当地的应急预案衔接，一旦出现事故可借助社会救援，使损失和对环境的污染降到最低。 </w:t>
            </w:r>
          </w:p>
          <w:p>
            <w:pPr>
              <w:widowControl w:val="0"/>
              <w:kinsoku/>
              <w:spacing w:line="360" w:lineRule="auto"/>
              <w:ind w:firstLine="480"/>
              <w:jc w:val="both"/>
              <w:rPr>
                <w:rFonts w:ascii="Times New Roman" w:hAnsi="Times New Roman" w:eastAsia="宋体" w:cs="Times New Roman"/>
                <w:color w:val="auto"/>
                <w:spacing w:val="2"/>
                <w:sz w:val="24"/>
                <w:szCs w:val="24"/>
                <w:lang w:eastAsia="zh-CN"/>
              </w:rPr>
            </w:pPr>
            <w:r>
              <w:rPr>
                <w:rFonts w:ascii="Times New Roman" w:hAnsi="Times New Roman" w:eastAsia="宋体" w:cs="Times New Roman"/>
                <w:color w:val="auto"/>
                <w:spacing w:val="2"/>
                <w:sz w:val="24"/>
                <w:szCs w:val="24"/>
                <w:lang w:eastAsia="zh-CN"/>
              </w:rPr>
              <w:t>⑥</w:t>
            </w:r>
            <w:bookmarkStart w:id="42" w:name="_Hlk203642850"/>
            <w:r>
              <w:rPr>
                <w:rFonts w:ascii="Times New Roman" w:hAnsi="Times New Roman" w:eastAsia="宋体" w:cs="Times New Roman"/>
                <w:color w:val="auto"/>
                <w:spacing w:val="2"/>
                <w:sz w:val="24"/>
                <w:szCs w:val="24"/>
                <w:lang w:eastAsia="zh-CN"/>
              </w:rPr>
              <w:t>危废暂存间加强巡查巡检，杜绝事故隐患</w:t>
            </w:r>
            <w:bookmarkEnd w:id="42"/>
            <w:r>
              <w:rPr>
                <w:rFonts w:ascii="Times New Roman" w:hAnsi="Times New Roman" w:eastAsia="宋体" w:cs="Times New Roman"/>
                <w:color w:val="auto"/>
                <w:spacing w:val="2"/>
                <w:sz w:val="24"/>
                <w:szCs w:val="24"/>
                <w:lang w:eastAsia="zh-CN"/>
              </w:rPr>
              <w:t xml:space="preserve">，降低事故发生概率； </w:t>
            </w:r>
          </w:p>
          <w:p>
            <w:pPr>
              <w:widowControl w:val="0"/>
              <w:kinsoku/>
              <w:spacing w:line="360" w:lineRule="auto"/>
              <w:ind w:firstLine="419" w:firstLineChars="172"/>
              <w:jc w:val="both"/>
              <w:rPr>
                <w:b/>
                <w:color w:val="auto"/>
                <w:sz w:val="24"/>
                <w:lang w:eastAsia="zh-CN"/>
              </w:rPr>
            </w:pPr>
            <w:r>
              <w:rPr>
                <w:rFonts w:ascii="Times New Roman" w:hAnsi="Times New Roman" w:eastAsia="宋体" w:cs="Times New Roman"/>
                <w:color w:val="auto"/>
                <w:spacing w:val="2"/>
                <w:sz w:val="24"/>
                <w:szCs w:val="24"/>
                <w:lang w:eastAsia="zh-CN"/>
              </w:rPr>
              <w:t>⑦明确24小时有效的内部、外部通讯联络手段。</w:t>
            </w:r>
          </w:p>
          <w:p>
            <w:pPr>
              <w:widowControl w:val="0"/>
              <w:kinsoku/>
              <w:spacing w:line="360" w:lineRule="auto"/>
              <w:ind w:firstLine="720" w:firstLineChars="300"/>
              <w:jc w:val="both"/>
              <w:rPr>
                <w:b/>
                <w:color w:val="auto"/>
                <w:sz w:val="24"/>
                <w:lang w:eastAsia="zh-CN"/>
              </w:rPr>
            </w:pPr>
            <w:r>
              <w:rPr>
                <w:rFonts w:hint="eastAsia"/>
                <w:b/>
                <w:color w:val="auto"/>
                <w:sz w:val="24"/>
                <w:lang w:eastAsia="zh-CN"/>
              </w:rPr>
              <w:t>2、</w:t>
            </w:r>
            <w:r>
              <w:rPr>
                <w:b/>
                <w:color w:val="auto"/>
                <w:sz w:val="24"/>
                <w:lang w:eastAsia="zh-CN"/>
              </w:rPr>
              <w:t>环境风险结论</w:t>
            </w:r>
          </w:p>
          <w:p>
            <w:pPr>
              <w:pStyle w:val="22"/>
              <w:widowControl w:val="0"/>
              <w:kinsoku/>
              <w:spacing w:before="186" w:line="350" w:lineRule="auto"/>
              <w:ind w:left="111" w:right="101" w:firstLine="477"/>
              <w:jc w:val="both"/>
              <w:rPr>
                <w:rFonts w:hint="eastAsia"/>
                <w:color w:val="auto"/>
                <w:spacing w:val="3"/>
                <w:lang w:eastAsia="zh-CN"/>
              </w:rPr>
            </w:pPr>
            <w:r>
              <w:rPr>
                <w:color w:val="auto"/>
                <w:spacing w:val="3"/>
                <w:lang w:eastAsia="zh-CN"/>
              </w:rPr>
              <w:t>为了在发生突发环境事件时，能够及时、有序、高效地实施抢险救援工作，最大限度地减少人员伤亡和财产损失，尽快恢复正常工作秩序，建设单位应按照《建设项目环境风险评价技术导则》的要求编制项目突发环境事件应急预案。</w:t>
            </w:r>
          </w:p>
          <w:p>
            <w:pPr>
              <w:pStyle w:val="22"/>
              <w:widowControl w:val="0"/>
              <w:kinsoku/>
              <w:spacing w:before="186" w:line="350" w:lineRule="auto"/>
              <w:ind w:left="111" w:right="101" w:firstLine="477"/>
              <w:jc w:val="both"/>
              <w:rPr>
                <w:rFonts w:hint="eastAsia"/>
                <w:color w:val="auto"/>
                <w:spacing w:val="3"/>
                <w:lang w:eastAsia="zh-CN"/>
              </w:rPr>
            </w:pPr>
            <w:r>
              <w:rPr>
                <w:color w:val="auto"/>
                <w:spacing w:val="3"/>
                <w:lang w:eastAsia="zh-CN"/>
              </w:rPr>
              <w:t>在严格落实应急措施后，可将风险发生的概率和影响后果降到最低限度。一旦发生事故，及时采取应急措施，可将对大气和地下水的影响降到最低限度，其风险水平可以被接受。</w:t>
            </w:r>
          </w:p>
          <w:p>
            <w:pPr>
              <w:pStyle w:val="22"/>
              <w:widowControl w:val="0"/>
              <w:kinsoku/>
              <w:spacing w:before="179" w:line="227" w:lineRule="auto"/>
              <w:ind w:left="2602"/>
              <w:jc w:val="both"/>
              <w:rPr>
                <w:rFonts w:hint="eastAsia"/>
                <w:color w:val="auto"/>
                <w:sz w:val="20"/>
                <w:szCs w:val="20"/>
                <w:lang w:eastAsia="zh-CN"/>
              </w:rPr>
            </w:pPr>
            <w:r>
              <w:rPr>
                <w:b/>
                <w:bCs/>
                <w:color w:val="auto"/>
                <w:spacing w:val="6"/>
                <w:sz w:val="20"/>
                <w:szCs w:val="20"/>
                <w:lang w:eastAsia="zh-CN"/>
              </w:rPr>
              <w:t>表</w:t>
            </w:r>
            <w:r>
              <w:rPr>
                <w:rFonts w:ascii="Times New Roman" w:hAnsi="Times New Roman" w:eastAsia="Times New Roman" w:cs="Times New Roman"/>
                <w:b/>
                <w:bCs/>
                <w:color w:val="auto"/>
                <w:spacing w:val="6"/>
                <w:sz w:val="20"/>
                <w:szCs w:val="20"/>
                <w:lang w:eastAsia="zh-CN"/>
              </w:rPr>
              <w:t>4-2</w:t>
            </w:r>
            <w:r>
              <w:rPr>
                <w:rFonts w:hint="eastAsia" w:ascii="Times New Roman" w:hAnsi="Times New Roman" w:eastAsia="Times New Roman" w:cs="Times New Roman"/>
                <w:b/>
                <w:bCs/>
                <w:color w:val="auto"/>
                <w:spacing w:val="6"/>
                <w:sz w:val="20"/>
                <w:szCs w:val="20"/>
                <w:lang w:eastAsia="zh-CN"/>
              </w:rPr>
              <w:t>0</w:t>
            </w:r>
            <w:r>
              <w:rPr>
                <w:b/>
                <w:bCs/>
                <w:color w:val="auto"/>
                <w:spacing w:val="6"/>
                <w:sz w:val="20"/>
                <w:szCs w:val="20"/>
                <w:lang w:eastAsia="zh-CN"/>
              </w:rPr>
              <w:t>建设项目环境风险简单分析内</w:t>
            </w:r>
            <w:r>
              <w:rPr>
                <w:b/>
                <w:bCs/>
                <w:color w:val="auto"/>
                <w:spacing w:val="5"/>
                <w:sz w:val="20"/>
                <w:szCs w:val="20"/>
                <w:lang w:eastAsia="zh-CN"/>
              </w:rPr>
              <w:t>容表</w:t>
            </w:r>
          </w:p>
          <w:p>
            <w:pPr>
              <w:widowControl w:val="0"/>
              <w:kinsoku/>
              <w:spacing w:line="132" w:lineRule="exact"/>
              <w:jc w:val="both"/>
              <w:rPr>
                <w:color w:val="auto"/>
                <w:lang w:eastAsia="zh-CN"/>
              </w:rPr>
            </w:pPr>
          </w:p>
          <w:tbl>
            <w:tblPr>
              <w:tblStyle w:val="21"/>
              <w:tblW w:w="8694"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4"/>
              <w:gridCol w:w="1415"/>
              <w:gridCol w:w="2458"/>
              <w:gridCol w:w="1314"/>
              <w:gridCol w:w="22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94" w:type="dxa"/>
                  <w:vAlign w:val="center"/>
                </w:tcPr>
                <w:p>
                  <w:pPr>
                    <w:kinsoku/>
                    <w:jc w:val="center"/>
                    <w:rPr>
                      <w:color w:val="auto"/>
                    </w:rPr>
                  </w:pPr>
                  <w:r>
                    <w:rPr>
                      <w:color w:val="auto"/>
                    </w:rPr>
                    <w:t>建设项目名称</w:t>
                  </w:r>
                </w:p>
              </w:tc>
              <w:tc>
                <w:tcPr>
                  <w:tcW w:w="7400" w:type="dxa"/>
                  <w:gridSpan w:val="4"/>
                  <w:vAlign w:val="center"/>
                </w:tcPr>
                <w:p>
                  <w:pPr>
                    <w:kinsoku/>
                    <w:jc w:val="center"/>
                    <w:rPr>
                      <w:color w:val="auto"/>
                      <w:lang w:eastAsia="zh-CN"/>
                    </w:rPr>
                  </w:pPr>
                  <w:r>
                    <w:rPr>
                      <w:rFonts w:hint="eastAsia"/>
                      <w:color w:val="auto"/>
                      <w:spacing w:val="-3"/>
                      <w:lang w:eastAsia="zh-CN"/>
                    </w:rPr>
                    <w:t>昆明福伦蒂家具制造有限公司年加工家具板8万平方项目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294" w:type="dxa"/>
                  <w:vAlign w:val="center"/>
                </w:tcPr>
                <w:p>
                  <w:pPr>
                    <w:kinsoku/>
                    <w:jc w:val="center"/>
                    <w:rPr>
                      <w:color w:val="auto"/>
                    </w:rPr>
                  </w:pPr>
                  <w:r>
                    <w:rPr>
                      <w:color w:val="auto"/>
                    </w:rPr>
                    <w:t>建设地点</w:t>
                  </w:r>
                </w:p>
              </w:tc>
              <w:tc>
                <w:tcPr>
                  <w:tcW w:w="1415" w:type="dxa"/>
                  <w:vAlign w:val="center"/>
                </w:tcPr>
                <w:p>
                  <w:pPr>
                    <w:kinsoku/>
                    <w:jc w:val="center"/>
                    <w:rPr>
                      <w:color w:val="auto"/>
                    </w:rPr>
                  </w:pPr>
                  <w:r>
                    <w:rPr>
                      <w:color w:val="auto"/>
                    </w:rPr>
                    <w:t>云南省</w:t>
                  </w:r>
                </w:p>
              </w:tc>
              <w:tc>
                <w:tcPr>
                  <w:tcW w:w="2458" w:type="dxa"/>
                  <w:vAlign w:val="center"/>
                </w:tcPr>
                <w:p>
                  <w:pPr>
                    <w:kinsoku/>
                    <w:jc w:val="center"/>
                    <w:rPr>
                      <w:color w:val="auto"/>
                    </w:rPr>
                  </w:pPr>
                  <w:r>
                    <w:rPr>
                      <w:color w:val="auto"/>
                    </w:rPr>
                    <w:t>昆明市</w:t>
                  </w:r>
                </w:p>
              </w:tc>
              <w:tc>
                <w:tcPr>
                  <w:tcW w:w="1314" w:type="dxa"/>
                  <w:vAlign w:val="center"/>
                </w:tcPr>
                <w:p>
                  <w:pPr>
                    <w:kinsoku/>
                    <w:jc w:val="center"/>
                    <w:rPr>
                      <w:color w:val="auto"/>
                    </w:rPr>
                  </w:pPr>
                  <w:r>
                    <w:rPr>
                      <w:color w:val="auto"/>
                    </w:rPr>
                    <w:t>嵩明县</w:t>
                  </w:r>
                </w:p>
              </w:tc>
              <w:tc>
                <w:tcPr>
                  <w:tcW w:w="2213" w:type="dxa"/>
                  <w:vAlign w:val="center"/>
                </w:tcPr>
                <w:p>
                  <w:pPr>
                    <w:kinsoku/>
                    <w:jc w:val="center"/>
                    <w:rPr>
                      <w:color w:val="auto"/>
                      <w:lang w:eastAsia="zh-CN"/>
                    </w:rPr>
                  </w:pPr>
                  <w:r>
                    <w:rPr>
                      <w:rFonts w:hint="eastAsia"/>
                      <w:color w:val="auto"/>
                      <w:lang w:eastAsia="zh-CN"/>
                    </w:rPr>
                    <w:t>云南嵩明杨林工业园区东环路68号附3号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4" w:type="dxa"/>
                  <w:vAlign w:val="center"/>
                </w:tcPr>
                <w:p>
                  <w:pPr>
                    <w:kinsoku/>
                    <w:jc w:val="center"/>
                    <w:rPr>
                      <w:color w:val="auto"/>
                    </w:rPr>
                  </w:pPr>
                  <w:r>
                    <w:rPr>
                      <w:rFonts w:hint="eastAsia"/>
                      <w:color w:val="auto"/>
                      <w:lang w:eastAsia="zh-CN"/>
                    </w:rPr>
                    <w:t>地理坐标</w:t>
                  </w:r>
                </w:p>
              </w:tc>
              <w:tc>
                <w:tcPr>
                  <w:tcW w:w="1415" w:type="dxa"/>
                  <w:vAlign w:val="center"/>
                </w:tcPr>
                <w:p>
                  <w:pPr>
                    <w:kinsoku/>
                    <w:jc w:val="center"/>
                    <w:rPr>
                      <w:color w:val="auto"/>
                    </w:rPr>
                  </w:pPr>
                  <w:r>
                    <w:rPr>
                      <w:rFonts w:hint="eastAsia"/>
                      <w:color w:val="auto"/>
                      <w:lang w:eastAsia="zh-CN"/>
                    </w:rPr>
                    <w:t>经度</w:t>
                  </w:r>
                </w:p>
              </w:tc>
              <w:tc>
                <w:tcPr>
                  <w:tcW w:w="2458" w:type="dxa"/>
                  <w:vAlign w:val="center"/>
                </w:tcPr>
                <w:p>
                  <w:pPr>
                    <w:kinsoku/>
                    <w:jc w:val="center"/>
                    <w:rPr>
                      <w:color w:val="auto"/>
                    </w:rPr>
                  </w:pPr>
                  <w:r>
                    <w:rPr>
                      <w:rFonts w:hint="eastAsia"/>
                      <w:color w:val="auto"/>
                      <w:lang w:eastAsia="zh-CN"/>
                    </w:rPr>
                    <w:t>东经</w:t>
                  </w:r>
                  <w:r>
                    <w:rPr>
                      <w:color w:val="auto"/>
                      <w:lang w:eastAsia="zh-CN"/>
                    </w:rPr>
                    <w:t>103°</w:t>
                  </w:r>
                  <w:r>
                    <w:rPr>
                      <w:rFonts w:hint="eastAsia"/>
                      <w:color w:val="auto"/>
                      <w:lang w:eastAsia="zh-CN"/>
                    </w:rPr>
                    <w:t>2</w:t>
                  </w:r>
                  <w:r>
                    <w:rPr>
                      <w:color w:val="auto"/>
                      <w:lang w:eastAsia="zh-CN"/>
                    </w:rPr>
                    <w:t>′</w:t>
                  </w:r>
                  <w:r>
                    <w:rPr>
                      <w:rFonts w:hint="eastAsia"/>
                      <w:color w:val="auto"/>
                      <w:lang w:eastAsia="zh-CN"/>
                    </w:rPr>
                    <w:t>34.221</w:t>
                  </w:r>
                  <w:r>
                    <w:rPr>
                      <w:color w:val="auto"/>
                      <w:lang w:eastAsia="zh-CN"/>
                    </w:rPr>
                    <w:t>″</w:t>
                  </w:r>
                </w:p>
              </w:tc>
              <w:tc>
                <w:tcPr>
                  <w:tcW w:w="1314" w:type="dxa"/>
                  <w:vAlign w:val="center"/>
                </w:tcPr>
                <w:p>
                  <w:pPr>
                    <w:kinsoku/>
                    <w:jc w:val="center"/>
                    <w:rPr>
                      <w:color w:val="auto"/>
                    </w:rPr>
                  </w:pPr>
                  <w:r>
                    <w:rPr>
                      <w:rFonts w:hint="eastAsia"/>
                      <w:color w:val="auto"/>
                      <w:lang w:eastAsia="zh-CN"/>
                    </w:rPr>
                    <w:t>纬度</w:t>
                  </w:r>
                </w:p>
              </w:tc>
              <w:tc>
                <w:tcPr>
                  <w:tcW w:w="2213" w:type="dxa"/>
                  <w:vAlign w:val="center"/>
                </w:tcPr>
                <w:p>
                  <w:pPr>
                    <w:kinsoku/>
                    <w:jc w:val="center"/>
                    <w:rPr>
                      <w:color w:val="auto"/>
                    </w:rPr>
                  </w:pPr>
                  <w:r>
                    <w:rPr>
                      <w:rFonts w:hint="eastAsia"/>
                      <w:color w:val="auto"/>
                      <w:lang w:eastAsia="zh-CN"/>
                    </w:rPr>
                    <w:t>北纬</w:t>
                  </w:r>
                  <w:r>
                    <w:rPr>
                      <w:color w:val="auto"/>
                      <w:lang w:eastAsia="zh-CN"/>
                    </w:rPr>
                    <w:t>25°1</w:t>
                  </w:r>
                  <w:r>
                    <w:rPr>
                      <w:rFonts w:hint="eastAsia"/>
                      <w:color w:val="auto"/>
                      <w:lang w:eastAsia="zh-CN"/>
                    </w:rPr>
                    <w:t>4</w:t>
                  </w:r>
                  <w:r>
                    <w:rPr>
                      <w:color w:val="auto"/>
                      <w:lang w:eastAsia="zh-CN"/>
                    </w:rPr>
                    <w:t>′</w:t>
                  </w:r>
                  <w:r>
                    <w:rPr>
                      <w:rFonts w:hint="eastAsia"/>
                      <w:color w:val="auto"/>
                      <w:lang w:eastAsia="zh-CN"/>
                    </w:rPr>
                    <w:t>43.459</w:t>
                  </w:r>
                  <w:r>
                    <w:rPr>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4" w:type="dxa"/>
                  <w:vAlign w:val="center"/>
                </w:tcPr>
                <w:p>
                  <w:pPr>
                    <w:kinsoku/>
                    <w:jc w:val="center"/>
                    <w:rPr>
                      <w:color w:val="auto"/>
                      <w:lang w:eastAsia="zh-CN"/>
                    </w:rPr>
                  </w:pPr>
                  <w:r>
                    <w:rPr>
                      <w:rFonts w:hint="eastAsia"/>
                      <w:color w:val="auto"/>
                      <w:lang w:eastAsia="zh-CN"/>
                    </w:rPr>
                    <w:t>主要危险物质及分布</w:t>
                  </w:r>
                </w:p>
              </w:tc>
              <w:tc>
                <w:tcPr>
                  <w:tcW w:w="7400" w:type="dxa"/>
                  <w:gridSpan w:val="4"/>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废</w:t>
                  </w:r>
                  <w:r>
                    <w:rPr>
                      <w:rFonts w:hint="eastAsia" w:ascii="Times New Roman" w:hAnsi="Times New Roman" w:eastAsia="宋体" w:cs="Times New Roman"/>
                      <w:color w:val="auto"/>
                      <w:lang w:val="en-US" w:eastAsia="zh-CN"/>
                    </w:rPr>
                    <w:t>润滑油</w:t>
                  </w:r>
                  <w:r>
                    <w:rPr>
                      <w:rFonts w:ascii="Times New Roman" w:hAnsi="Times New Roman" w:eastAsia="宋体" w:cs="Times New Roman"/>
                      <w:color w:val="auto"/>
                      <w:lang w:eastAsia="zh-CN"/>
                    </w:rPr>
                    <w:t>分布在危废暂存间。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1294" w:type="dxa"/>
                  <w:vAlign w:val="center"/>
                </w:tcPr>
                <w:p>
                  <w:pPr>
                    <w:kinsoku/>
                    <w:jc w:val="center"/>
                    <w:rPr>
                      <w:color w:val="auto"/>
                      <w:lang w:eastAsia="zh-CN"/>
                    </w:rPr>
                  </w:pPr>
                  <w:r>
                    <w:rPr>
                      <w:rFonts w:hint="eastAsia"/>
                      <w:color w:val="auto"/>
                      <w:lang w:eastAsia="zh-CN"/>
                    </w:rPr>
                    <w:t>环境影响途径及危害后果</w:t>
                  </w:r>
                </w:p>
              </w:tc>
              <w:tc>
                <w:tcPr>
                  <w:tcW w:w="7400" w:type="dxa"/>
                  <w:gridSpan w:val="4"/>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大气：废气处理系统出现故障可能导致废气的非正常排放，废气收集管道发生泄漏，污染物直接排入空气中，超标排放，对局部空气环境质量造成不良影响。</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危废仓库的废料意外泄漏，若</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四防</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措施不到位，泄漏物将影响外环境并通过地面渗漏进而影响土壤和地下水。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4" w:type="dxa"/>
                  <w:vAlign w:val="center"/>
                </w:tcPr>
                <w:p>
                  <w:pPr>
                    <w:kinsoku/>
                    <w:jc w:val="center"/>
                    <w:rPr>
                      <w:color w:val="auto"/>
                      <w:lang w:eastAsia="zh-CN"/>
                    </w:rPr>
                  </w:pPr>
                  <w:r>
                    <w:rPr>
                      <w:rFonts w:hint="eastAsia"/>
                      <w:color w:val="auto"/>
                      <w:lang w:eastAsia="zh-CN"/>
                    </w:rPr>
                    <w:t>风险防范措施要求</w:t>
                  </w:r>
                </w:p>
              </w:tc>
              <w:tc>
                <w:tcPr>
                  <w:tcW w:w="7400" w:type="dxa"/>
                  <w:gridSpan w:val="4"/>
                  <w:shd w:val="clear" w:color="auto" w:fill="auto"/>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风险防范措施主要有：</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（1）建立健全各种有关消防与安全生产的规章制度，建立岗位责任制。仓库、生产车间严禁明火。</w:t>
                  </w:r>
                  <w:bookmarkStart w:id="43" w:name="_Hlk203642897"/>
                  <w:r>
                    <w:rPr>
                      <w:rFonts w:ascii="Times New Roman" w:hAnsi="Times New Roman" w:eastAsia="宋体" w:cs="Times New Roman"/>
                      <w:color w:val="auto"/>
                      <w:lang w:eastAsia="zh-CN"/>
                    </w:rPr>
                    <w:t>生产车间、仓库等场所配置足量的泡沫、干粉等灭火器</w:t>
                  </w:r>
                  <w:bookmarkEnd w:id="43"/>
                  <w:r>
                    <w:rPr>
                      <w:rFonts w:ascii="Times New Roman" w:hAnsi="Times New Roman" w:eastAsia="宋体" w:cs="Times New Roman"/>
                      <w:color w:val="auto"/>
                      <w:lang w:eastAsia="zh-CN"/>
                    </w:rPr>
                    <w:t>，并保持完好状态。</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ascii="Times New Roman" w:hAnsi="Times New Roman" w:eastAsia="宋体" w:cs="Times New Roman"/>
                      <w:color w:val="auto"/>
                      <w:lang w:eastAsia="zh-CN" w:bidi="ar"/>
                    </w:rPr>
                    <w:t>所有电气设备需有可靠接地。</w:t>
                  </w:r>
                  <w:bookmarkStart w:id="44" w:name="_Hlk203642868"/>
                  <w:r>
                    <w:rPr>
                      <w:rFonts w:ascii="Times New Roman" w:hAnsi="Times New Roman" w:eastAsia="宋体" w:cs="Times New Roman"/>
                      <w:color w:val="auto"/>
                      <w:lang w:eastAsia="zh-CN" w:bidi="ar"/>
                    </w:rPr>
                    <w:t>生产车间禁止明烟明火</w:t>
                  </w:r>
                  <w:bookmarkEnd w:id="44"/>
                  <w:r>
                    <w:rPr>
                      <w:rFonts w:ascii="Times New Roman" w:hAnsi="Times New Roman" w:eastAsia="宋体" w:cs="Times New Roman"/>
                      <w:color w:val="auto"/>
                      <w:lang w:eastAsia="zh-CN" w:bidi="ar"/>
                    </w:rPr>
                    <w:t>，认真严格落实相关安全生产措施及消防措施。</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厂区留有足够的消防通道。定期对员工进行消防知识及消防用具使用的培训和训练。进行应急演练，制定应急预案，一旦发生火灾，立即做出应急反应。</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危废暂存间由专人管理，严禁无关人员进入。贮存过程拟在液态危险废物贮存容器下方设置托盘，发生少量泄漏立即将容器内剩余溶液转移，并收集托盘内漏液体，防止泄漏物料挥发到大气中或撒漏在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94" w:type="dxa"/>
                  <w:gridSpan w:val="5"/>
                  <w:vAlign w:val="center"/>
                </w:tcPr>
                <w:p>
                  <w:pPr>
                    <w:kinsoku/>
                    <w:rPr>
                      <w:color w:val="auto"/>
                      <w:lang w:eastAsia="zh-CN"/>
                    </w:rPr>
                  </w:pPr>
                  <w:r>
                    <w:rPr>
                      <w:rFonts w:hint="eastAsia"/>
                      <w:color w:val="auto"/>
                      <w:lang w:eastAsia="zh-CN"/>
                    </w:rPr>
                    <w:t>填表说明（列出项目相关信息及评价说明）：无</w:t>
                  </w:r>
                </w:p>
              </w:tc>
            </w:tr>
          </w:tbl>
          <w:p>
            <w:pPr>
              <w:pStyle w:val="22"/>
              <w:widowControl w:val="0"/>
              <w:kinsoku/>
              <w:spacing w:before="34" w:line="360" w:lineRule="auto"/>
              <w:ind w:left="597"/>
              <w:jc w:val="both"/>
              <w:rPr>
                <w:rFonts w:ascii="Times New Roman" w:hAnsi="Times New Roman" w:cs="Times New Roman"/>
                <w:color w:val="auto"/>
                <w:lang w:eastAsia="zh-CN"/>
              </w:rPr>
            </w:pPr>
            <w:r>
              <w:rPr>
                <w:rFonts w:hint="eastAsia" w:ascii="Times New Roman" w:hAnsi="Times New Roman" w:cs="Times New Roman"/>
                <w:b/>
                <w:bCs/>
                <w:color w:val="auto"/>
                <w:spacing w:val="-6"/>
                <w:lang w:eastAsia="zh-CN"/>
              </w:rPr>
              <w:t>六</w:t>
            </w:r>
            <w:r>
              <w:rPr>
                <w:rFonts w:ascii="Times New Roman" w:hAnsi="Times New Roman" w:cs="Times New Roman"/>
                <w:b/>
                <w:bCs/>
                <w:color w:val="auto"/>
                <w:spacing w:val="-6"/>
                <w:lang w:eastAsia="zh-CN"/>
              </w:rPr>
              <w:t>、</w:t>
            </w:r>
            <w:r>
              <w:rPr>
                <w:b/>
                <w:bCs/>
                <w:color w:val="auto"/>
                <w:spacing w:val="-5"/>
                <w:lang w:eastAsia="zh-CN"/>
              </w:rPr>
              <w:t>地下水</w:t>
            </w:r>
            <w:r>
              <w:rPr>
                <w:rFonts w:hint="eastAsia"/>
                <w:b/>
                <w:bCs/>
                <w:color w:val="auto"/>
                <w:spacing w:val="-5"/>
                <w:lang w:eastAsia="zh-CN"/>
              </w:rPr>
              <w:t>、</w:t>
            </w:r>
            <w:r>
              <w:rPr>
                <w:rFonts w:ascii="Times New Roman" w:hAnsi="Times New Roman" w:cs="Times New Roman"/>
                <w:b/>
                <w:bCs/>
                <w:color w:val="auto"/>
                <w:spacing w:val="-6"/>
                <w:lang w:eastAsia="zh-CN"/>
              </w:rPr>
              <w:t>土壤环境影响分析</w:t>
            </w:r>
          </w:p>
          <w:p>
            <w:pPr>
              <w:widowControl/>
              <w:spacing w:line="360" w:lineRule="auto"/>
              <w:ind w:firstLine="420" w:firstLineChars="175"/>
              <w:jc w:val="lef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本项目地下水及土壤主要污染物为废活性炭、废</w:t>
            </w:r>
            <w:r>
              <w:rPr>
                <w:rFonts w:hint="eastAsia" w:ascii="Times New Roman" w:hAnsi="Times New Roman" w:eastAsia="宋体" w:cs="Times New Roman"/>
                <w:color w:val="auto"/>
                <w:sz w:val="24"/>
                <w:szCs w:val="24"/>
                <w:lang w:val="en-US" w:eastAsia="zh-CN"/>
              </w:rPr>
              <w:t>润滑油</w:t>
            </w:r>
            <w:r>
              <w:rPr>
                <w:rFonts w:ascii="Times New Roman" w:hAnsi="Times New Roman" w:eastAsia="宋体" w:cs="Times New Roman"/>
                <w:color w:val="auto"/>
                <w:sz w:val="24"/>
                <w:szCs w:val="24"/>
                <w:lang w:eastAsia="zh-CN"/>
              </w:rPr>
              <w:t>、废含油棉纱、手套。项目位于云南省昆明市嵩明县杨林经开区东环路东侧，景观大道北侧，周边地下水、土壤环境不敏感。按照《环境影响评价技术导则地下水环境》（HJ610-2016）要求，地下水环境保护措施及对策应按照“源头控制、分区防控、污染监控、应急响应”相结合的原则，从污染的产生、入渗、扩散、应急响应全阶段进行控制，对厂区进行分区治理。厂房地面已进行硬化处理，项目建成后应根据危险废物的形态、物理化学性质、包装形式等，采取防渗、防漏等污染防治措施或采用具有相应功能的装置，可以有效防止液态危险废物泄漏。正常情况下不会发生泄漏，建议企业加强日常管理，定期检查危险废物贮存容器及管理台账。本项目无土壤、地下水污染途径，不需要进行地下水、土壤跟踪监测。</w:t>
            </w:r>
          </w:p>
          <w:p>
            <w:pPr>
              <w:pStyle w:val="39"/>
              <w:widowControl w:val="0"/>
              <w:numPr>
                <w:ilvl w:val="0"/>
                <w:numId w:val="0"/>
              </w:numPr>
              <w:kinsoku/>
              <w:spacing w:before="120" w:line="360" w:lineRule="auto"/>
              <w:ind w:firstLine="420" w:firstLineChars="175"/>
              <w:jc w:val="left"/>
              <w:rPr>
                <w:rFonts w:ascii="Times New Roman" w:hAnsi="Times New Roman" w:eastAsia="宋体" w:cs="Times New Roman"/>
                <w:color w:val="auto"/>
                <w:szCs w:val="24"/>
                <w:lang w:eastAsia="zh-CN"/>
              </w:rPr>
            </w:pPr>
            <w:r>
              <w:rPr>
                <w:rFonts w:ascii="Times New Roman" w:hAnsi="Times New Roman" w:eastAsia="宋体" w:cs="Times New Roman"/>
                <w:color w:val="auto"/>
                <w:szCs w:val="24"/>
                <w:lang w:eastAsia="zh-CN"/>
              </w:rPr>
              <w:t>根据《危险废物贮存污染控制标准》（GB18597-2023）等相关技术规范对危险废物贮存区域防渗要求，项目贮存区分区防渗情况见下表。</w:t>
            </w:r>
            <w:bookmarkStart w:id="45" w:name="_Hlk136597644"/>
          </w:p>
          <w:p>
            <w:pPr>
              <w:pStyle w:val="39"/>
              <w:widowControl w:val="0"/>
              <w:numPr>
                <w:ilvl w:val="0"/>
                <w:numId w:val="0"/>
              </w:numPr>
              <w:kinsoku/>
              <w:spacing w:before="120"/>
              <w:ind w:left="420"/>
              <w:rPr>
                <w:rFonts w:cs="Times New Roman"/>
                <w:b/>
                <w:color w:val="auto"/>
                <w:sz w:val="21"/>
                <w:lang w:eastAsia="zh-CN"/>
              </w:rPr>
            </w:pPr>
            <w:r>
              <w:rPr>
                <w:rFonts w:hint="eastAsia" w:cs="Times New Roman"/>
                <w:b/>
                <w:color w:val="auto"/>
                <w:sz w:val="21"/>
                <w:lang w:eastAsia="zh-CN"/>
              </w:rPr>
              <w:t>表4-21项目区分区防渗情况一览表</w:t>
            </w:r>
          </w:p>
          <w:bookmarkEnd w:id="45"/>
          <w:tbl>
            <w:tblPr>
              <w:tblStyle w:val="17"/>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rPr>
                    <w:t>防渗区域</w:t>
                  </w:r>
                </w:p>
              </w:tc>
              <w:tc>
                <w:tcPr>
                  <w:tcW w:w="6818" w:type="dxa"/>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危废暂存间</w:t>
                  </w:r>
                </w:p>
              </w:tc>
              <w:tc>
                <w:tcPr>
                  <w:tcW w:w="6818"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重点防渗区，危险废物暂存间地面为硬化地面，且防渗、表面无裂隙：地面应采用2mm厚的高密度聚乙烯或其他人工材料进行防渗处理</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渗透系数满足≤10</w:t>
                  </w:r>
                  <w:r>
                    <w:rPr>
                      <w:rFonts w:ascii="Times New Roman" w:hAnsi="Times New Roman" w:eastAsia="宋体" w:cs="Times New Roman"/>
                      <w:color w:val="auto"/>
                      <w:vertAlign w:val="superscript"/>
                      <w:lang w:eastAsia="zh-CN"/>
                    </w:rPr>
                    <w:t>-10</w:t>
                  </w:r>
                  <w:r>
                    <w:rPr>
                      <w:rFonts w:ascii="Times New Roman" w:hAnsi="Times New Roman" w:eastAsia="宋体" w:cs="Times New Roman"/>
                      <w:color w:val="auto"/>
                      <w:lang w:eastAsia="zh-CN"/>
                    </w:rPr>
                    <w:t>cm/s</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危险废物暂存间设置有安全照明设施。</w:t>
                  </w:r>
                </w:p>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满足《危险废物贮存污染控制标准》的相关要求。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vAlign w:val="center"/>
                </w:tcPr>
                <w:p>
                  <w:pPr>
                    <w:widowControl w:val="0"/>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生产区域、封边胶库房</w:t>
                  </w:r>
                </w:p>
              </w:tc>
              <w:tc>
                <w:tcPr>
                  <w:tcW w:w="6818" w:type="dxa"/>
                  <w:vAlign w:val="center"/>
                </w:tcPr>
                <w:p>
                  <w:pPr>
                    <w:pStyle w:val="42"/>
                    <w:widowControl w:val="0"/>
                    <w:numPr>
                      <w:ilvl w:val="0"/>
                      <w:numId w:val="0"/>
                    </w:numPr>
                    <w:kinsoku/>
                    <w:jc w:val="center"/>
                    <w:rPr>
                      <w:rFonts w:ascii="Times New Roman" w:hAnsi="Times New Roman" w:eastAsia="宋体" w:cs="Times New Roman"/>
                      <w:color w:val="auto"/>
                      <w:szCs w:val="21"/>
                      <w:lang w:eastAsia="zh-CN"/>
                    </w:rPr>
                  </w:pPr>
                  <w:r>
                    <w:rPr>
                      <w:rFonts w:ascii="Times New Roman" w:hAnsi="Times New Roman" w:eastAsia="宋体" w:cs="Times New Roman"/>
                      <w:color w:val="auto"/>
                      <w:lang w:eastAsia="zh-CN"/>
                    </w:rPr>
                    <w:t>项目租赁厂房已完成地面硬化</w:t>
                  </w:r>
                </w:p>
              </w:tc>
            </w:tr>
          </w:tbl>
          <w:p>
            <w:pPr>
              <w:widowControl w:val="0"/>
              <w:kinsoku/>
              <w:jc w:val="both"/>
              <w:rPr>
                <w:color w:val="auto"/>
                <w:lang w:eastAsia="zh-CN"/>
              </w:rPr>
            </w:pPr>
          </w:p>
        </w:tc>
      </w:tr>
    </w:tbl>
    <w:p>
      <w:pPr>
        <w:kinsoku/>
        <w:rPr>
          <w:color w:val="auto"/>
          <w:lang w:eastAsia="zh-CN"/>
        </w:rPr>
        <w:sectPr>
          <w:pgSz w:w="11907" w:h="16840"/>
          <w:pgMar w:top="1404" w:right="1341" w:bottom="1014" w:left="1341" w:header="0" w:footer="852" w:gutter="0"/>
          <w:cols w:space="720" w:num="1"/>
        </w:sectPr>
      </w:pPr>
    </w:p>
    <w:p>
      <w:pPr>
        <w:numPr>
          <w:ilvl w:val="0"/>
          <w:numId w:val="8"/>
        </w:numPr>
        <w:kinsoku/>
        <w:spacing w:before="60" w:line="219" w:lineRule="auto"/>
        <w:ind w:left="2557"/>
        <w:outlineLvl w:val="0"/>
        <w:rPr>
          <w:rFonts w:hint="eastAsia" w:ascii="宋体" w:hAnsi="宋体" w:eastAsia="宋体" w:cs="宋体"/>
          <w:b/>
          <w:bCs/>
          <w:color w:val="auto"/>
          <w:spacing w:val="-4"/>
          <w:sz w:val="30"/>
          <w:szCs w:val="30"/>
          <w:lang w:eastAsia="zh-CN"/>
        </w:rPr>
      </w:pPr>
      <w:bookmarkStart w:id="46" w:name="bookmark9"/>
      <w:bookmarkEnd w:id="46"/>
      <w:bookmarkStart w:id="47" w:name="_Toc24693"/>
      <w:r>
        <w:rPr>
          <w:rFonts w:ascii="宋体" w:hAnsi="宋体" w:eastAsia="宋体" w:cs="宋体"/>
          <w:b/>
          <w:bCs/>
          <w:color w:val="auto"/>
          <w:spacing w:val="-4"/>
          <w:sz w:val="30"/>
          <w:szCs w:val="30"/>
          <w:lang w:eastAsia="zh-CN"/>
        </w:rPr>
        <w:t>环境保护措施监督检查清单</w:t>
      </w:r>
      <w:bookmarkEnd w:id="47"/>
    </w:p>
    <w:tbl>
      <w:tblPr>
        <w:tblStyle w:val="21"/>
        <w:tblW w:w="8806"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2"/>
        <w:gridCol w:w="1745"/>
        <w:gridCol w:w="1487"/>
        <w:gridCol w:w="18"/>
        <w:gridCol w:w="1959"/>
        <w:gridCol w:w="23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202" w:type="dxa"/>
            <w:tcBorders>
              <w:top w:val="single" w:color="000000" w:sz="6" w:space="0"/>
              <w:left w:val="single" w:color="000000" w:sz="6" w:space="0"/>
              <w:bottom w:val="single" w:color="auto" w:sz="4" w:space="0"/>
              <w:tl2br w:val="single" w:color="000000" w:sz="2" w:space="0"/>
            </w:tcBorders>
            <w:vAlign w:val="center"/>
          </w:tcPr>
          <w:p>
            <w:pPr>
              <w:kinsoku/>
              <w:jc w:val="right"/>
              <w:rPr>
                <w:rFonts w:ascii="Times New Roman" w:hAnsi="Times New Roman" w:eastAsia="宋体" w:cs="Times New Roman"/>
                <w:color w:val="auto"/>
                <w:lang w:eastAsia="zh-CN"/>
              </w:rPr>
            </w:pPr>
            <w:r>
              <w:rPr>
                <w:rFonts w:ascii="Times New Roman" w:hAnsi="Times New Roman" w:eastAsia="宋体" w:cs="Times New Roman"/>
                <w:color w:val="auto"/>
                <w:lang w:eastAsia="zh-CN"/>
              </w:rPr>
              <w:t>内容</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要素</w:t>
            </w:r>
          </w:p>
        </w:tc>
        <w:tc>
          <w:tcPr>
            <w:tcW w:w="1745" w:type="dxa"/>
            <w:tcBorders>
              <w:top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排放口(编号、名称)/污染源</w:t>
            </w:r>
          </w:p>
        </w:tc>
        <w:tc>
          <w:tcPr>
            <w:tcW w:w="1487" w:type="dxa"/>
            <w:tcBorders>
              <w:top w:val="single" w:color="000000" w:sz="6" w:space="0"/>
              <w:righ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污染物项目</w:t>
            </w:r>
          </w:p>
        </w:tc>
        <w:tc>
          <w:tcPr>
            <w:tcW w:w="1977" w:type="dxa"/>
            <w:gridSpan w:val="2"/>
            <w:tcBorders>
              <w:top w:val="single" w:color="000000" w:sz="6" w:space="0"/>
              <w:lef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环境保护措施</w:t>
            </w:r>
          </w:p>
        </w:tc>
        <w:tc>
          <w:tcPr>
            <w:tcW w:w="2395" w:type="dxa"/>
            <w:tcBorders>
              <w:top w:val="single" w:color="000000" w:sz="6" w:space="0"/>
              <w:righ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202" w:type="dxa"/>
            <w:vMerge w:val="restart"/>
            <w:tcBorders>
              <w:top w:val="single" w:color="auto" w:sz="4" w:space="0"/>
              <w:left w:val="single" w:color="auto" w:sz="4" w:space="0"/>
              <w:right w:val="single" w:color="auto"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大气环境</w:t>
            </w:r>
          </w:p>
        </w:tc>
        <w:tc>
          <w:tcPr>
            <w:tcW w:w="1745" w:type="dxa"/>
            <w:tcBorders>
              <w:lef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机加工中央收尘系统废气排放口（DA001）</w:t>
            </w:r>
          </w:p>
        </w:tc>
        <w:tc>
          <w:tcPr>
            <w:tcW w:w="1487" w:type="dxa"/>
            <w:tcBorders>
              <w:righ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颗粒物</w:t>
            </w:r>
          </w:p>
        </w:tc>
        <w:tc>
          <w:tcPr>
            <w:tcW w:w="1977" w:type="dxa"/>
            <w:gridSpan w:val="2"/>
            <w:tcBorders>
              <w:lef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设备自带吸尘管及设备上方集气罩</w:t>
            </w:r>
            <w:r>
              <w:rPr>
                <w:rFonts w:hint="eastAsia" w:ascii="Times New Roman" w:hAnsi="Times New Roman" w:eastAsia="宋体" w:cs="Times New Roman"/>
                <w:color w:val="auto"/>
                <w:lang w:eastAsia="zh-CN"/>
              </w:rPr>
              <w:t>+收尘管</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中央除尘系统+15m高排气筒</w:t>
            </w:r>
            <w:r>
              <w:rPr>
                <w:rFonts w:hint="eastAsia" w:ascii="Times New Roman" w:hAnsi="Times New Roman" w:eastAsia="宋体" w:cs="Times New Roman"/>
                <w:color w:val="auto"/>
                <w:lang w:eastAsia="zh-CN"/>
              </w:rPr>
              <w:t>”</w:t>
            </w:r>
          </w:p>
        </w:tc>
        <w:tc>
          <w:tcPr>
            <w:tcW w:w="2395" w:type="dxa"/>
            <w:vMerge w:val="restart"/>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执行《大气污染物综合排放标准》（GB16297-1996）二级标准限值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202" w:type="dxa"/>
            <w:vMerge w:val="continue"/>
            <w:tcBorders>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c>
          <w:tcPr>
            <w:tcW w:w="1745" w:type="dxa"/>
            <w:tcBorders>
              <w:lef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封边废气排放口（DA002）</w:t>
            </w:r>
          </w:p>
        </w:tc>
        <w:tc>
          <w:tcPr>
            <w:tcW w:w="1487" w:type="dxa"/>
            <w:tcBorders>
              <w:righ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VOCs</w:t>
            </w:r>
          </w:p>
        </w:tc>
        <w:tc>
          <w:tcPr>
            <w:tcW w:w="1977" w:type="dxa"/>
            <w:gridSpan w:val="2"/>
            <w:tcBorders>
              <w:left w:val="single" w:color="000000" w:sz="4" w:space="0"/>
            </w:tcBorders>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与</w:t>
            </w:r>
            <w:r>
              <w:rPr>
                <w:rFonts w:hint="eastAsia" w:ascii="Times New Roman" w:hAnsi="Times New Roman" w:eastAsia="宋体" w:cs="Times New Roman"/>
                <w:color w:val="auto"/>
                <w:lang w:val="en-US" w:eastAsia="zh-CN"/>
              </w:rPr>
              <w:t>盖板式</w:t>
            </w:r>
            <w:r>
              <w:rPr>
                <w:rFonts w:hint="eastAsia" w:ascii="Times New Roman" w:hAnsi="Times New Roman" w:eastAsia="宋体" w:cs="Times New Roman"/>
                <w:color w:val="auto"/>
                <w:lang w:eastAsia="zh-CN"/>
              </w:rPr>
              <w:t>设备紧密相连的集气管道</w:t>
            </w:r>
            <w:r>
              <w:rPr>
                <w:rFonts w:hint="eastAsia" w:ascii="Times New Roman" w:hAnsi="Times New Roman" w:eastAsia="宋体" w:cs="Times New Roman"/>
                <w:color w:val="auto"/>
                <w:lang w:val="en-US" w:eastAsia="zh-CN"/>
              </w:rPr>
              <w:t>+微负压</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二级活性炭吸附</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+15m高排气筒</w:t>
            </w:r>
          </w:p>
        </w:tc>
        <w:tc>
          <w:tcPr>
            <w:tcW w:w="2395" w:type="dxa"/>
            <w:vMerge w:val="continue"/>
            <w:tcBorders>
              <w:right w:val="single" w:color="000000" w:sz="6" w:space="0"/>
            </w:tcBorders>
            <w:vAlign w:val="center"/>
          </w:tcPr>
          <w:p>
            <w:pPr>
              <w:kinsoku/>
              <w:jc w:val="center"/>
              <w:rPr>
                <w:rFonts w:ascii="Times New Roman" w:hAnsi="Times New Roman" w:eastAsia="宋体" w:cs="Times New Roman"/>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202" w:type="dxa"/>
            <w:vMerge w:val="continue"/>
            <w:tcBorders>
              <w:left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c>
          <w:tcPr>
            <w:tcW w:w="1745" w:type="dxa"/>
            <w:vMerge w:val="restart"/>
            <w:tcBorders>
              <w:lef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无组织废气</w:t>
            </w:r>
          </w:p>
        </w:tc>
        <w:tc>
          <w:tcPr>
            <w:tcW w:w="1487" w:type="dxa"/>
            <w:tcBorders>
              <w:bottom w:val="single" w:color="auto"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1977" w:type="dxa"/>
            <w:gridSpan w:val="2"/>
            <w:tcBorders>
              <w:left w:val="single" w:color="000000" w:sz="4" w:space="0"/>
              <w:bottom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厂房阻隔</w:t>
            </w:r>
          </w:p>
        </w:tc>
        <w:tc>
          <w:tcPr>
            <w:tcW w:w="2395" w:type="dxa"/>
            <w:vMerge w:val="restart"/>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执行《大气污染物综合排放标准》（GB16297-1996）二级标准限值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02" w:type="dxa"/>
            <w:vMerge w:val="continue"/>
            <w:tcBorders>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c>
          <w:tcPr>
            <w:tcW w:w="1745" w:type="dxa"/>
            <w:vMerge w:val="continue"/>
            <w:tcBorders>
              <w:left w:val="single" w:color="auto" w:sz="4" w:space="0"/>
            </w:tcBorders>
            <w:vAlign w:val="center"/>
          </w:tcPr>
          <w:p>
            <w:pPr>
              <w:kinsoku/>
              <w:jc w:val="center"/>
              <w:rPr>
                <w:rFonts w:ascii="Times New Roman" w:hAnsi="Times New Roman" w:eastAsia="宋体" w:cs="Times New Roman"/>
                <w:color w:val="auto"/>
                <w:lang w:eastAsia="zh-CN"/>
              </w:rPr>
            </w:pPr>
          </w:p>
        </w:tc>
        <w:tc>
          <w:tcPr>
            <w:tcW w:w="1487" w:type="dxa"/>
            <w:tcBorders>
              <w:top w:val="single" w:color="auto" w:sz="4" w:space="0"/>
              <w:bottom w:val="single" w:color="auto" w:sz="4" w:space="0"/>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rPr>
              <w:t>VOCs</w:t>
            </w:r>
          </w:p>
        </w:tc>
        <w:tc>
          <w:tcPr>
            <w:tcW w:w="1977" w:type="dxa"/>
            <w:gridSpan w:val="2"/>
            <w:tcBorders>
              <w:top w:val="single" w:color="auto" w:sz="4" w:space="0"/>
              <w:left w:val="single" w:color="000000" w:sz="4" w:space="0"/>
              <w:bottom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加强通风</w:t>
            </w:r>
          </w:p>
        </w:tc>
        <w:tc>
          <w:tcPr>
            <w:tcW w:w="2395" w:type="dxa"/>
            <w:vMerge w:val="continue"/>
            <w:tcBorders>
              <w:bottom w:val="single" w:color="auto" w:sz="4" w:space="0"/>
              <w:right w:val="single" w:color="000000" w:sz="6" w:space="0"/>
            </w:tcBorders>
            <w:vAlign w:val="center"/>
          </w:tcPr>
          <w:p>
            <w:pPr>
              <w:kinsoku/>
              <w:jc w:val="center"/>
              <w:rPr>
                <w:rFonts w:ascii="Times New Roman" w:hAnsi="Times New Roman" w:eastAsia="宋体" w:cs="Times New Roman"/>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02" w:type="dxa"/>
            <w:vMerge w:val="continue"/>
            <w:tcBorders>
              <w:left w:val="single" w:color="auto" w:sz="4" w:space="0"/>
              <w:bottom w:val="single" w:color="auto" w:sz="4" w:space="0"/>
              <w:right w:val="single" w:color="auto" w:sz="4" w:space="0"/>
            </w:tcBorders>
            <w:vAlign w:val="center"/>
          </w:tcPr>
          <w:p>
            <w:pPr>
              <w:kinsoku/>
              <w:jc w:val="center"/>
              <w:rPr>
                <w:rFonts w:ascii="Times New Roman" w:hAnsi="Times New Roman" w:eastAsia="宋体" w:cs="Times New Roman"/>
                <w:color w:val="auto"/>
                <w:lang w:eastAsia="zh-CN"/>
              </w:rPr>
            </w:pPr>
          </w:p>
        </w:tc>
        <w:tc>
          <w:tcPr>
            <w:tcW w:w="1745" w:type="dxa"/>
            <w:vMerge w:val="continue"/>
            <w:tcBorders>
              <w:left w:val="single" w:color="auto" w:sz="4" w:space="0"/>
            </w:tcBorders>
            <w:vAlign w:val="center"/>
          </w:tcPr>
          <w:p>
            <w:pPr>
              <w:kinsoku/>
              <w:jc w:val="center"/>
              <w:rPr>
                <w:rFonts w:ascii="Times New Roman" w:hAnsi="Times New Roman" w:eastAsia="宋体" w:cs="Times New Roman"/>
                <w:color w:val="auto"/>
                <w:lang w:eastAsia="zh-CN"/>
              </w:rPr>
            </w:pPr>
          </w:p>
        </w:tc>
        <w:tc>
          <w:tcPr>
            <w:tcW w:w="1487" w:type="dxa"/>
            <w:tcBorders>
              <w:top w:val="single" w:color="auto" w:sz="4" w:space="0"/>
              <w:right w:val="single" w:color="000000" w:sz="4" w:space="0"/>
            </w:tcBorders>
            <w:vAlign w:val="center"/>
          </w:tcPr>
          <w:p>
            <w:pPr>
              <w:kinsoku/>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异味</w:t>
            </w:r>
          </w:p>
        </w:tc>
        <w:tc>
          <w:tcPr>
            <w:tcW w:w="1977" w:type="dxa"/>
            <w:gridSpan w:val="2"/>
            <w:tcBorders>
              <w:top w:val="single" w:color="auto" w:sz="4" w:space="0"/>
              <w:lef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加强通风</w:t>
            </w:r>
          </w:p>
        </w:tc>
        <w:tc>
          <w:tcPr>
            <w:tcW w:w="2395" w:type="dxa"/>
            <w:tcBorders>
              <w:top w:val="single" w:color="auto" w:sz="4" w:space="0"/>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《恶臭污染物排放标准》（GB14554-93）中表1排放限值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8" w:hRule="atLeast"/>
        </w:trPr>
        <w:tc>
          <w:tcPr>
            <w:tcW w:w="1202" w:type="dxa"/>
            <w:tcBorders>
              <w:top w:val="single" w:color="auto" w:sz="4" w:space="0"/>
              <w:left w:val="single" w:color="000000" w:sz="6" w:space="0"/>
              <w:bottom w:val="single" w:color="auto"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地表水环境</w:t>
            </w:r>
          </w:p>
        </w:tc>
        <w:tc>
          <w:tcPr>
            <w:tcW w:w="1745"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生活污水</w:t>
            </w:r>
          </w:p>
        </w:tc>
        <w:tc>
          <w:tcPr>
            <w:tcW w:w="1505" w:type="dxa"/>
            <w:gridSpan w:val="2"/>
            <w:tcBorders>
              <w:right w:val="single" w:color="auto"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CODcr、</w:t>
            </w:r>
            <w:r>
              <w:rPr>
                <w:rFonts w:hint="eastAsia" w:ascii="Times New Roman" w:hAnsi="Times New Roman" w:eastAsia="宋体" w:cs="Times New Roman"/>
                <w:color w:val="auto"/>
                <w:lang w:eastAsia="zh-CN"/>
              </w:rPr>
              <w:t>SS、</w:t>
            </w:r>
            <w:r>
              <w:rPr>
                <w:rFonts w:ascii="Times New Roman" w:hAnsi="Times New Roman" w:eastAsia="宋体" w:cs="Times New Roman"/>
                <w:color w:val="auto"/>
                <w:lang w:eastAsia="zh-CN"/>
              </w:rPr>
              <w:t>总氮、BOD</w:t>
            </w:r>
            <w:r>
              <w:rPr>
                <w:rFonts w:ascii="Times New Roman" w:hAnsi="Times New Roman" w:eastAsia="宋体" w:cs="Times New Roman"/>
                <w:color w:val="auto"/>
                <w:vertAlign w:val="subscript"/>
                <w:lang w:eastAsia="zh-CN"/>
              </w:rPr>
              <w:t>5</w:t>
            </w:r>
            <w:r>
              <w:rPr>
                <w:rFonts w:ascii="Times New Roman" w:hAnsi="Times New Roman" w:eastAsia="宋体" w:cs="Times New Roman"/>
                <w:color w:val="auto"/>
                <w:lang w:eastAsia="zh-CN"/>
              </w:rPr>
              <w:t>、NH</w:t>
            </w:r>
            <w:r>
              <w:rPr>
                <w:rFonts w:ascii="Times New Roman" w:hAnsi="Times New Roman" w:eastAsia="宋体" w:cs="Times New Roman"/>
                <w:color w:val="auto"/>
                <w:vertAlign w:val="subscript"/>
                <w:lang w:eastAsia="zh-CN"/>
              </w:rPr>
              <w:t>3</w:t>
            </w:r>
            <w:r>
              <w:rPr>
                <w:rFonts w:ascii="Times New Roman" w:hAnsi="Times New Roman" w:eastAsia="宋体" w:cs="Times New Roman"/>
                <w:color w:val="auto"/>
                <w:lang w:eastAsia="zh-CN"/>
              </w:rPr>
              <w:t>-N、TP、动植物油</w:t>
            </w:r>
          </w:p>
        </w:tc>
        <w:tc>
          <w:tcPr>
            <w:tcW w:w="1959" w:type="dxa"/>
            <w:tcBorders>
              <w:left w:val="single" w:color="auto" w:sz="4" w:space="0"/>
            </w:tcBorders>
            <w:vAlign w:val="center"/>
          </w:tcPr>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生活污水依托园区已建设完成化粪池1个，容积为10m</w:t>
            </w:r>
            <w:r>
              <w:rPr>
                <w:rFonts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《污水综合排放标准》（GB8978-1996）表4三级标准后</w:t>
            </w:r>
            <w:r>
              <w:rPr>
                <w:rFonts w:ascii="Times New Roman" w:hAnsi="Times New Roman" w:eastAsia="宋体" w:cs="Times New Roman"/>
                <w:color w:val="auto"/>
                <w:lang w:eastAsia="zh-CN"/>
              </w:rPr>
              <w:t>排入杨林工业园区污水管网，最终进入嵩明县第二污水处理厂处理</w:t>
            </w:r>
          </w:p>
        </w:tc>
        <w:tc>
          <w:tcPr>
            <w:tcW w:w="2395" w:type="dxa"/>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达到</w:t>
            </w:r>
            <w:r>
              <w:rPr>
                <w:rFonts w:hint="eastAsia" w:ascii="Times New Roman" w:hAnsi="Times New Roman" w:eastAsia="宋体" w:cs="Times New Roman"/>
                <w:color w:val="auto"/>
                <w:lang w:eastAsia="zh-CN"/>
              </w:rPr>
              <w:t>《污水综合排放标准》（GB8978-1996）表4三级标准后</w:t>
            </w:r>
            <w:r>
              <w:rPr>
                <w:rFonts w:ascii="Times New Roman" w:hAnsi="Times New Roman" w:eastAsia="宋体" w:cs="Times New Roman"/>
                <w:color w:val="auto"/>
                <w:lang w:eastAsia="zh-CN"/>
              </w:rPr>
              <w:t>排入杨林工业园区污水管网，最终进入嵩明县第二污水处理厂处理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1202" w:type="dxa"/>
            <w:tcBorders>
              <w:top w:val="single" w:color="auto" w:sz="4" w:space="0"/>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声环境</w:t>
            </w:r>
          </w:p>
        </w:tc>
        <w:tc>
          <w:tcPr>
            <w:tcW w:w="1745"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生产设备等</w:t>
            </w:r>
          </w:p>
        </w:tc>
        <w:tc>
          <w:tcPr>
            <w:tcW w:w="1487" w:type="dxa"/>
            <w:tcBorders>
              <w:righ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等效连续A声级，Leq</w:t>
            </w:r>
          </w:p>
        </w:tc>
        <w:tc>
          <w:tcPr>
            <w:tcW w:w="1977" w:type="dxa"/>
            <w:gridSpan w:val="2"/>
            <w:tcBorders>
              <w:left w:val="single" w:color="000000" w:sz="4"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选购低噪声、低振动型设备；车间内合理布局；基础减振；建筑隔声。</w:t>
            </w:r>
          </w:p>
        </w:tc>
        <w:tc>
          <w:tcPr>
            <w:tcW w:w="2395" w:type="dxa"/>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《工业企业厂界环境噪声排放标准》（GB12348-2008）的3类标准值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电磁辐射</w:t>
            </w:r>
          </w:p>
        </w:tc>
        <w:tc>
          <w:tcPr>
            <w:tcW w:w="1745" w:type="dxa"/>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487" w:type="dxa"/>
            <w:tcBorders>
              <w:righ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977" w:type="dxa"/>
            <w:gridSpan w:val="2"/>
            <w:tcBorders>
              <w:left w:val="single" w:color="000000" w:sz="4"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395" w:type="dxa"/>
            <w:tcBorders>
              <w:righ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固体废物</w:t>
            </w:r>
          </w:p>
        </w:tc>
        <w:tc>
          <w:tcPr>
            <w:tcW w:w="7604" w:type="dxa"/>
            <w:gridSpan w:val="5"/>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生活垃圾分类收集后，委托环卫部门清运；废边角料、不合格产品、中央除尘系统收尘、废包装</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废胶、废胶桶</w:t>
            </w:r>
            <w:r>
              <w:rPr>
                <w:rFonts w:ascii="Times New Roman" w:hAnsi="Times New Roman" w:eastAsia="宋体" w:cs="Times New Roman"/>
                <w:color w:val="auto"/>
                <w:lang w:eastAsia="zh-CN"/>
              </w:rPr>
              <w:t>统一收集后，外售废品回收站回收处理；废活性炭、</w:t>
            </w:r>
            <w:r>
              <w:rPr>
                <w:rFonts w:hint="eastAsia" w:ascii="Times New Roman" w:hAnsi="Times New Roman" w:eastAsia="宋体" w:cs="Times New Roman"/>
                <w:color w:val="auto"/>
                <w:lang w:eastAsia="zh-CN"/>
              </w:rPr>
              <w:t>废润滑油</w:t>
            </w:r>
            <w:r>
              <w:rPr>
                <w:rFonts w:ascii="Times New Roman" w:hAnsi="Times New Roman" w:eastAsia="宋体" w:cs="Times New Roman"/>
                <w:color w:val="auto"/>
                <w:lang w:eastAsia="zh-CN"/>
              </w:rPr>
              <w:t>、废含油棉纱、手套分类收集暂存于危废暂存间，委托有危险废物处理资质的单位外运处置。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土壤及地下水污染防治措施</w:t>
            </w:r>
          </w:p>
        </w:tc>
        <w:tc>
          <w:tcPr>
            <w:tcW w:w="7604" w:type="dxa"/>
            <w:gridSpan w:val="5"/>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整个生产厂房地面硬化并确保地面完整无裂缝，将危险废物暂存间区域划分为重点防渗区，生产车间、库房、一般固废暂存间已进行地面硬化。同时，日常加强对车间设备的管理，防止跑、冒、滴、漏等现象产生；经防渗处理后的设备、地坪等经常使用区域，一旦发现有破损、渗漏等情况，应及时更换新的设备或重新做防渗处理，确保项目不造成地下水、土壤的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生态保护措施</w:t>
            </w:r>
          </w:p>
        </w:tc>
        <w:tc>
          <w:tcPr>
            <w:tcW w:w="7604" w:type="dxa"/>
            <w:gridSpan w:val="5"/>
            <w:tcBorders>
              <w:righ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7"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环境风险防范措施</w:t>
            </w:r>
          </w:p>
        </w:tc>
        <w:tc>
          <w:tcPr>
            <w:tcW w:w="7604" w:type="dxa"/>
            <w:gridSpan w:val="5"/>
            <w:tcBorders>
              <w:right w:val="single" w:color="000000" w:sz="6" w:space="0"/>
            </w:tcBorders>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严格按照《建筑设计防火规范》合理布置总图，各生产和辅助装置，种类原料按功能分别布置，并充分考虑消防和疏散通道等问题，消防隔离带及消防通道要求参照消防有关要求建设、布置。项目厂址内车间、仓库等建筑物的布置、防火安全设计，执行《建筑设计防火规范》。根据各建筑物的功能、所处位置确定相应的耐火等级，并按国家标准设置安全出口和疏散距离。严格操作规程，制定可靠的设备检修计划，防止设备维护不当所产生的事故发生。加强危险物质贮存设备的日常保养和维护，使其在良好的运行状态下。危废暂存间防治措施：必须按贮存的危险废物类别分类独立贮存，贮存设施的地面与裙脚必须用坚固、防渗的材料建造，建筑材料与危险废物相容（即不相互反应）；必须有耐硬化地面，且表面无裂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3" w:hRule="atLeast"/>
        </w:trPr>
        <w:tc>
          <w:tcPr>
            <w:tcW w:w="1202" w:type="dxa"/>
            <w:tcBorders>
              <w:left w:val="single" w:color="000000" w:sz="6" w:space="0"/>
            </w:tcBorders>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其他环境管理要求</w:t>
            </w:r>
          </w:p>
        </w:tc>
        <w:tc>
          <w:tcPr>
            <w:tcW w:w="7604" w:type="dxa"/>
            <w:gridSpan w:val="5"/>
            <w:tcBorders>
              <w:right w:val="single" w:color="000000" w:sz="6" w:space="0"/>
            </w:tcBorders>
            <w:vAlign w:val="center"/>
          </w:tcPr>
          <w:p>
            <w:pPr>
              <w:numPr>
                <w:ilvl w:val="255"/>
                <w:numId w:val="0"/>
              </w:num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排污许可管理</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根据《2017年国民经济行业分类注释》（按第1号修改单修订），本项目生产属于</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木质家具制造（C2110）</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，按照《固定污染源排污许可分类管理名录（2019版）》（生态环境部令2019第11号），属于</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十八、家具制造业21-36木质家具制造211-其他（仅分割、组装的除外；年用非溶剂型低VOCs含量涂料10吨以下的除外）</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的</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其他</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，因此实行登记管理。</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2、竣工环境保护验收</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根据《建设项目竣工环境保护验收暂行办法》（国环评规</w:t>
            </w:r>
            <w:r>
              <w:rPr>
                <w:rFonts w:hint="eastAsia" w:ascii="Times New Roman" w:hAnsi="Times New Roman" w:eastAsia="宋体" w:cs="Times New Roman"/>
                <w:color w:val="auto"/>
                <w:lang w:eastAsia="zh-CN"/>
              </w:rPr>
              <w:t>〔2017〕4号</w:t>
            </w:r>
            <w:r>
              <w:rPr>
                <w:rFonts w:ascii="Times New Roman" w:hAnsi="Times New Roman" w:eastAsia="宋体" w:cs="Times New Roman"/>
                <w:color w:val="auto"/>
                <w:lang w:eastAsia="zh-CN"/>
              </w:rPr>
              <w:t>），建设单位是项目竣工环境保护验收的责任主体，建设单位应当如实查验、监测、记载建设项目环境保护设施的建设和调试情况，组织对配套建设的环境保护设施进行验收。</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3、自行监测</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根据《排污许可证申请与核发技术规范 总则》(HJ942-2018)、《排污许可证申请与核发技术规范家具制造工业》(HJ1027-2019)、《排污许可证申请与核发技术规范 工业噪声》（HJ1301-2023），项目投产后，建设单位定期委托有资质的检（监）测机构代其开展自行监测。</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4、环保管理台账</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建立健全环保管理台账，根据</w:t>
            </w:r>
            <w:r>
              <w:rPr>
                <w:rFonts w:hint="eastAsia" w:ascii="Times New Roman" w:hAnsi="Times New Roman" w:eastAsia="宋体" w:cs="Times New Roman"/>
                <w:color w:val="auto"/>
                <w:lang w:eastAsia="zh-CN"/>
              </w:rPr>
              <w:t>生态环境部</w:t>
            </w:r>
            <w:r>
              <w:rPr>
                <w:rFonts w:ascii="Times New Roman" w:hAnsi="Times New Roman" w:eastAsia="宋体" w:cs="Times New Roman"/>
                <w:color w:val="auto"/>
                <w:lang w:eastAsia="zh-CN"/>
              </w:rPr>
              <w:t>关于排污许可证申请与核发及环境标准化建设规范等相关要求制订环保管理制度。</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环境管理台账主要包括：基本信息、生产经营设施运行管理信息、污染防治设施信息、监测记录信息、其他环境管理信息等内容的环境管理台账。</w:t>
            </w:r>
          </w:p>
          <w:p>
            <w:pPr>
              <w:kinsoku/>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条生产设施信息，包括生产设施基本信息和运行管理信息；污染设施运行台账主要内容包括设备设施基本信息、检维修记录、检测记录、运行记录等；监测记录一般应包括自动监测运维、手工监测和监测期间生产及污染治理设施运行状况记录等；其他环境管理信息，包括污染治理设施故障处理、特殊时段管理要求执行、非正常情况运行和污染物排放信息和无组织废气污染防治措施管理维护信息等。</w:t>
            </w:r>
          </w:p>
          <w:p>
            <w:pPr>
              <w:pStyle w:val="12"/>
              <w:numPr>
                <w:ilvl w:val="255"/>
                <w:numId w:val="0"/>
              </w:numPr>
              <w:kinsoku/>
              <w:rPr>
                <w:rFonts w:ascii="Times New Roman" w:hAnsi="Times New Roman" w:eastAsia="宋体" w:cs="Times New Roman"/>
                <w:color w:val="auto"/>
                <w:lang w:eastAsia="zh-CN"/>
              </w:rPr>
            </w:pPr>
          </w:p>
          <w:p>
            <w:pPr>
              <w:pStyle w:val="12"/>
              <w:numPr>
                <w:ilvl w:val="255"/>
                <w:numId w:val="0"/>
              </w:numPr>
              <w:kinsoku/>
              <w:rPr>
                <w:rFonts w:ascii="Times New Roman" w:hAnsi="Times New Roman" w:eastAsia="宋体" w:cs="Times New Roman"/>
                <w:color w:val="auto"/>
                <w:lang w:eastAsia="zh-CN"/>
              </w:rPr>
            </w:pPr>
          </w:p>
        </w:tc>
      </w:tr>
    </w:tbl>
    <w:p>
      <w:pPr>
        <w:kinsoku/>
        <w:spacing w:before="60" w:line="219" w:lineRule="auto"/>
        <w:rPr>
          <w:rFonts w:hint="eastAsia" w:ascii="宋体" w:hAnsi="宋体" w:eastAsia="宋体" w:cs="宋体"/>
          <w:b/>
          <w:bCs/>
          <w:color w:val="auto"/>
          <w:spacing w:val="-4"/>
          <w:sz w:val="30"/>
          <w:szCs w:val="30"/>
          <w:lang w:eastAsia="zh-CN"/>
        </w:rPr>
      </w:pPr>
    </w:p>
    <w:p>
      <w:pPr>
        <w:kinsoku/>
        <w:spacing w:before="60" w:line="219" w:lineRule="auto"/>
        <w:rPr>
          <w:rFonts w:hint="eastAsia" w:ascii="宋体" w:hAnsi="宋体" w:eastAsia="宋体" w:cs="宋体"/>
          <w:b/>
          <w:bCs/>
          <w:color w:val="auto"/>
          <w:spacing w:val="-4"/>
          <w:sz w:val="30"/>
          <w:szCs w:val="30"/>
          <w:lang w:eastAsia="zh-CN"/>
        </w:rPr>
      </w:pPr>
    </w:p>
    <w:p>
      <w:pPr>
        <w:pStyle w:val="8"/>
        <w:kinsoku/>
        <w:rPr>
          <w:color w:val="auto"/>
          <w:lang w:eastAsia="zh-CN"/>
        </w:rPr>
      </w:pPr>
    </w:p>
    <w:p>
      <w:pPr>
        <w:kinsoku/>
        <w:rPr>
          <w:color w:val="auto"/>
          <w:lang w:eastAsia="zh-CN"/>
        </w:rPr>
        <w:sectPr>
          <w:footerReference r:id="rId7" w:type="default"/>
          <w:pgSz w:w="11906" w:h="16839"/>
          <w:pgMar w:top="1418" w:right="1304" w:bottom="1014" w:left="1303" w:header="0" w:footer="852" w:gutter="0"/>
          <w:cols w:space="720" w:num="1"/>
        </w:sectPr>
      </w:pPr>
    </w:p>
    <w:p>
      <w:pPr>
        <w:kinsoku/>
        <w:spacing w:before="59" w:line="221" w:lineRule="auto"/>
        <w:ind w:left="3853"/>
        <w:outlineLvl w:val="0"/>
        <w:rPr>
          <w:rFonts w:hint="eastAsia" w:ascii="宋体" w:hAnsi="宋体" w:eastAsia="宋体" w:cs="宋体"/>
          <w:color w:val="auto"/>
          <w:sz w:val="30"/>
          <w:szCs w:val="30"/>
        </w:rPr>
      </w:pPr>
      <w:bookmarkStart w:id="48" w:name="_Toc26887"/>
      <w:r>
        <w:rPr>
          <w:rFonts w:ascii="宋体" w:hAnsi="宋体" w:eastAsia="宋体" w:cs="宋体"/>
          <w:b/>
          <w:bCs/>
          <w:color w:val="auto"/>
          <w:spacing w:val="-7"/>
          <w:sz w:val="30"/>
          <w:szCs w:val="30"/>
        </w:rPr>
        <w:t>六、结论</w:t>
      </w:r>
      <w:bookmarkEnd w:id="48"/>
    </w:p>
    <w:p>
      <w:pPr>
        <w:kinsoku/>
        <w:spacing w:line="179" w:lineRule="exact"/>
        <w:rPr>
          <w:color w:val="auto"/>
        </w:rPr>
      </w:pPr>
    </w:p>
    <w:tbl>
      <w:tblPr>
        <w:tblStyle w:val="21"/>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010" w:hRule="atLeast"/>
        </w:trPr>
        <w:tc>
          <w:tcPr>
            <w:tcW w:w="8869" w:type="dxa"/>
          </w:tcPr>
          <w:p>
            <w:pPr>
              <w:pStyle w:val="22"/>
              <w:kinsoku/>
              <w:spacing w:before="32" w:line="360" w:lineRule="auto"/>
              <w:ind w:firstLine="492" w:firstLineChars="200"/>
              <w:rPr>
                <w:rFonts w:hint="eastAsia"/>
                <w:color w:val="auto"/>
                <w:lang w:eastAsia="zh-CN"/>
              </w:rPr>
            </w:pPr>
            <w:r>
              <w:rPr>
                <w:rFonts w:hint="eastAsia"/>
                <w:color w:val="auto"/>
                <w:spacing w:val="3"/>
                <w:lang w:eastAsia="zh-CN"/>
              </w:rPr>
              <w:t>昆明福伦蒂家具制造有限公司年加工家具板8万平方项目</w:t>
            </w:r>
            <w:r>
              <w:rPr>
                <w:color w:val="auto"/>
                <w:lang w:eastAsia="zh-CN"/>
              </w:rPr>
              <w:t>位于</w:t>
            </w:r>
            <w:r>
              <w:rPr>
                <w:rFonts w:hint="eastAsia"/>
                <w:color w:val="auto"/>
                <w:lang w:eastAsia="zh-CN"/>
              </w:rPr>
              <w:t>云南嵩明杨林工业园区东环路68号附3号</w:t>
            </w:r>
            <w:r>
              <w:rPr>
                <w:color w:val="auto"/>
                <w:spacing w:val="11"/>
                <w:lang w:eastAsia="zh-CN"/>
              </w:rPr>
              <w:t>，</w:t>
            </w:r>
            <w:r>
              <w:rPr>
                <w:color w:val="auto"/>
                <w:spacing w:val="-1"/>
                <w:lang w:eastAsia="zh-CN"/>
              </w:rPr>
              <w:t>通过对该项目的工程分析和环境影响分析可得如下结论：</w:t>
            </w:r>
          </w:p>
          <w:p>
            <w:pPr>
              <w:pStyle w:val="22"/>
              <w:kinsoku/>
              <w:spacing w:before="32" w:line="360" w:lineRule="auto"/>
              <w:ind w:firstLine="524" w:firstLineChars="200"/>
              <w:rPr>
                <w:rFonts w:hint="eastAsia"/>
                <w:color w:val="auto"/>
                <w:spacing w:val="-2"/>
                <w:lang w:eastAsia="zh-CN"/>
              </w:rPr>
            </w:pPr>
            <w:r>
              <w:rPr>
                <w:rFonts w:ascii="Times New Roman" w:hAnsi="Times New Roman" w:cs="Times New Roman"/>
                <w:color w:val="auto"/>
                <w:spacing w:val="11"/>
                <w:lang w:eastAsia="zh-CN"/>
              </w:rPr>
              <w:t>项目属于家具制造业，主要生产组合家具，不属于园区禁止入园产业，与杨林综合片区新材料综合组团产业发展方向不冲突</w:t>
            </w:r>
            <w:r>
              <w:rPr>
                <w:rFonts w:hint="eastAsia" w:ascii="Times New Roman" w:hAnsi="Times New Roman" w:cs="Times New Roman"/>
                <w:color w:val="auto"/>
                <w:spacing w:val="11"/>
                <w:lang w:eastAsia="zh-CN"/>
              </w:rPr>
              <w:t>。</w:t>
            </w:r>
            <w:r>
              <w:rPr>
                <w:rFonts w:ascii="Times New Roman" w:hAnsi="Times New Roman" w:cs="Times New Roman"/>
                <w:color w:val="auto"/>
                <w:spacing w:val="11"/>
                <w:lang w:eastAsia="zh-CN"/>
              </w:rPr>
              <w:t>项目于2024年11月21日取得了云南省固定资产投资项目备案证（备案号：</w:t>
            </w:r>
            <w:r>
              <w:rPr>
                <w:rFonts w:ascii="Times New Roman" w:hAnsi="Times New Roman" w:cs="Times New Roman"/>
                <w:color w:val="auto"/>
                <w:spacing w:val="11"/>
                <w:lang w:eastAsia="zh-CN" w:bidi="ar"/>
              </w:rPr>
              <w:t>2411-530127-04-01-626119</w:t>
            </w:r>
            <w:r>
              <w:rPr>
                <w:rFonts w:ascii="Times New Roman" w:hAnsi="Times New Roman" w:cs="Times New Roman"/>
                <w:color w:val="auto"/>
                <w:spacing w:val="11"/>
                <w:lang w:eastAsia="zh-CN"/>
              </w:rPr>
              <w:t>）。</w:t>
            </w:r>
            <w:r>
              <w:rPr>
                <w:color w:val="auto"/>
                <w:lang w:eastAsia="zh-CN"/>
              </w:rPr>
              <w:t>本</w:t>
            </w:r>
            <w:r>
              <w:rPr>
                <w:color w:val="auto"/>
                <w:spacing w:val="-1"/>
                <w:lang w:eastAsia="zh-CN"/>
              </w:rPr>
              <w:t>项目用地性质为</w:t>
            </w:r>
            <w:r>
              <w:rPr>
                <w:rFonts w:hint="eastAsia"/>
                <w:color w:val="auto"/>
                <w:spacing w:val="-1"/>
                <w:lang w:eastAsia="zh-CN"/>
              </w:rPr>
              <w:t>二类</w:t>
            </w:r>
            <w:r>
              <w:rPr>
                <w:color w:val="auto"/>
                <w:spacing w:val="-1"/>
                <w:lang w:eastAsia="zh-CN"/>
              </w:rPr>
              <w:t>工业用地，</w:t>
            </w:r>
            <w:r>
              <w:rPr>
                <w:rFonts w:hint="eastAsia" w:ascii="Times New Roman" w:hAnsi="Times New Roman" w:cs="Times New Roman"/>
                <w:color w:val="auto"/>
                <w:spacing w:val="11"/>
                <w:lang w:eastAsia="zh-CN"/>
              </w:rPr>
              <w:t>选址合理可行</w:t>
            </w:r>
            <w:r>
              <w:rPr>
                <w:rFonts w:ascii="Times New Roman" w:hAnsi="Times New Roman" w:cs="Times New Roman"/>
                <w:color w:val="auto"/>
                <w:spacing w:val="11"/>
                <w:lang w:eastAsia="zh-CN"/>
              </w:rPr>
              <w:t>。</w:t>
            </w:r>
            <w:r>
              <w:rPr>
                <w:color w:val="auto"/>
                <w:lang w:eastAsia="zh-CN"/>
              </w:rPr>
              <w:t>通过对项目所在地</w:t>
            </w:r>
            <w:r>
              <w:rPr>
                <w:color w:val="auto"/>
                <w:spacing w:val="-1"/>
                <w:lang w:eastAsia="zh-CN"/>
              </w:rPr>
              <w:t>区的</w:t>
            </w:r>
            <w:r>
              <w:rPr>
                <w:color w:val="auto"/>
                <w:spacing w:val="7"/>
                <w:lang w:eastAsia="zh-CN"/>
              </w:rPr>
              <w:t>环境现状以及项目产生的环境影响进行分析，项目产生的环境影</w:t>
            </w:r>
            <w:r>
              <w:rPr>
                <w:color w:val="auto"/>
                <w:spacing w:val="6"/>
                <w:lang w:eastAsia="zh-CN"/>
              </w:rPr>
              <w:t>响包括废气、噪</w:t>
            </w:r>
            <w:r>
              <w:rPr>
                <w:color w:val="auto"/>
                <w:spacing w:val="7"/>
                <w:lang w:eastAsia="zh-CN"/>
              </w:rPr>
              <w:t>声、废水、固体废弃物等，在采取环评提出的防治措施后，噪声</w:t>
            </w:r>
            <w:r>
              <w:rPr>
                <w:color w:val="auto"/>
                <w:spacing w:val="6"/>
                <w:lang w:eastAsia="zh-CN"/>
              </w:rPr>
              <w:t>和废气能达标外</w:t>
            </w:r>
            <w:r>
              <w:rPr>
                <w:color w:val="auto"/>
                <w:lang w:eastAsia="zh-CN"/>
              </w:rPr>
              <w:t>排，生活污水处理达标外排，最终排入嵩明县第二污水处理厂处理，固体废物及危险废物均得到妥善处置。项目产生的影响可以得到有效控制，不会对周围环境产生显著的影响。在认真执行环评中提出的污染防治措施后，在方案不变的情况下，产生的污染物对环境的影响较小，不会改变环境功能，从环境保护的角度分析，该项</w:t>
            </w:r>
            <w:r>
              <w:rPr>
                <w:color w:val="auto"/>
                <w:spacing w:val="-2"/>
                <w:lang w:eastAsia="zh-CN"/>
              </w:rPr>
              <w:t>目建设是可行的。</w:t>
            </w:r>
          </w:p>
        </w:tc>
      </w:tr>
    </w:tbl>
    <w:p>
      <w:pPr>
        <w:pStyle w:val="8"/>
        <w:kinsoku/>
        <w:rPr>
          <w:color w:val="auto"/>
          <w:lang w:eastAsia="zh-CN"/>
        </w:rPr>
      </w:pPr>
    </w:p>
    <w:p>
      <w:pPr>
        <w:kinsoku/>
        <w:rPr>
          <w:color w:val="auto"/>
          <w:lang w:eastAsia="zh-CN"/>
        </w:rPr>
        <w:sectPr>
          <w:footerReference r:id="rId8" w:type="default"/>
          <w:pgSz w:w="11906" w:h="16839"/>
          <w:pgMar w:top="1404" w:right="1511" w:bottom="1014" w:left="1510" w:header="0" w:footer="852" w:gutter="0"/>
          <w:cols w:space="720" w:num="1"/>
        </w:sectPr>
      </w:pPr>
    </w:p>
    <w:p>
      <w:pPr>
        <w:kinsoku/>
        <w:spacing w:before="101" w:line="224" w:lineRule="auto"/>
        <w:ind w:left="75"/>
        <w:outlineLvl w:val="0"/>
        <w:rPr>
          <w:rFonts w:hint="eastAsia" w:ascii="宋体" w:hAnsi="宋体" w:eastAsia="宋体" w:cs="宋体"/>
          <w:color w:val="auto"/>
          <w:sz w:val="31"/>
          <w:szCs w:val="31"/>
          <w:lang w:eastAsia="zh-CN"/>
        </w:rPr>
      </w:pPr>
      <w:bookmarkStart w:id="49" w:name="_Toc23866"/>
      <w:bookmarkStart w:id="50" w:name="_Toc25635"/>
      <w:r>
        <w:rPr>
          <w:rFonts w:ascii="宋体" w:hAnsi="宋体" w:eastAsia="宋体" w:cs="宋体"/>
          <w:b/>
          <w:bCs/>
          <w:color w:val="auto"/>
          <w:spacing w:val="-12"/>
          <w:sz w:val="31"/>
          <w:szCs w:val="31"/>
          <w:lang w:eastAsia="zh-CN"/>
        </w:rPr>
        <w:t>附表</w:t>
      </w:r>
      <w:bookmarkEnd w:id="49"/>
      <w:bookmarkEnd w:id="50"/>
    </w:p>
    <w:p>
      <w:pPr>
        <w:kinsoku/>
        <w:spacing w:before="46" w:line="225" w:lineRule="auto"/>
        <w:ind w:left="4578"/>
        <w:outlineLvl w:val="0"/>
        <w:rPr>
          <w:rFonts w:hint="eastAsia" w:ascii="宋体" w:hAnsi="宋体" w:eastAsia="宋体" w:cs="宋体"/>
          <w:color w:val="auto"/>
          <w:sz w:val="37"/>
          <w:szCs w:val="37"/>
          <w:lang w:eastAsia="zh-CN"/>
        </w:rPr>
      </w:pPr>
      <w:bookmarkStart w:id="51" w:name="_Toc7944"/>
      <w:bookmarkStart w:id="52" w:name="_Toc8452"/>
      <w:r>
        <w:rPr>
          <w:rFonts w:ascii="宋体" w:hAnsi="宋体" w:eastAsia="宋体" w:cs="宋体"/>
          <w:b/>
          <w:bCs/>
          <w:color w:val="auto"/>
          <w:spacing w:val="5"/>
          <w:sz w:val="37"/>
          <w:szCs w:val="37"/>
          <w:lang w:eastAsia="zh-CN"/>
        </w:rPr>
        <w:t>建设项目污染物排放量汇总表</w:t>
      </w:r>
      <w:bookmarkEnd w:id="51"/>
      <w:bookmarkEnd w:id="52"/>
    </w:p>
    <w:p>
      <w:pPr>
        <w:kinsoku/>
        <w:spacing w:line="231" w:lineRule="exact"/>
        <w:rPr>
          <w:color w:val="auto"/>
          <w:lang w:eastAsia="zh-CN"/>
        </w:rPr>
      </w:pPr>
    </w:p>
    <w:tbl>
      <w:tblPr>
        <w:tblStyle w:val="21"/>
        <w:tblW w:w="14066"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1930"/>
        <w:gridCol w:w="1699"/>
        <w:gridCol w:w="1275"/>
        <w:gridCol w:w="1699"/>
        <w:gridCol w:w="1557"/>
        <w:gridCol w:w="1759"/>
        <w:gridCol w:w="1864"/>
        <w:gridCol w:w="12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tcBorders>
              <w:top w:val="single" w:color="000000" w:sz="6" w:space="0"/>
              <w:left w:val="single" w:color="000000" w:sz="6" w:space="0"/>
              <w:tl2br w:val="single" w:color="000000" w:sz="4" w:space="0"/>
            </w:tcBorders>
            <w:vAlign w:val="center"/>
          </w:tcPr>
          <w:p>
            <w:pPr>
              <w:kinsoku/>
              <w:jc w:val="right"/>
              <w:rPr>
                <w:color w:val="auto"/>
              </w:rPr>
            </w:pPr>
            <w:r>
              <w:rPr>
                <w:color w:val="auto"/>
              </w:rPr>
              <w:t>项目</w:t>
            </w:r>
          </w:p>
          <w:p>
            <w:pPr>
              <w:kinsoku/>
              <w:rPr>
                <w:color w:val="auto"/>
              </w:rPr>
            </w:pPr>
            <w:r>
              <w:rPr>
                <w:color w:val="auto"/>
              </w:rPr>
              <w:t>分类</w:t>
            </w:r>
          </w:p>
        </w:tc>
        <w:tc>
          <w:tcPr>
            <w:tcW w:w="1930" w:type="dxa"/>
            <w:tcBorders>
              <w:top w:val="single" w:color="000000" w:sz="6" w:space="0"/>
            </w:tcBorders>
            <w:vAlign w:val="center"/>
          </w:tcPr>
          <w:p>
            <w:pPr>
              <w:kinsoku/>
              <w:jc w:val="center"/>
              <w:rPr>
                <w:color w:val="auto"/>
              </w:rPr>
            </w:pPr>
            <w:r>
              <w:rPr>
                <w:color w:val="auto"/>
              </w:rPr>
              <w:t>污染物名称</w:t>
            </w:r>
          </w:p>
        </w:tc>
        <w:tc>
          <w:tcPr>
            <w:tcW w:w="1699" w:type="dxa"/>
            <w:tcBorders>
              <w:top w:val="single" w:color="000000" w:sz="6" w:space="0"/>
            </w:tcBorders>
            <w:vAlign w:val="center"/>
          </w:tcPr>
          <w:p>
            <w:pPr>
              <w:kinsoku/>
              <w:jc w:val="center"/>
              <w:rPr>
                <w:color w:val="auto"/>
                <w:lang w:eastAsia="zh-CN"/>
              </w:rPr>
            </w:pPr>
            <w:r>
              <w:rPr>
                <w:color w:val="auto"/>
                <w:lang w:eastAsia="zh-CN"/>
              </w:rPr>
              <w:t>现有工程</w:t>
            </w:r>
          </w:p>
          <w:p>
            <w:pPr>
              <w:kinsoku/>
              <w:jc w:val="center"/>
              <w:rPr>
                <w:color w:val="auto"/>
                <w:lang w:eastAsia="zh-CN"/>
              </w:rPr>
            </w:pPr>
            <w:r>
              <w:rPr>
                <w:color w:val="auto"/>
                <w:lang w:eastAsia="zh-CN"/>
              </w:rPr>
              <w:t>排放量（固体废物</w:t>
            </w:r>
          </w:p>
          <w:p>
            <w:pPr>
              <w:kinsoku/>
              <w:jc w:val="center"/>
              <w:rPr>
                <w:color w:val="auto"/>
              </w:rPr>
            </w:pPr>
            <w:r>
              <w:rPr>
                <w:color w:val="auto"/>
              </w:rPr>
              <w:t>产生量）①</w:t>
            </w:r>
          </w:p>
        </w:tc>
        <w:tc>
          <w:tcPr>
            <w:tcW w:w="1275" w:type="dxa"/>
            <w:tcBorders>
              <w:top w:val="single" w:color="000000" w:sz="6" w:space="0"/>
            </w:tcBorders>
            <w:vAlign w:val="center"/>
          </w:tcPr>
          <w:p>
            <w:pPr>
              <w:kinsoku/>
              <w:jc w:val="center"/>
              <w:rPr>
                <w:color w:val="auto"/>
                <w:lang w:eastAsia="zh-CN"/>
              </w:rPr>
            </w:pPr>
            <w:r>
              <w:rPr>
                <w:color w:val="auto"/>
                <w:lang w:eastAsia="zh-CN"/>
              </w:rPr>
              <w:t>现有工程</w:t>
            </w:r>
          </w:p>
          <w:p>
            <w:pPr>
              <w:kinsoku/>
              <w:jc w:val="center"/>
              <w:rPr>
                <w:color w:val="auto"/>
                <w:lang w:eastAsia="zh-CN"/>
              </w:rPr>
            </w:pPr>
            <w:r>
              <w:rPr>
                <w:color w:val="auto"/>
                <w:lang w:eastAsia="zh-CN"/>
              </w:rPr>
              <w:t>许可排放量</w:t>
            </w:r>
          </w:p>
          <w:p>
            <w:pPr>
              <w:kinsoku/>
              <w:jc w:val="center"/>
              <w:rPr>
                <w:color w:val="auto"/>
                <w:lang w:eastAsia="zh-CN"/>
              </w:rPr>
            </w:pPr>
            <w:r>
              <w:rPr>
                <w:color w:val="auto"/>
                <w:lang w:eastAsia="zh-CN"/>
              </w:rPr>
              <w:t>②</w:t>
            </w:r>
          </w:p>
        </w:tc>
        <w:tc>
          <w:tcPr>
            <w:tcW w:w="1699" w:type="dxa"/>
            <w:tcBorders>
              <w:top w:val="single" w:color="000000" w:sz="6" w:space="0"/>
            </w:tcBorders>
            <w:vAlign w:val="center"/>
          </w:tcPr>
          <w:p>
            <w:pPr>
              <w:kinsoku/>
              <w:jc w:val="center"/>
              <w:rPr>
                <w:color w:val="auto"/>
                <w:lang w:eastAsia="zh-CN"/>
              </w:rPr>
            </w:pPr>
            <w:r>
              <w:rPr>
                <w:color w:val="auto"/>
                <w:lang w:eastAsia="zh-CN"/>
              </w:rPr>
              <w:t>在建工程</w:t>
            </w:r>
          </w:p>
          <w:p>
            <w:pPr>
              <w:kinsoku/>
              <w:jc w:val="center"/>
              <w:rPr>
                <w:color w:val="auto"/>
                <w:lang w:eastAsia="zh-CN"/>
              </w:rPr>
            </w:pPr>
            <w:r>
              <w:rPr>
                <w:color w:val="auto"/>
                <w:lang w:eastAsia="zh-CN"/>
              </w:rPr>
              <w:t>排放量（固体废物</w:t>
            </w:r>
          </w:p>
          <w:p>
            <w:pPr>
              <w:kinsoku/>
              <w:jc w:val="center"/>
              <w:rPr>
                <w:color w:val="auto"/>
              </w:rPr>
            </w:pPr>
            <w:r>
              <w:rPr>
                <w:color w:val="auto"/>
              </w:rPr>
              <w:t>产生量）③</w:t>
            </w:r>
          </w:p>
        </w:tc>
        <w:tc>
          <w:tcPr>
            <w:tcW w:w="1557" w:type="dxa"/>
            <w:tcBorders>
              <w:top w:val="single" w:color="000000" w:sz="6" w:space="0"/>
            </w:tcBorders>
            <w:vAlign w:val="center"/>
          </w:tcPr>
          <w:p>
            <w:pPr>
              <w:kinsoku/>
              <w:jc w:val="center"/>
              <w:rPr>
                <w:color w:val="auto"/>
                <w:lang w:eastAsia="zh-CN"/>
              </w:rPr>
            </w:pPr>
            <w:r>
              <w:rPr>
                <w:color w:val="auto"/>
                <w:lang w:eastAsia="zh-CN"/>
              </w:rPr>
              <w:t>本项目</w:t>
            </w:r>
          </w:p>
          <w:p>
            <w:pPr>
              <w:kinsoku/>
              <w:jc w:val="center"/>
              <w:rPr>
                <w:color w:val="auto"/>
                <w:lang w:eastAsia="zh-CN"/>
              </w:rPr>
            </w:pPr>
            <w:r>
              <w:rPr>
                <w:color w:val="auto"/>
                <w:lang w:eastAsia="zh-CN"/>
              </w:rPr>
              <w:t>排放量（固体废物产生量）④</w:t>
            </w:r>
          </w:p>
        </w:tc>
        <w:tc>
          <w:tcPr>
            <w:tcW w:w="1759" w:type="dxa"/>
            <w:tcBorders>
              <w:top w:val="single" w:color="000000" w:sz="6" w:space="0"/>
            </w:tcBorders>
            <w:vAlign w:val="center"/>
          </w:tcPr>
          <w:p>
            <w:pPr>
              <w:kinsoku/>
              <w:jc w:val="center"/>
              <w:rPr>
                <w:color w:val="auto"/>
                <w:lang w:eastAsia="zh-CN"/>
              </w:rPr>
            </w:pPr>
            <w:r>
              <w:rPr>
                <w:color w:val="auto"/>
                <w:lang w:eastAsia="zh-CN"/>
              </w:rPr>
              <w:t>以新带老削减量（新建项目不填）⑤</w:t>
            </w:r>
          </w:p>
        </w:tc>
        <w:tc>
          <w:tcPr>
            <w:tcW w:w="1864" w:type="dxa"/>
            <w:tcBorders>
              <w:top w:val="single" w:color="000000" w:sz="6" w:space="0"/>
            </w:tcBorders>
            <w:vAlign w:val="center"/>
          </w:tcPr>
          <w:p>
            <w:pPr>
              <w:kinsoku/>
              <w:jc w:val="center"/>
              <w:rPr>
                <w:color w:val="auto"/>
                <w:lang w:eastAsia="zh-CN"/>
              </w:rPr>
            </w:pPr>
            <w:r>
              <w:rPr>
                <w:color w:val="auto"/>
                <w:lang w:eastAsia="zh-CN"/>
              </w:rPr>
              <w:t>本项目建成后</w:t>
            </w:r>
          </w:p>
          <w:p>
            <w:pPr>
              <w:kinsoku/>
              <w:jc w:val="center"/>
              <w:rPr>
                <w:color w:val="auto"/>
                <w:lang w:eastAsia="zh-CN"/>
              </w:rPr>
            </w:pPr>
            <w:r>
              <w:rPr>
                <w:color w:val="auto"/>
                <w:lang w:eastAsia="zh-CN"/>
              </w:rPr>
              <w:t>全厂排放量（固体废物产生量）⑥</w:t>
            </w:r>
          </w:p>
        </w:tc>
        <w:tc>
          <w:tcPr>
            <w:tcW w:w="1202" w:type="dxa"/>
            <w:tcBorders>
              <w:top w:val="single" w:color="000000" w:sz="6" w:space="0"/>
              <w:right w:val="single" w:color="000000" w:sz="6" w:space="0"/>
            </w:tcBorders>
            <w:vAlign w:val="center"/>
          </w:tcPr>
          <w:p>
            <w:pPr>
              <w:kinsoku/>
              <w:jc w:val="center"/>
              <w:rPr>
                <w:color w:val="auto"/>
              </w:rPr>
            </w:pPr>
            <w:r>
              <w:rPr>
                <w:color w:val="auto"/>
              </w:rPr>
              <w:t>变化量⑦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restart"/>
            <w:tcBorders>
              <w:left w:val="single" w:color="000000" w:sz="6" w:space="0"/>
              <w:bottom w:val="nil"/>
            </w:tcBorders>
            <w:vAlign w:val="center"/>
          </w:tcPr>
          <w:p>
            <w:pPr>
              <w:kinsoku/>
              <w:jc w:val="center"/>
              <w:rPr>
                <w:color w:val="auto"/>
              </w:rPr>
            </w:pPr>
            <w:r>
              <w:rPr>
                <w:color w:val="auto"/>
              </w:rPr>
              <w:t>废气</w:t>
            </w:r>
          </w:p>
        </w:tc>
        <w:tc>
          <w:tcPr>
            <w:tcW w:w="1930" w:type="dxa"/>
            <w:vAlign w:val="center"/>
          </w:tcPr>
          <w:p>
            <w:pPr>
              <w:kinsoku/>
              <w:jc w:val="center"/>
              <w:rPr>
                <w:color w:val="auto"/>
              </w:rPr>
            </w:pPr>
            <w:r>
              <w:rPr>
                <w:color w:val="auto"/>
              </w:rPr>
              <w:t>颗粒物</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vAlign w:val="center"/>
          </w:tcPr>
          <w:p>
            <w:pPr>
              <w:kinsoku/>
              <w:jc w:val="center"/>
              <w:rPr>
                <w:color w:val="auto"/>
              </w:rPr>
            </w:pPr>
            <w:r>
              <w:rPr>
                <w:color w:val="auto"/>
              </w:rPr>
              <w:t>/</w:t>
            </w:r>
          </w:p>
        </w:tc>
        <w:tc>
          <w:tcPr>
            <w:tcW w:w="1557" w:type="dxa"/>
            <w:vAlign w:val="center"/>
          </w:tcPr>
          <w:p>
            <w:pPr>
              <w:kinsoku/>
              <w:jc w:val="center"/>
              <w:rPr>
                <w:color w:val="auto"/>
              </w:rPr>
            </w:pPr>
            <w:r>
              <w:rPr>
                <w:rFonts w:hint="eastAsia" w:eastAsia="宋体"/>
                <w:color w:val="auto"/>
                <w:lang w:eastAsia="zh-CN"/>
              </w:rPr>
              <w:t>0.04845</w:t>
            </w:r>
            <w:r>
              <w:rPr>
                <w:rFonts w:hint="eastAsia"/>
                <w:color w:val="auto"/>
              </w:rPr>
              <w:t>t/a</w:t>
            </w:r>
          </w:p>
        </w:tc>
        <w:tc>
          <w:tcPr>
            <w:tcW w:w="1759" w:type="dxa"/>
            <w:vAlign w:val="center"/>
          </w:tcPr>
          <w:p>
            <w:pPr>
              <w:kinsoku/>
              <w:jc w:val="center"/>
              <w:rPr>
                <w:color w:val="auto"/>
              </w:rPr>
            </w:pPr>
            <w:r>
              <w:rPr>
                <w:color w:val="auto"/>
              </w:rPr>
              <w:t>/</w:t>
            </w:r>
          </w:p>
        </w:tc>
        <w:tc>
          <w:tcPr>
            <w:tcW w:w="1864" w:type="dxa"/>
            <w:vAlign w:val="center"/>
          </w:tcPr>
          <w:p>
            <w:pPr>
              <w:kinsoku/>
              <w:jc w:val="center"/>
              <w:rPr>
                <w:color w:val="auto"/>
              </w:rPr>
            </w:pPr>
            <w:r>
              <w:rPr>
                <w:rFonts w:hint="eastAsia" w:eastAsia="宋体"/>
                <w:color w:val="auto"/>
                <w:lang w:eastAsia="zh-CN"/>
              </w:rPr>
              <w:t>0.04845</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+0.04845</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top w:val="nil"/>
              <w:left w:val="single" w:color="000000" w:sz="6" w:space="0"/>
              <w:bottom w:val="single" w:color="auto" w:sz="4" w:space="0"/>
            </w:tcBorders>
            <w:vAlign w:val="center"/>
          </w:tcPr>
          <w:p>
            <w:pPr>
              <w:kinsoku/>
              <w:jc w:val="center"/>
              <w:rPr>
                <w:color w:val="auto"/>
              </w:rPr>
            </w:pPr>
          </w:p>
        </w:tc>
        <w:tc>
          <w:tcPr>
            <w:tcW w:w="1930" w:type="dxa"/>
            <w:tcBorders>
              <w:bottom w:val="single" w:color="auto" w:sz="4" w:space="0"/>
            </w:tcBorders>
            <w:vAlign w:val="center"/>
          </w:tcPr>
          <w:p>
            <w:pPr>
              <w:kinsoku/>
              <w:jc w:val="center"/>
              <w:rPr>
                <w:color w:val="auto"/>
              </w:rPr>
            </w:pPr>
            <w:r>
              <w:rPr>
                <w:color w:val="auto"/>
              </w:rPr>
              <w:t>非甲烷总烃</w:t>
            </w:r>
          </w:p>
        </w:tc>
        <w:tc>
          <w:tcPr>
            <w:tcW w:w="1699" w:type="dxa"/>
            <w:tcBorders>
              <w:bottom w:val="single" w:color="auto" w:sz="4" w:space="0"/>
            </w:tcBorders>
            <w:vAlign w:val="center"/>
          </w:tcPr>
          <w:p>
            <w:pPr>
              <w:kinsoku/>
              <w:jc w:val="center"/>
              <w:rPr>
                <w:color w:val="auto"/>
              </w:rPr>
            </w:pPr>
            <w:r>
              <w:rPr>
                <w:color w:val="auto"/>
              </w:rPr>
              <w:t>/</w:t>
            </w:r>
          </w:p>
        </w:tc>
        <w:tc>
          <w:tcPr>
            <w:tcW w:w="1275" w:type="dxa"/>
            <w:tcBorders>
              <w:bottom w:val="single" w:color="auto" w:sz="4" w:space="0"/>
            </w:tcBorders>
            <w:vAlign w:val="center"/>
          </w:tcPr>
          <w:p>
            <w:pPr>
              <w:kinsoku/>
              <w:jc w:val="center"/>
              <w:rPr>
                <w:color w:val="auto"/>
              </w:rPr>
            </w:pPr>
            <w:r>
              <w:rPr>
                <w:color w:val="auto"/>
              </w:rPr>
              <w:t>/</w:t>
            </w:r>
          </w:p>
        </w:tc>
        <w:tc>
          <w:tcPr>
            <w:tcW w:w="1699" w:type="dxa"/>
            <w:tcBorders>
              <w:bottom w:val="single" w:color="auto" w:sz="4" w:space="0"/>
            </w:tcBorders>
            <w:vAlign w:val="center"/>
          </w:tcPr>
          <w:p>
            <w:pPr>
              <w:kinsoku/>
              <w:jc w:val="center"/>
              <w:rPr>
                <w:color w:val="auto"/>
              </w:rPr>
            </w:pPr>
            <w:r>
              <w:rPr>
                <w:color w:val="auto"/>
              </w:rPr>
              <w:t>/</w:t>
            </w:r>
          </w:p>
        </w:tc>
        <w:tc>
          <w:tcPr>
            <w:tcW w:w="1557" w:type="dxa"/>
            <w:tcBorders>
              <w:bottom w:val="single" w:color="auto" w:sz="4" w:space="0"/>
            </w:tcBorders>
            <w:vAlign w:val="center"/>
          </w:tcPr>
          <w:p>
            <w:pPr>
              <w:kinsoku/>
              <w:jc w:val="center"/>
              <w:rPr>
                <w:color w:val="auto"/>
              </w:rPr>
            </w:pPr>
            <w:r>
              <w:rPr>
                <w:rFonts w:hint="eastAsia" w:eastAsia="宋体"/>
                <w:color w:val="auto"/>
                <w:lang w:val="en-US" w:eastAsia="zh-CN"/>
              </w:rPr>
              <w:t>0.155</w:t>
            </w:r>
            <w:r>
              <w:rPr>
                <w:rFonts w:hint="eastAsia" w:eastAsia="宋体"/>
                <w:color w:val="auto"/>
                <w:lang w:eastAsia="zh-CN"/>
              </w:rPr>
              <w:t>t/a</w:t>
            </w:r>
          </w:p>
        </w:tc>
        <w:tc>
          <w:tcPr>
            <w:tcW w:w="1759" w:type="dxa"/>
            <w:tcBorders>
              <w:bottom w:val="single" w:color="auto" w:sz="4" w:space="0"/>
            </w:tcBorders>
            <w:vAlign w:val="center"/>
          </w:tcPr>
          <w:p>
            <w:pPr>
              <w:kinsoku/>
              <w:jc w:val="center"/>
              <w:rPr>
                <w:color w:val="auto"/>
              </w:rPr>
            </w:pPr>
            <w:r>
              <w:rPr>
                <w:color w:val="auto"/>
              </w:rPr>
              <w:t>/</w:t>
            </w:r>
          </w:p>
        </w:tc>
        <w:tc>
          <w:tcPr>
            <w:tcW w:w="1864" w:type="dxa"/>
            <w:tcBorders>
              <w:bottom w:val="single" w:color="auto" w:sz="4" w:space="0"/>
            </w:tcBorders>
            <w:vAlign w:val="center"/>
          </w:tcPr>
          <w:p>
            <w:pPr>
              <w:kinsoku/>
              <w:jc w:val="center"/>
              <w:rPr>
                <w:color w:val="auto"/>
              </w:rPr>
            </w:pPr>
            <w:r>
              <w:rPr>
                <w:rFonts w:hint="eastAsia" w:eastAsia="宋体"/>
                <w:color w:val="auto"/>
                <w:lang w:val="en-US" w:eastAsia="zh-CN"/>
              </w:rPr>
              <w:t>0.155</w:t>
            </w:r>
            <w:r>
              <w:rPr>
                <w:rFonts w:hint="eastAsia" w:eastAsia="宋体"/>
                <w:color w:val="auto"/>
                <w:lang w:eastAsia="zh-CN"/>
              </w:rPr>
              <w:t>t/a</w:t>
            </w:r>
          </w:p>
        </w:tc>
        <w:tc>
          <w:tcPr>
            <w:tcW w:w="1202" w:type="dxa"/>
            <w:tcBorders>
              <w:bottom w:val="single" w:color="auto" w:sz="4" w:space="0"/>
              <w:right w:val="single" w:color="000000" w:sz="6" w:space="0"/>
            </w:tcBorders>
            <w:vAlign w:val="center"/>
          </w:tcPr>
          <w:p>
            <w:pPr>
              <w:kinsoku/>
              <w:jc w:val="center"/>
              <w:rPr>
                <w:color w:val="auto"/>
              </w:rPr>
            </w:pPr>
            <w:r>
              <w:rPr>
                <w:rFonts w:hint="eastAsia" w:eastAsia="宋体"/>
                <w:color w:val="auto"/>
                <w:lang w:eastAsia="zh-CN"/>
              </w:rPr>
              <w:t>+0.</w:t>
            </w:r>
            <w:r>
              <w:rPr>
                <w:rFonts w:hint="eastAsia" w:eastAsia="宋体"/>
                <w:color w:val="auto"/>
                <w:lang w:val="en-US" w:eastAsia="zh-CN"/>
              </w:rPr>
              <w:t>155</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restart"/>
            <w:tcBorders>
              <w:top w:val="single" w:color="auto" w:sz="4" w:space="0"/>
              <w:left w:val="single" w:color="auto" w:sz="4" w:space="0"/>
            </w:tcBorders>
            <w:vAlign w:val="center"/>
          </w:tcPr>
          <w:p>
            <w:pPr>
              <w:kinsoku/>
              <w:jc w:val="center"/>
              <w:rPr>
                <w:color w:val="auto"/>
              </w:rPr>
            </w:pPr>
            <w:r>
              <w:rPr>
                <w:color w:val="auto"/>
              </w:rPr>
              <w:t>废水</w:t>
            </w:r>
          </w:p>
        </w:tc>
        <w:tc>
          <w:tcPr>
            <w:tcW w:w="1930" w:type="dxa"/>
            <w:tcBorders>
              <w:top w:val="single" w:color="auto" w:sz="4" w:space="0"/>
            </w:tcBorders>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CODcr</w:t>
            </w:r>
          </w:p>
        </w:tc>
        <w:tc>
          <w:tcPr>
            <w:tcW w:w="1699" w:type="dxa"/>
            <w:tcBorders>
              <w:top w:val="single" w:color="auto" w:sz="4" w:space="0"/>
            </w:tcBorders>
            <w:vAlign w:val="center"/>
          </w:tcPr>
          <w:p>
            <w:pPr>
              <w:kinsoku/>
              <w:jc w:val="center"/>
              <w:rPr>
                <w:color w:val="auto"/>
              </w:rPr>
            </w:pPr>
            <w:r>
              <w:rPr>
                <w:color w:val="auto"/>
              </w:rPr>
              <w:t>/</w:t>
            </w:r>
          </w:p>
        </w:tc>
        <w:tc>
          <w:tcPr>
            <w:tcW w:w="1275" w:type="dxa"/>
            <w:tcBorders>
              <w:top w:val="single" w:color="auto" w:sz="4" w:space="0"/>
            </w:tcBorders>
            <w:vAlign w:val="center"/>
          </w:tcPr>
          <w:p>
            <w:pPr>
              <w:kinsoku/>
              <w:jc w:val="center"/>
              <w:rPr>
                <w:color w:val="auto"/>
              </w:rPr>
            </w:pPr>
            <w:r>
              <w:rPr>
                <w:color w:val="auto"/>
              </w:rPr>
              <w:t>/</w:t>
            </w:r>
          </w:p>
        </w:tc>
        <w:tc>
          <w:tcPr>
            <w:tcW w:w="1699" w:type="dxa"/>
            <w:tcBorders>
              <w:top w:val="single" w:color="auto" w:sz="4" w:space="0"/>
            </w:tcBorders>
            <w:vAlign w:val="center"/>
          </w:tcPr>
          <w:p>
            <w:pPr>
              <w:kinsoku/>
              <w:jc w:val="center"/>
              <w:rPr>
                <w:color w:val="auto"/>
              </w:rPr>
            </w:pPr>
            <w:r>
              <w:rPr>
                <w:color w:val="auto"/>
              </w:rPr>
              <w:t>/</w:t>
            </w:r>
          </w:p>
        </w:tc>
        <w:tc>
          <w:tcPr>
            <w:tcW w:w="1557" w:type="dxa"/>
            <w:tcBorders>
              <w:top w:val="single" w:color="auto" w:sz="4" w:space="0"/>
            </w:tcBorders>
            <w:vAlign w:val="center"/>
          </w:tcPr>
          <w:p>
            <w:pPr>
              <w:kinsoku/>
              <w:jc w:val="center"/>
              <w:rPr>
                <w:rFonts w:eastAsia="宋体"/>
                <w:color w:val="auto"/>
                <w:lang w:eastAsia="zh-CN"/>
              </w:rPr>
            </w:pPr>
            <w:r>
              <w:rPr>
                <w:rFonts w:hint="eastAsia" w:eastAsia="宋体"/>
                <w:color w:val="auto"/>
                <w:lang w:eastAsia="zh-CN"/>
              </w:rPr>
              <w:t>0.1285</w:t>
            </w:r>
            <w:r>
              <w:rPr>
                <w:rFonts w:hint="eastAsia"/>
                <w:color w:val="auto"/>
              </w:rPr>
              <w:t>t/a</w:t>
            </w:r>
          </w:p>
        </w:tc>
        <w:tc>
          <w:tcPr>
            <w:tcW w:w="1759" w:type="dxa"/>
            <w:tcBorders>
              <w:top w:val="single" w:color="auto" w:sz="4" w:space="0"/>
            </w:tcBorders>
            <w:vAlign w:val="center"/>
          </w:tcPr>
          <w:p>
            <w:pPr>
              <w:kinsoku/>
              <w:jc w:val="center"/>
              <w:rPr>
                <w:color w:val="auto"/>
              </w:rPr>
            </w:pPr>
            <w:r>
              <w:rPr>
                <w:color w:val="auto"/>
              </w:rPr>
              <w:t>/</w:t>
            </w:r>
          </w:p>
        </w:tc>
        <w:tc>
          <w:tcPr>
            <w:tcW w:w="1864" w:type="dxa"/>
            <w:tcBorders>
              <w:top w:val="single" w:color="auto" w:sz="4" w:space="0"/>
            </w:tcBorders>
            <w:vAlign w:val="center"/>
          </w:tcPr>
          <w:p>
            <w:pPr>
              <w:kinsoku/>
              <w:jc w:val="center"/>
              <w:rPr>
                <w:color w:val="auto"/>
              </w:rPr>
            </w:pPr>
            <w:r>
              <w:rPr>
                <w:rFonts w:hint="eastAsia" w:eastAsia="宋体"/>
                <w:color w:val="auto"/>
                <w:lang w:eastAsia="zh-CN"/>
              </w:rPr>
              <w:t>0.1285</w:t>
            </w:r>
            <w:r>
              <w:rPr>
                <w:rFonts w:hint="eastAsia"/>
                <w:color w:val="auto"/>
              </w:rPr>
              <w:t>t/a</w:t>
            </w:r>
          </w:p>
        </w:tc>
        <w:tc>
          <w:tcPr>
            <w:tcW w:w="1202" w:type="dxa"/>
            <w:tcBorders>
              <w:top w:val="single" w:color="auto" w:sz="4" w:space="0"/>
              <w:right w:val="single" w:color="000000" w:sz="6" w:space="0"/>
            </w:tcBorders>
            <w:vAlign w:val="center"/>
          </w:tcPr>
          <w:p>
            <w:pPr>
              <w:kinsoku/>
              <w:jc w:val="center"/>
              <w:rPr>
                <w:color w:val="auto"/>
              </w:rPr>
            </w:pPr>
            <w:r>
              <w:rPr>
                <w:rFonts w:hint="eastAsia" w:eastAsia="宋体"/>
                <w:color w:val="auto"/>
                <w:lang w:eastAsia="zh-CN"/>
              </w:rPr>
              <w:t>+0.1285</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BOD</w:t>
            </w:r>
            <w:r>
              <w:rPr>
                <w:rFonts w:ascii="Times New Roman" w:hAnsi="Times New Roman" w:eastAsia="宋体" w:cs="Times New Roman"/>
                <w:color w:val="auto"/>
                <w:vertAlign w:val="subscript"/>
              </w:rPr>
              <w:t>5</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vAlign w:val="center"/>
          </w:tcPr>
          <w:p>
            <w:pPr>
              <w:kinsoku/>
              <w:jc w:val="center"/>
              <w:rPr>
                <w:color w:val="auto"/>
              </w:rPr>
            </w:pPr>
            <w:r>
              <w:rPr>
                <w:color w:val="auto"/>
              </w:rPr>
              <w:t>/</w:t>
            </w:r>
          </w:p>
        </w:tc>
        <w:tc>
          <w:tcPr>
            <w:tcW w:w="1557" w:type="dxa"/>
            <w:vAlign w:val="center"/>
          </w:tcPr>
          <w:p>
            <w:pPr>
              <w:kinsoku/>
              <w:jc w:val="center"/>
              <w:rPr>
                <w:rFonts w:eastAsia="宋体"/>
                <w:color w:val="auto"/>
                <w:lang w:eastAsia="zh-CN"/>
              </w:rPr>
            </w:pPr>
            <w:r>
              <w:rPr>
                <w:rFonts w:hint="eastAsia" w:eastAsia="宋体"/>
                <w:color w:val="auto"/>
                <w:lang w:eastAsia="zh-CN"/>
              </w:rPr>
              <w:t>0.0648</w:t>
            </w:r>
            <w:r>
              <w:rPr>
                <w:rFonts w:hint="eastAsia"/>
                <w:color w:val="auto"/>
              </w:rPr>
              <w:t>t/a</w:t>
            </w:r>
          </w:p>
        </w:tc>
        <w:tc>
          <w:tcPr>
            <w:tcW w:w="1759" w:type="dxa"/>
            <w:vAlign w:val="center"/>
          </w:tcPr>
          <w:p>
            <w:pPr>
              <w:kinsoku/>
              <w:jc w:val="center"/>
              <w:rPr>
                <w:color w:val="auto"/>
              </w:rPr>
            </w:pPr>
            <w:r>
              <w:rPr>
                <w:color w:val="auto"/>
              </w:rPr>
              <w:t>/</w:t>
            </w:r>
          </w:p>
        </w:tc>
        <w:tc>
          <w:tcPr>
            <w:tcW w:w="1864" w:type="dxa"/>
            <w:vAlign w:val="center"/>
          </w:tcPr>
          <w:p>
            <w:pPr>
              <w:kinsoku/>
              <w:jc w:val="center"/>
              <w:rPr>
                <w:color w:val="auto"/>
              </w:rPr>
            </w:pPr>
            <w:r>
              <w:rPr>
                <w:rFonts w:hint="eastAsia" w:eastAsia="宋体"/>
                <w:color w:val="auto"/>
                <w:lang w:eastAsia="zh-CN"/>
              </w:rPr>
              <w:t>0.0648</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+0.0648</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总氮</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vAlign w:val="center"/>
          </w:tcPr>
          <w:p>
            <w:pPr>
              <w:kinsoku/>
              <w:jc w:val="center"/>
              <w:rPr>
                <w:color w:val="auto"/>
              </w:rPr>
            </w:pPr>
            <w:r>
              <w:rPr>
                <w:color w:val="auto"/>
              </w:rPr>
              <w:t>/</w:t>
            </w:r>
          </w:p>
        </w:tc>
        <w:tc>
          <w:tcPr>
            <w:tcW w:w="1557" w:type="dxa"/>
            <w:vAlign w:val="center"/>
          </w:tcPr>
          <w:p>
            <w:pPr>
              <w:kinsoku/>
              <w:jc w:val="center"/>
              <w:rPr>
                <w:rFonts w:eastAsia="宋体"/>
                <w:color w:val="auto"/>
                <w:lang w:eastAsia="zh-CN"/>
              </w:rPr>
            </w:pPr>
            <w:r>
              <w:rPr>
                <w:rFonts w:hint="eastAsia" w:eastAsia="宋体"/>
                <w:color w:val="auto"/>
                <w:lang w:eastAsia="zh-CN"/>
              </w:rPr>
              <w:t>0.0195</w:t>
            </w:r>
            <w:r>
              <w:rPr>
                <w:rFonts w:hint="eastAsia"/>
                <w:color w:val="auto"/>
              </w:rPr>
              <w:t>t/a</w:t>
            </w:r>
          </w:p>
        </w:tc>
        <w:tc>
          <w:tcPr>
            <w:tcW w:w="1759" w:type="dxa"/>
            <w:vAlign w:val="center"/>
          </w:tcPr>
          <w:p>
            <w:pPr>
              <w:kinsoku/>
              <w:jc w:val="center"/>
              <w:rPr>
                <w:color w:val="auto"/>
              </w:rPr>
            </w:pPr>
            <w:r>
              <w:rPr>
                <w:color w:val="auto"/>
              </w:rPr>
              <w:t>/</w:t>
            </w:r>
          </w:p>
        </w:tc>
        <w:tc>
          <w:tcPr>
            <w:tcW w:w="1864" w:type="dxa"/>
            <w:vAlign w:val="center"/>
          </w:tcPr>
          <w:p>
            <w:pPr>
              <w:kinsoku/>
              <w:jc w:val="center"/>
              <w:rPr>
                <w:color w:val="auto"/>
              </w:rPr>
            </w:pPr>
            <w:r>
              <w:rPr>
                <w:rFonts w:hint="eastAsia" w:eastAsia="宋体"/>
                <w:color w:val="auto"/>
                <w:lang w:eastAsia="zh-CN"/>
              </w:rPr>
              <w:t>0.0195</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+0.0195</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氨氮</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vAlign w:val="center"/>
          </w:tcPr>
          <w:p>
            <w:pPr>
              <w:kinsoku/>
              <w:jc w:val="center"/>
              <w:rPr>
                <w:color w:val="auto"/>
              </w:rPr>
            </w:pPr>
            <w:r>
              <w:rPr>
                <w:color w:val="auto"/>
              </w:rPr>
              <w:t>/</w:t>
            </w:r>
          </w:p>
        </w:tc>
        <w:tc>
          <w:tcPr>
            <w:tcW w:w="1557" w:type="dxa"/>
            <w:vAlign w:val="center"/>
          </w:tcPr>
          <w:p>
            <w:pPr>
              <w:kinsoku/>
              <w:jc w:val="center"/>
              <w:rPr>
                <w:rFonts w:eastAsia="宋体"/>
                <w:color w:val="auto"/>
                <w:lang w:eastAsia="zh-CN"/>
              </w:rPr>
            </w:pPr>
            <w:r>
              <w:rPr>
                <w:rFonts w:hint="eastAsia" w:eastAsia="宋体"/>
                <w:color w:val="auto"/>
                <w:lang w:eastAsia="zh-CN"/>
              </w:rPr>
              <w:t>0.0198</w:t>
            </w:r>
            <w:r>
              <w:rPr>
                <w:rFonts w:hint="eastAsia"/>
                <w:color w:val="auto"/>
              </w:rPr>
              <w:t>t/a</w:t>
            </w:r>
          </w:p>
        </w:tc>
        <w:tc>
          <w:tcPr>
            <w:tcW w:w="1759" w:type="dxa"/>
            <w:vAlign w:val="center"/>
          </w:tcPr>
          <w:p>
            <w:pPr>
              <w:kinsoku/>
              <w:jc w:val="center"/>
              <w:rPr>
                <w:color w:val="auto"/>
              </w:rPr>
            </w:pPr>
            <w:r>
              <w:rPr>
                <w:color w:val="auto"/>
              </w:rPr>
              <w:t>/</w:t>
            </w:r>
          </w:p>
        </w:tc>
        <w:tc>
          <w:tcPr>
            <w:tcW w:w="1864" w:type="dxa"/>
            <w:vAlign w:val="center"/>
          </w:tcPr>
          <w:p>
            <w:pPr>
              <w:kinsoku/>
              <w:jc w:val="center"/>
              <w:rPr>
                <w:color w:val="auto"/>
              </w:rPr>
            </w:pPr>
            <w:r>
              <w:rPr>
                <w:rFonts w:hint="eastAsia" w:eastAsia="宋体"/>
                <w:color w:val="auto"/>
                <w:lang w:eastAsia="zh-CN"/>
              </w:rPr>
              <w:t>0.0198</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+0.0198</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rPr>
            </w:pPr>
            <w:r>
              <w:rPr>
                <w:rFonts w:ascii="Times New Roman" w:hAnsi="Times New Roman" w:eastAsia="宋体" w:cs="Times New Roman"/>
                <w:color w:val="auto"/>
              </w:rPr>
              <w:t>总磷</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vAlign w:val="center"/>
          </w:tcPr>
          <w:p>
            <w:pPr>
              <w:kinsoku/>
              <w:jc w:val="center"/>
              <w:rPr>
                <w:color w:val="auto"/>
              </w:rPr>
            </w:pPr>
            <w:r>
              <w:rPr>
                <w:color w:val="auto"/>
              </w:rPr>
              <w:t>/</w:t>
            </w:r>
          </w:p>
        </w:tc>
        <w:tc>
          <w:tcPr>
            <w:tcW w:w="1557" w:type="dxa"/>
            <w:vAlign w:val="center"/>
          </w:tcPr>
          <w:p>
            <w:pPr>
              <w:kinsoku/>
              <w:jc w:val="center"/>
              <w:rPr>
                <w:rFonts w:eastAsia="宋体"/>
                <w:color w:val="auto"/>
                <w:lang w:eastAsia="zh-CN"/>
              </w:rPr>
            </w:pPr>
            <w:r>
              <w:rPr>
                <w:rFonts w:hint="eastAsia" w:eastAsia="宋体"/>
                <w:color w:val="auto"/>
                <w:lang w:eastAsia="zh-CN"/>
              </w:rPr>
              <w:t>0.0030</w:t>
            </w:r>
            <w:r>
              <w:rPr>
                <w:rFonts w:hint="eastAsia"/>
                <w:color w:val="auto"/>
              </w:rPr>
              <w:t>t/a</w:t>
            </w:r>
          </w:p>
        </w:tc>
        <w:tc>
          <w:tcPr>
            <w:tcW w:w="1759" w:type="dxa"/>
            <w:vAlign w:val="center"/>
          </w:tcPr>
          <w:p>
            <w:pPr>
              <w:kinsoku/>
              <w:jc w:val="center"/>
              <w:rPr>
                <w:color w:val="auto"/>
              </w:rPr>
            </w:pPr>
            <w:r>
              <w:rPr>
                <w:color w:val="auto"/>
              </w:rPr>
              <w:t>/</w:t>
            </w:r>
          </w:p>
        </w:tc>
        <w:tc>
          <w:tcPr>
            <w:tcW w:w="1864" w:type="dxa"/>
            <w:vAlign w:val="center"/>
          </w:tcPr>
          <w:p>
            <w:pPr>
              <w:kinsoku/>
              <w:jc w:val="center"/>
              <w:rPr>
                <w:color w:val="auto"/>
              </w:rPr>
            </w:pPr>
            <w:r>
              <w:rPr>
                <w:rFonts w:hint="eastAsia" w:eastAsia="宋体"/>
                <w:color w:val="auto"/>
                <w:lang w:eastAsia="zh-CN"/>
              </w:rPr>
              <w:t>0.0030</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+0.0030</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动植物油</w:t>
            </w:r>
          </w:p>
        </w:tc>
        <w:tc>
          <w:tcPr>
            <w:tcW w:w="1699" w:type="dxa"/>
            <w:vAlign w:val="center"/>
          </w:tcPr>
          <w:p>
            <w:pPr>
              <w:kinsoku/>
              <w:jc w:val="center"/>
              <w:rPr>
                <w:rFonts w:eastAsia="宋体"/>
                <w:color w:val="auto"/>
                <w:lang w:eastAsia="zh-CN"/>
              </w:rPr>
            </w:pPr>
            <w:r>
              <w:rPr>
                <w:rFonts w:hint="eastAsia" w:eastAsia="宋体"/>
                <w:color w:val="auto"/>
                <w:lang w:eastAsia="zh-CN"/>
              </w:rPr>
              <w:t>/</w:t>
            </w:r>
          </w:p>
        </w:tc>
        <w:tc>
          <w:tcPr>
            <w:tcW w:w="1275" w:type="dxa"/>
            <w:vAlign w:val="center"/>
          </w:tcPr>
          <w:p>
            <w:pPr>
              <w:kinsoku/>
              <w:jc w:val="center"/>
              <w:rPr>
                <w:rFonts w:eastAsia="宋体"/>
                <w:color w:val="auto"/>
                <w:lang w:eastAsia="zh-CN"/>
              </w:rPr>
            </w:pPr>
            <w:r>
              <w:rPr>
                <w:rFonts w:hint="eastAsia" w:eastAsia="宋体"/>
                <w:color w:val="auto"/>
                <w:lang w:eastAsia="zh-CN"/>
              </w:rPr>
              <w:t>/</w:t>
            </w:r>
          </w:p>
        </w:tc>
        <w:tc>
          <w:tcPr>
            <w:tcW w:w="1699" w:type="dxa"/>
            <w:vAlign w:val="center"/>
          </w:tcPr>
          <w:p>
            <w:pPr>
              <w:kinsoku/>
              <w:jc w:val="center"/>
              <w:rPr>
                <w:rFonts w:eastAsia="宋体"/>
                <w:color w:val="auto"/>
                <w:lang w:eastAsia="zh-CN"/>
              </w:rPr>
            </w:pPr>
            <w:r>
              <w:rPr>
                <w:rFonts w:hint="eastAsia" w:eastAsia="宋体"/>
                <w:color w:val="auto"/>
                <w:lang w:eastAsia="zh-CN"/>
              </w:rPr>
              <w:t>/</w:t>
            </w:r>
          </w:p>
        </w:tc>
        <w:tc>
          <w:tcPr>
            <w:tcW w:w="1557" w:type="dxa"/>
            <w:vAlign w:val="center"/>
          </w:tcPr>
          <w:p>
            <w:pPr>
              <w:kinsoku/>
              <w:jc w:val="center"/>
              <w:rPr>
                <w:rFonts w:eastAsia="宋体"/>
                <w:color w:val="auto"/>
                <w:lang w:eastAsia="zh-CN"/>
              </w:rPr>
            </w:pPr>
            <w:r>
              <w:rPr>
                <w:rFonts w:hint="eastAsia" w:eastAsia="宋体"/>
                <w:color w:val="auto"/>
                <w:lang w:eastAsia="zh-CN"/>
              </w:rPr>
              <w:t>0.0111</w:t>
            </w:r>
            <w:r>
              <w:rPr>
                <w:rFonts w:hint="eastAsia"/>
                <w:color w:val="auto"/>
              </w:rPr>
              <w:t>t/a</w:t>
            </w:r>
          </w:p>
        </w:tc>
        <w:tc>
          <w:tcPr>
            <w:tcW w:w="1759" w:type="dxa"/>
            <w:vAlign w:val="center"/>
          </w:tcPr>
          <w:p>
            <w:pPr>
              <w:kinsoku/>
              <w:jc w:val="center"/>
              <w:rPr>
                <w:rFonts w:eastAsia="宋体"/>
                <w:color w:val="auto"/>
                <w:lang w:eastAsia="zh-CN"/>
              </w:rPr>
            </w:pPr>
            <w:r>
              <w:rPr>
                <w:rFonts w:hint="eastAsia" w:eastAsia="宋体"/>
                <w:color w:val="auto"/>
                <w:lang w:eastAsia="zh-CN"/>
              </w:rPr>
              <w:t>/</w:t>
            </w:r>
          </w:p>
        </w:tc>
        <w:tc>
          <w:tcPr>
            <w:tcW w:w="1864" w:type="dxa"/>
            <w:vAlign w:val="center"/>
          </w:tcPr>
          <w:p>
            <w:pPr>
              <w:kinsoku/>
              <w:jc w:val="center"/>
              <w:rPr>
                <w:color w:val="auto"/>
              </w:rPr>
            </w:pPr>
            <w:r>
              <w:rPr>
                <w:rFonts w:hint="eastAsia" w:eastAsia="宋体"/>
                <w:color w:val="auto"/>
                <w:lang w:eastAsia="zh-CN"/>
              </w:rPr>
              <w:t>0.0111</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+0.0111</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bottom w:val="single" w:color="auto" w:sz="4" w:space="0"/>
            </w:tcBorders>
            <w:vAlign w:val="center"/>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SS</w:t>
            </w:r>
          </w:p>
        </w:tc>
        <w:tc>
          <w:tcPr>
            <w:tcW w:w="1699" w:type="dxa"/>
            <w:vAlign w:val="center"/>
          </w:tcPr>
          <w:p>
            <w:pPr>
              <w:kinsoku/>
              <w:jc w:val="center"/>
              <w:rPr>
                <w:rFonts w:eastAsia="宋体"/>
                <w:color w:val="auto"/>
                <w:lang w:eastAsia="zh-CN"/>
              </w:rPr>
            </w:pPr>
            <w:r>
              <w:rPr>
                <w:rFonts w:hint="eastAsia" w:eastAsia="宋体"/>
                <w:color w:val="auto"/>
                <w:lang w:eastAsia="zh-CN"/>
              </w:rPr>
              <w:t>/</w:t>
            </w:r>
          </w:p>
        </w:tc>
        <w:tc>
          <w:tcPr>
            <w:tcW w:w="1275" w:type="dxa"/>
            <w:vAlign w:val="center"/>
          </w:tcPr>
          <w:p>
            <w:pPr>
              <w:kinsoku/>
              <w:jc w:val="center"/>
              <w:rPr>
                <w:rFonts w:eastAsia="宋体"/>
                <w:color w:val="auto"/>
                <w:lang w:eastAsia="zh-CN"/>
              </w:rPr>
            </w:pPr>
            <w:r>
              <w:rPr>
                <w:rFonts w:hint="eastAsia" w:eastAsia="宋体"/>
                <w:color w:val="auto"/>
                <w:lang w:eastAsia="zh-CN"/>
              </w:rPr>
              <w:t>/</w:t>
            </w:r>
          </w:p>
        </w:tc>
        <w:tc>
          <w:tcPr>
            <w:tcW w:w="1699" w:type="dxa"/>
            <w:vAlign w:val="center"/>
          </w:tcPr>
          <w:p>
            <w:pPr>
              <w:kinsoku/>
              <w:jc w:val="center"/>
              <w:rPr>
                <w:rFonts w:eastAsia="宋体"/>
                <w:color w:val="auto"/>
                <w:lang w:eastAsia="zh-CN"/>
              </w:rPr>
            </w:pPr>
            <w:r>
              <w:rPr>
                <w:rFonts w:hint="eastAsia" w:eastAsia="宋体"/>
                <w:color w:val="auto"/>
                <w:lang w:eastAsia="zh-CN"/>
              </w:rPr>
              <w:t>/</w:t>
            </w:r>
          </w:p>
        </w:tc>
        <w:tc>
          <w:tcPr>
            <w:tcW w:w="1557" w:type="dxa"/>
            <w:vAlign w:val="center"/>
          </w:tcPr>
          <w:p>
            <w:pPr>
              <w:kinsoku/>
              <w:jc w:val="center"/>
              <w:rPr>
                <w:rFonts w:eastAsia="宋体"/>
                <w:color w:val="auto"/>
                <w:lang w:eastAsia="zh-CN"/>
              </w:rPr>
            </w:pPr>
            <w:r>
              <w:rPr>
                <w:rFonts w:hint="eastAsia" w:eastAsia="宋体"/>
                <w:color w:val="auto"/>
                <w:lang w:eastAsia="zh-CN"/>
              </w:rPr>
              <w:t>0.0683</w:t>
            </w:r>
            <w:r>
              <w:rPr>
                <w:rFonts w:hint="eastAsia"/>
                <w:color w:val="auto"/>
              </w:rPr>
              <w:t>t/a</w:t>
            </w:r>
          </w:p>
        </w:tc>
        <w:tc>
          <w:tcPr>
            <w:tcW w:w="1759" w:type="dxa"/>
            <w:vAlign w:val="center"/>
          </w:tcPr>
          <w:p>
            <w:pPr>
              <w:kinsoku/>
              <w:jc w:val="center"/>
              <w:rPr>
                <w:rFonts w:eastAsia="宋体"/>
                <w:color w:val="auto"/>
                <w:lang w:eastAsia="zh-CN"/>
              </w:rPr>
            </w:pPr>
            <w:r>
              <w:rPr>
                <w:rFonts w:hint="eastAsia" w:eastAsia="宋体"/>
                <w:color w:val="auto"/>
                <w:lang w:eastAsia="zh-CN"/>
              </w:rPr>
              <w:t>/</w:t>
            </w:r>
          </w:p>
        </w:tc>
        <w:tc>
          <w:tcPr>
            <w:tcW w:w="1864" w:type="dxa"/>
            <w:vAlign w:val="center"/>
          </w:tcPr>
          <w:p>
            <w:pPr>
              <w:kinsoku/>
              <w:jc w:val="center"/>
              <w:rPr>
                <w:color w:val="auto"/>
              </w:rPr>
            </w:pPr>
            <w:r>
              <w:rPr>
                <w:rFonts w:hint="eastAsia" w:eastAsia="宋体"/>
                <w:color w:val="auto"/>
                <w:lang w:eastAsia="zh-CN"/>
              </w:rPr>
              <w:t>0.0683</w:t>
            </w:r>
            <w:r>
              <w:rPr>
                <w:rFonts w:hint="eastAsia"/>
                <w:color w:val="auto"/>
              </w:rPr>
              <w:t>t/a</w:t>
            </w:r>
          </w:p>
        </w:tc>
        <w:tc>
          <w:tcPr>
            <w:tcW w:w="1202" w:type="dxa"/>
            <w:tcBorders>
              <w:right w:val="single" w:color="000000" w:sz="6" w:space="0"/>
            </w:tcBorders>
            <w:vAlign w:val="center"/>
          </w:tcPr>
          <w:p>
            <w:pPr>
              <w:kinsoku/>
              <w:jc w:val="center"/>
              <w:rPr>
                <w:color w:val="auto"/>
              </w:rPr>
            </w:pPr>
            <w:r>
              <w:rPr>
                <w:rFonts w:hint="eastAsia" w:eastAsia="宋体"/>
                <w:color w:val="auto"/>
                <w:lang w:eastAsia="zh-CN"/>
              </w:rPr>
              <w:t>+0.0683</w:t>
            </w:r>
            <w:r>
              <w:rPr>
                <w:rFonts w:hint="eastAsia"/>
                <w:color w:val="auto"/>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restart"/>
            <w:tcBorders>
              <w:top w:val="single" w:color="auto" w:sz="4" w:space="0"/>
              <w:left w:val="single" w:color="auto" w:sz="4" w:space="0"/>
              <w:right w:val="single" w:color="auto" w:sz="4" w:space="0"/>
            </w:tcBorders>
            <w:vAlign w:val="center"/>
          </w:tcPr>
          <w:p>
            <w:pPr>
              <w:kinsoku/>
              <w:jc w:val="center"/>
              <w:rPr>
                <w:color w:val="auto"/>
              </w:rPr>
            </w:pPr>
            <w:r>
              <w:rPr>
                <w:color w:val="auto"/>
              </w:rPr>
              <w:t>一般工业固体废物</w:t>
            </w: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废边角料</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eastAsia="宋体"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+16.986</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不合格产品</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93.423</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93.423</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+93.423</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中央除尘系统收尘</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0.2061</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0.2061</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+0.2061</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废胶</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0.06</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0.06</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+0.06</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废包装</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3</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3</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+3</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bottom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w:t>
            </w:r>
            <w:r>
              <w:rPr>
                <w:rFonts w:hint="eastAsia" w:ascii="Times New Roman" w:hAnsi="Times New Roman" w:cs="Times New Roman"/>
                <w:color w:val="auto"/>
                <w:lang w:eastAsia="zh-CN"/>
              </w:rPr>
              <w:t>胶</w:t>
            </w:r>
            <w:r>
              <w:rPr>
                <w:rFonts w:ascii="Times New Roman" w:hAnsi="Times New Roman" w:cs="Times New Roman"/>
                <w:color w:val="auto"/>
                <w:lang w:eastAsia="zh-CN"/>
              </w:rPr>
              <w:t>桶</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eastAsia="宋体"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restart"/>
            <w:tcBorders>
              <w:top w:val="single" w:color="auto" w:sz="4" w:space="0"/>
              <w:left w:val="single" w:color="auto" w:sz="4" w:space="0"/>
              <w:right w:val="single" w:color="auto" w:sz="4" w:space="0"/>
            </w:tcBorders>
            <w:vAlign w:val="center"/>
          </w:tcPr>
          <w:p>
            <w:pPr>
              <w:kinsoku/>
              <w:jc w:val="center"/>
              <w:rPr>
                <w:color w:val="auto"/>
              </w:rPr>
            </w:pPr>
            <w:r>
              <w:rPr>
                <w:color w:val="auto"/>
              </w:rPr>
              <w:t>危险废物</w:t>
            </w: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废活性炭</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0.5508t</w:t>
            </w:r>
            <w:r>
              <w:rPr>
                <w:rFonts w:hint="eastAsia" w:eastAsia="宋体"/>
                <w:color w:val="auto"/>
                <w:lang w:eastAsia="zh-CN"/>
              </w:rPr>
              <w: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0.5508t</w:t>
            </w:r>
            <w:r>
              <w:rPr>
                <w:rFonts w:hint="eastAsia" w:eastAsia="宋体"/>
                <w:color w:val="auto"/>
                <w:lang w:eastAsia="zh-CN"/>
              </w:rPr>
              <w: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+0.5508t</w:t>
            </w:r>
            <w:r>
              <w:rPr>
                <w:rFonts w:hint="eastAsia" w:eastAsia="宋体"/>
                <w:color w:val="auto"/>
                <w:lang w:eastAsia="zh-C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vAlign w:val="center"/>
          </w:tcPr>
          <w:p>
            <w:pPr>
              <w:kinsoku/>
              <w:jc w:val="center"/>
              <w:rPr>
                <w:color w:val="auto"/>
              </w:rPr>
            </w:pPr>
          </w:p>
        </w:tc>
        <w:tc>
          <w:tcPr>
            <w:tcW w:w="1930" w:type="dxa"/>
            <w:tcBorders>
              <w:left w:val="single" w:color="auto" w:sz="4" w:space="0"/>
            </w:tcBorders>
            <w:shd w:val="clear" w:color="auto" w:fill="auto"/>
            <w:vAlign w:val="center"/>
          </w:tcPr>
          <w:p>
            <w:pPr>
              <w:kinsoku/>
              <w:jc w:val="center"/>
              <w:rPr>
                <w:rFonts w:ascii="Times New Roman" w:hAnsi="Times New Roman" w:cs="Times New Roman"/>
                <w:color w:val="auto"/>
                <w:lang w:eastAsia="zh-CN"/>
              </w:rPr>
            </w:pPr>
            <w:r>
              <w:rPr>
                <w:rFonts w:ascii="Times New Roman" w:hAnsi="Times New Roman" w:cs="Times New Roman"/>
                <w:color w:val="auto"/>
                <w:lang w:eastAsia="zh-CN"/>
              </w:rPr>
              <w:t>废润滑油</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0.02</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0.02</w:t>
            </w:r>
            <w:r>
              <w:rPr>
                <w:rFonts w:hint="eastAsia" w:eastAsia="宋体"/>
                <w:color w:val="auto"/>
                <w:lang w:eastAsia="zh-CN"/>
              </w:rPr>
              <w:t>t/a</w:t>
            </w:r>
          </w:p>
        </w:tc>
        <w:tc>
          <w:tcPr>
            <w:tcW w:w="1202" w:type="dxa"/>
            <w:tcBorders>
              <w:right w:val="single" w:color="000000" w:sz="6" w:space="0"/>
            </w:tcBorders>
            <w:shd w:val="clear" w:color="auto" w:fill="auto"/>
            <w:vAlign w:val="center"/>
          </w:tcPr>
          <w:p>
            <w:pPr>
              <w:kinsoku/>
              <w:jc w:val="center"/>
              <w:rPr>
                <w:rFonts w:ascii="Times New Roman" w:hAnsi="Times New Roman" w:cs="Times New Roman"/>
                <w:color w:val="auto"/>
                <w:lang w:eastAsia="zh-CN"/>
              </w:rPr>
            </w:pPr>
            <w:r>
              <w:rPr>
                <w:rFonts w:hint="eastAsia" w:ascii="Times New Roman" w:hAnsi="Times New Roman" w:cs="Times New Roman"/>
                <w:color w:val="auto"/>
                <w:lang w:eastAsia="zh-CN"/>
              </w:rPr>
              <w:t>+0.02</w:t>
            </w:r>
            <w:r>
              <w:rPr>
                <w:rFonts w:hint="eastAsia" w:eastAsia="宋体"/>
                <w:color w:val="auto"/>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81" w:type="dxa"/>
            <w:vMerge w:val="continue"/>
            <w:tcBorders>
              <w:left w:val="single" w:color="auto" w:sz="4" w:space="0"/>
              <w:right w:val="single" w:color="auto" w:sz="4" w:space="0"/>
            </w:tcBorders>
          </w:tcPr>
          <w:p>
            <w:pPr>
              <w:kinsoku/>
              <w:jc w:val="center"/>
              <w:rPr>
                <w:color w:val="auto"/>
              </w:rPr>
            </w:pPr>
          </w:p>
        </w:tc>
        <w:tc>
          <w:tcPr>
            <w:tcW w:w="1930"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废含油棉纱、手套</w:t>
            </w:r>
          </w:p>
        </w:tc>
        <w:tc>
          <w:tcPr>
            <w:tcW w:w="1699" w:type="dxa"/>
            <w:vAlign w:val="center"/>
          </w:tcPr>
          <w:p>
            <w:pPr>
              <w:kinsoku/>
              <w:jc w:val="center"/>
              <w:rPr>
                <w:color w:val="auto"/>
              </w:rPr>
            </w:pPr>
            <w:r>
              <w:rPr>
                <w:color w:val="auto"/>
              </w:rPr>
              <w:t>/</w:t>
            </w:r>
          </w:p>
        </w:tc>
        <w:tc>
          <w:tcPr>
            <w:tcW w:w="1275" w:type="dxa"/>
            <w:vAlign w:val="center"/>
          </w:tcPr>
          <w:p>
            <w:pPr>
              <w:kinsoku/>
              <w:jc w:val="center"/>
              <w:rPr>
                <w:color w:val="auto"/>
              </w:rPr>
            </w:pPr>
            <w:r>
              <w:rPr>
                <w:color w:val="auto"/>
              </w:rPr>
              <w:t>/</w:t>
            </w:r>
          </w:p>
        </w:tc>
        <w:tc>
          <w:tcPr>
            <w:tcW w:w="1699" w:type="dxa"/>
            <w:shd w:val="clear" w:color="auto" w:fill="auto"/>
            <w:vAlign w:val="center"/>
          </w:tcPr>
          <w:p>
            <w:pPr>
              <w:kinsoku/>
              <w:jc w:val="center"/>
              <w:rPr>
                <w:rFonts w:ascii="Times New Roman" w:hAnsi="Times New Roman" w:eastAsia="宋体" w:cs="Times New Roman"/>
                <w:color w:val="auto"/>
                <w:lang w:eastAsia="zh-CN"/>
              </w:rPr>
            </w:pPr>
            <w:r>
              <w:rPr>
                <w:rFonts w:hint="eastAsia" w:eastAsia="宋体"/>
                <w:color w:val="auto"/>
                <w:lang w:eastAsia="zh-CN"/>
              </w:rPr>
              <w:t>/</w:t>
            </w:r>
          </w:p>
        </w:tc>
        <w:tc>
          <w:tcPr>
            <w:tcW w:w="1557"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0.01</w:t>
            </w:r>
            <w:r>
              <w:rPr>
                <w:rFonts w:hint="eastAsia" w:eastAsia="宋体"/>
                <w:color w:val="auto"/>
                <w:lang w:eastAsia="zh-CN"/>
              </w:rPr>
              <w:t>t/a</w:t>
            </w:r>
          </w:p>
        </w:tc>
        <w:tc>
          <w:tcPr>
            <w:tcW w:w="1759" w:type="dxa"/>
            <w:vAlign w:val="center"/>
          </w:tcPr>
          <w:p>
            <w:pPr>
              <w:kinsoku/>
              <w:jc w:val="center"/>
              <w:rPr>
                <w:color w:val="auto"/>
              </w:rPr>
            </w:pPr>
            <w:r>
              <w:rPr>
                <w:color w:val="auto"/>
              </w:rPr>
              <w:t>/</w:t>
            </w:r>
          </w:p>
        </w:tc>
        <w:tc>
          <w:tcPr>
            <w:tcW w:w="1864" w:type="dxa"/>
            <w:shd w:val="clear" w:color="auto" w:fill="auto"/>
            <w:vAlign w:val="center"/>
          </w:tcPr>
          <w:p>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0.01</w:t>
            </w:r>
            <w:r>
              <w:rPr>
                <w:rFonts w:hint="eastAsia" w:eastAsia="宋体"/>
                <w:color w:val="auto"/>
                <w:lang w:eastAsia="zh-CN"/>
              </w:rPr>
              <w:t>t/a</w:t>
            </w:r>
          </w:p>
        </w:tc>
        <w:tc>
          <w:tcPr>
            <w:tcW w:w="1202" w:type="dxa"/>
            <w:shd w:val="clear" w:color="auto" w:fill="auto"/>
            <w:vAlign w:val="center"/>
          </w:tcPr>
          <w:p>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0.01</w:t>
            </w:r>
            <w:r>
              <w:rPr>
                <w:rFonts w:hint="eastAsia" w:eastAsia="宋体"/>
                <w:color w:val="auto"/>
                <w:lang w:eastAsia="zh-CN"/>
              </w:rPr>
              <w:t>t/a</w:t>
            </w:r>
          </w:p>
        </w:tc>
      </w:tr>
    </w:tbl>
    <w:p>
      <w:pPr>
        <w:kinsoku/>
        <w:spacing w:before="185" w:line="281" w:lineRule="exact"/>
        <w:ind w:left="46"/>
        <w:rPr>
          <w:rFonts w:hint="eastAsia" w:ascii="宋体" w:hAnsi="宋体" w:eastAsia="宋体" w:cs="宋体"/>
          <w:color w:val="auto"/>
          <w:sz w:val="20"/>
          <w:szCs w:val="20"/>
        </w:rPr>
      </w:pPr>
    </w:p>
    <w:p>
      <w:pPr>
        <w:kinsoku/>
        <w:rPr>
          <w:color w:val="auto"/>
        </w:rPr>
      </w:pPr>
    </w:p>
    <w:p>
      <w:pPr>
        <w:kinsoku/>
        <w:rPr>
          <w:color w:val="auto"/>
        </w:rPr>
      </w:pPr>
    </w:p>
    <w:p>
      <w:pPr>
        <w:rPr>
          <w:color w:val="auto"/>
        </w:rPr>
      </w:pPr>
    </w:p>
    <w:p>
      <w:pPr>
        <w:rPr>
          <w:color w:val="auto"/>
        </w:rPr>
      </w:pPr>
    </w:p>
    <w:p>
      <w:pPr>
        <w:rPr>
          <w:color w:val="auto"/>
        </w:rPr>
      </w:pPr>
    </w:p>
    <w:sectPr>
      <w:footerReference r:id="rId9" w:type="default"/>
      <w:pgSz w:w="16839" w:h="11906"/>
      <w:pgMar w:top="1012" w:right="1650" w:bottom="1014" w:left="1380" w:header="0" w:footer="85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0"/>
    <w:family w:val="auto"/>
    <w:pitch w:val="default"/>
    <w:sig w:usb0="E7006EFF" w:usb1="D200FDFF" w:usb2="0A246029" w:usb3="0400200C" w:csb0="600001FF" w:csb1="DFFF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SVju0AAA&#10;AAUBAAAPAAAAAAAAAAEAIAAAADgAAABkcnMvZG93bnJldi54bWxQSwECFAAUAAAACACHTuJAmeQ7&#10;0xACAAAJBAAADgAAAAAAAAABACAAAAA1AQAAZHJzL2Uyb0RvYy54bWxQSwUGAAAAAAYABgBZAQAA&#10;t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66"/>
      <w:rPr>
        <w:rFonts w:ascii="Times New Roman" w:hAnsi="Times New Roman" w:eastAsia="Times New Roman" w:cs="Times New Roman"/>
        <w:sz w:val="18"/>
        <w:szCs w:val="18"/>
      </w:rPr>
    </w:pPr>
    <w:r>
      <w:rPr>
        <w:sz w:val="18"/>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635" cy="13144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0.35pt;width:10.05pt;mso-position-horizontal:center;mso-position-horizontal-relative:margin;mso-wrap-style:none;z-index:251659264;mso-width-relative:page;mso-height-relative:page;" filled="f" stroked="f" coordsize="21600,21600" o:gfxdata="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Ffxt3Q&#10;AAAAAwEAAA8AAAAAAAAAAQAgAAAAOAAAAGRycy9kb3ducmV2LnhtbFBLAQIUABQAAAAIAIdO4kCQ&#10;evfVEgIAAAcEAAAOAAAAAAAAAAEAIAAAADUBAABkcnMvZTJvRG9jLnhtbFBLBQYAAAAABgAGAFkB&#10;AAC5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0"/>
      <w:rPr>
        <w:rFonts w:ascii="Times New Roman" w:hAnsi="Times New Roman" w:eastAsia="Times New Roman" w:cs="Times New Roman"/>
        <w:sz w:val="18"/>
        <w:szCs w:val="18"/>
      </w:rPr>
    </w:pPr>
    <w:r>
      <w:rPr>
        <w:sz w:val="18"/>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7635" cy="131445"/>
              <wp:effectExtent l="0" t="0" r="0" b="0"/>
              <wp:wrapNone/>
              <wp:docPr id="4" name="文本框 15"/>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0.35pt;width:10.05pt;mso-position-horizontal:center;mso-position-horizontal-relative:margin;mso-wrap-style:none;z-index:251660288;mso-width-relative:page;mso-height-relative:page;" filled="f" stroked="f" coordsize="21600,21600" o:gfxdata="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Ffxt3Q&#10;AAAAAwEAAA8AAAAAAAAAAQAgAAAAOAAAAGRycy9kb3ducmV2LnhtbFBLAQIUABQAAAAIAIdO4kBn&#10;GCmbEgIAAAYEAAAOAAAAAAAAAAEAIAAAADUBAABkcnMvZTJvRG9jLnhtbFBLBQYAAAAABgAGAFkB&#10;AAC5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NJWO7QAAAA&#10;BQEAAA8AAAAAAAAAAQAgAAAAOAAAAGRycy9kb3ducmV2LnhtbFBLAQIUABQAAAAIAIdO4kBKQcdP&#10;DwIAAAkEAAAOAAAAAAAAAAEAIAAAADUBAABkcnMvZTJvRG9jLnhtbFBLBQYAAAAABgAGAFkBAAC2&#10;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0lY7tAA&#10;AAAFAQAADwAAAAAAAAABACAAAAA4AAAAZHJzL2Rvd25yZXYueG1sUEsBAhQAFAAAAAgAh07iQI2i&#10;LBcRAgAACQQAAA4AAAAAAAAAAQAgAAAANQEAAGRycy9lMm9Eb2MueG1sUEsFBgAAAAAGAAYAWQEA&#10;ALg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SVju0AAA&#10;AAUBAAAPAAAAAAAAAAEAIAAAADgAAABkcnMvZG93bnJldi54bWxQSwECFAAUAAAACACHTuJAJe9/&#10;VxACAAAJBAAADgAAAAAAAAABACAAAAA1AQAAZHJzL2Uyb0RvYy54bWxQSwUGAAAAAAYABgBZAQAA&#10;t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0lY7tAA&#10;AAAFAQAADwAAAAAAAAABACAAAAA4AAAAZHJzL2Rvd25yZXYueG1sUEsBAhQAFAAAAAgAh07iQJRE&#10;5Q0RAgAACQQAAA4AAAAAAAAAAQAgAAAANQEAAGRycy9lMm9Eb2MueG1sUEsFBgAAAAAGAAYAWQEA&#10;ALg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99931"/>
    <w:multiLevelType w:val="singleLevel"/>
    <w:tmpl w:val="9EB99931"/>
    <w:lvl w:ilvl="0" w:tentative="0">
      <w:start w:val="1"/>
      <w:numFmt w:val="decimal"/>
      <w:suff w:val="nothing"/>
      <w:lvlText w:val="（%1）"/>
      <w:lvlJc w:val="left"/>
    </w:lvl>
  </w:abstractNum>
  <w:abstractNum w:abstractNumId="1">
    <w:nsid w:val="A26D3E5A"/>
    <w:multiLevelType w:val="singleLevel"/>
    <w:tmpl w:val="A26D3E5A"/>
    <w:lvl w:ilvl="0" w:tentative="0">
      <w:start w:val="8"/>
      <w:numFmt w:val="chineseCounting"/>
      <w:suff w:val="nothing"/>
      <w:lvlText w:val="%1、"/>
      <w:lvlJc w:val="left"/>
      <w:rPr>
        <w:rFonts w:hint="eastAsia"/>
      </w:rPr>
    </w:lvl>
  </w:abstractNum>
  <w:abstractNum w:abstractNumId="2">
    <w:nsid w:val="D3D03C68"/>
    <w:multiLevelType w:val="singleLevel"/>
    <w:tmpl w:val="D3D03C68"/>
    <w:lvl w:ilvl="0" w:tentative="0">
      <w:start w:val="5"/>
      <w:numFmt w:val="chineseCounting"/>
      <w:suff w:val="nothing"/>
      <w:lvlText w:val="%1、"/>
      <w:lvlJc w:val="left"/>
      <w:rPr>
        <w:rFonts w:hint="eastAsia"/>
        <w:color w:val="000000" w:themeColor="text1"/>
        <w14:textFill>
          <w14:solidFill>
            <w14:schemeClr w14:val="tx1"/>
          </w14:solidFill>
        </w14:textFill>
      </w:rPr>
    </w:lvl>
  </w:abstractNum>
  <w:abstractNum w:abstractNumId="3">
    <w:nsid w:val="DC1E80B1"/>
    <w:multiLevelType w:val="singleLevel"/>
    <w:tmpl w:val="DC1E80B1"/>
    <w:lvl w:ilvl="0" w:tentative="0">
      <w:start w:val="1"/>
      <w:numFmt w:val="chineseCounting"/>
      <w:suff w:val="nothing"/>
      <w:lvlText w:val="%1、"/>
      <w:lvlJc w:val="left"/>
      <w:rPr>
        <w:rFonts w:hint="eastAsia"/>
      </w:rPr>
    </w:lvl>
  </w:abstractNum>
  <w:abstractNum w:abstractNumId="4">
    <w:nsid w:val="E82AD6AB"/>
    <w:multiLevelType w:val="singleLevel"/>
    <w:tmpl w:val="E82AD6AB"/>
    <w:lvl w:ilvl="0" w:tentative="0">
      <w:start w:val="1"/>
      <w:numFmt w:val="decimal"/>
      <w:suff w:val="nothing"/>
      <w:lvlText w:val="%1"/>
      <w:lvlJc w:val="left"/>
      <w:pPr>
        <w:ind w:left="0" w:firstLine="403"/>
      </w:pPr>
      <w:rPr>
        <w:rFonts w:hint="default"/>
      </w:rPr>
    </w:lvl>
  </w:abstractNum>
  <w:abstractNum w:abstractNumId="5">
    <w:nsid w:val="F6973B16"/>
    <w:multiLevelType w:val="singleLevel"/>
    <w:tmpl w:val="F6973B16"/>
    <w:lvl w:ilvl="0" w:tentative="0">
      <w:start w:val="2"/>
      <w:numFmt w:val="decimal"/>
      <w:suff w:val="nothing"/>
      <w:lvlText w:val="（%1）"/>
      <w:lvlJc w:val="left"/>
      <w:rPr>
        <w:rFonts w:hint="default" w:ascii="Times New Roman" w:hAnsi="Times New Roman" w:cs="Times New Roman"/>
      </w:rPr>
    </w:lvl>
  </w:abstractNum>
  <w:abstractNum w:abstractNumId="6">
    <w:nsid w:val="FFFFFF89"/>
    <w:multiLevelType w:val="singleLevel"/>
    <w:tmpl w:val="FFFFFF89"/>
    <w:lvl w:ilvl="0" w:tentative="0">
      <w:start w:val="1"/>
      <w:numFmt w:val="bullet"/>
      <w:pStyle w:val="42"/>
      <w:lvlText w:val=""/>
      <w:lvlJc w:val="left"/>
      <w:pPr>
        <w:tabs>
          <w:tab w:val="left" w:pos="1980"/>
        </w:tabs>
        <w:ind w:left="1980" w:hanging="360"/>
      </w:pPr>
      <w:rPr>
        <w:rFonts w:hint="default" w:ascii="Wingdings" w:hAnsi="Wingdings"/>
        <w:color w:val="008000"/>
      </w:rPr>
    </w:lvl>
  </w:abstractNum>
  <w:abstractNum w:abstractNumId="7">
    <w:nsid w:val="46B437B5"/>
    <w:multiLevelType w:val="multilevel"/>
    <w:tmpl w:val="46B437B5"/>
    <w:lvl w:ilvl="0" w:tentative="0">
      <w:start w:val="1"/>
      <w:numFmt w:val="decimal"/>
      <w:pStyle w:val="39"/>
      <w:lvlText w:val="表%1 "/>
      <w:lvlJc w:val="left"/>
      <w:pPr>
        <w:ind w:left="42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4"/>
  </w:num>
  <w:num w:numId="4">
    <w:abstractNumId w:val="1"/>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hideSpellingErrors/>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zN2VlZDA1MjVjYzg2NWY1MDc3ZDVjMmEwMjZhYmIifQ=="/>
  </w:docVars>
  <w:rsids>
    <w:rsidRoot w:val="00550AC7"/>
    <w:rsid w:val="00047FB1"/>
    <w:rsid w:val="000A002F"/>
    <w:rsid w:val="000C0BCA"/>
    <w:rsid w:val="000D1507"/>
    <w:rsid w:val="00102934"/>
    <w:rsid w:val="001318A7"/>
    <w:rsid w:val="00131977"/>
    <w:rsid w:val="00134D7C"/>
    <w:rsid w:val="0015577D"/>
    <w:rsid w:val="001623F6"/>
    <w:rsid w:val="001D06AC"/>
    <w:rsid w:val="001E334B"/>
    <w:rsid w:val="001E4140"/>
    <w:rsid w:val="00232133"/>
    <w:rsid w:val="00262E8D"/>
    <w:rsid w:val="00274023"/>
    <w:rsid w:val="002A4559"/>
    <w:rsid w:val="002A6569"/>
    <w:rsid w:val="002F295F"/>
    <w:rsid w:val="002F5E09"/>
    <w:rsid w:val="003231C6"/>
    <w:rsid w:val="003256C9"/>
    <w:rsid w:val="003326F3"/>
    <w:rsid w:val="00343904"/>
    <w:rsid w:val="00355C1B"/>
    <w:rsid w:val="0036178B"/>
    <w:rsid w:val="00395659"/>
    <w:rsid w:val="003A5881"/>
    <w:rsid w:val="003F000D"/>
    <w:rsid w:val="00405479"/>
    <w:rsid w:val="004077AC"/>
    <w:rsid w:val="004572F6"/>
    <w:rsid w:val="004D1902"/>
    <w:rsid w:val="004F546E"/>
    <w:rsid w:val="00545823"/>
    <w:rsid w:val="00550AC7"/>
    <w:rsid w:val="0055306C"/>
    <w:rsid w:val="005536BA"/>
    <w:rsid w:val="005610B7"/>
    <w:rsid w:val="0056703F"/>
    <w:rsid w:val="005C209A"/>
    <w:rsid w:val="005D5704"/>
    <w:rsid w:val="005D69FE"/>
    <w:rsid w:val="006075AB"/>
    <w:rsid w:val="00625284"/>
    <w:rsid w:val="006535C4"/>
    <w:rsid w:val="00676CF2"/>
    <w:rsid w:val="0070067F"/>
    <w:rsid w:val="00720C81"/>
    <w:rsid w:val="00745C49"/>
    <w:rsid w:val="007A5AC3"/>
    <w:rsid w:val="007F26EC"/>
    <w:rsid w:val="007F27CB"/>
    <w:rsid w:val="00805BAE"/>
    <w:rsid w:val="008170D2"/>
    <w:rsid w:val="008B73C2"/>
    <w:rsid w:val="008B78C7"/>
    <w:rsid w:val="008E1693"/>
    <w:rsid w:val="008E77D0"/>
    <w:rsid w:val="00943B59"/>
    <w:rsid w:val="00945686"/>
    <w:rsid w:val="009612C1"/>
    <w:rsid w:val="00981D71"/>
    <w:rsid w:val="009857B6"/>
    <w:rsid w:val="009903FC"/>
    <w:rsid w:val="009C2531"/>
    <w:rsid w:val="009C3D3E"/>
    <w:rsid w:val="009E73FB"/>
    <w:rsid w:val="00A21461"/>
    <w:rsid w:val="00A251D8"/>
    <w:rsid w:val="00A566D5"/>
    <w:rsid w:val="00A629D5"/>
    <w:rsid w:val="00A65BA5"/>
    <w:rsid w:val="00AC6356"/>
    <w:rsid w:val="00B61C11"/>
    <w:rsid w:val="00B8316D"/>
    <w:rsid w:val="00BB7245"/>
    <w:rsid w:val="00BC38A1"/>
    <w:rsid w:val="00BD0DC1"/>
    <w:rsid w:val="00BE7C07"/>
    <w:rsid w:val="00C332E6"/>
    <w:rsid w:val="00C42847"/>
    <w:rsid w:val="00C767DA"/>
    <w:rsid w:val="00C85114"/>
    <w:rsid w:val="00C90565"/>
    <w:rsid w:val="00CA7B88"/>
    <w:rsid w:val="00CD187F"/>
    <w:rsid w:val="00CD6EB3"/>
    <w:rsid w:val="00CF28E2"/>
    <w:rsid w:val="00CF6856"/>
    <w:rsid w:val="00D346BA"/>
    <w:rsid w:val="00D36DE4"/>
    <w:rsid w:val="00D41FD3"/>
    <w:rsid w:val="00D44556"/>
    <w:rsid w:val="00D6123D"/>
    <w:rsid w:val="00D85816"/>
    <w:rsid w:val="00D97A65"/>
    <w:rsid w:val="00DD6B36"/>
    <w:rsid w:val="00DF0EC8"/>
    <w:rsid w:val="00E03ED1"/>
    <w:rsid w:val="00E5301E"/>
    <w:rsid w:val="00E56624"/>
    <w:rsid w:val="00E77545"/>
    <w:rsid w:val="00EB4E4C"/>
    <w:rsid w:val="00EC4F75"/>
    <w:rsid w:val="00EE3109"/>
    <w:rsid w:val="00F42A7F"/>
    <w:rsid w:val="00F462FF"/>
    <w:rsid w:val="00F56562"/>
    <w:rsid w:val="00F5665C"/>
    <w:rsid w:val="00F77433"/>
    <w:rsid w:val="00F808E1"/>
    <w:rsid w:val="00FB04FC"/>
    <w:rsid w:val="00FC4393"/>
    <w:rsid w:val="00FC5DF4"/>
    <w:rsid w:val="00FC61D8"/>
    <w:rsid w:val="00FD3A73"/>
    <w:rsid w:val="012375FA"/>
    <w:rsid w:val="014063FE"/>
    <w:rsid w:val="014632E9"/>
    <w:rsid w:val="01527EDF"/>
    <w:rsid w:val="01A90BD6"/>
    <w:rsid w:val="01B110AA"/>
    <w:rsid w:val="01F176F8"/>
    <w:rsid w:val="020B6A0C"/>
    <w:rsid w:val="023A109F"/>
    <w:rsid w:val="023A4BFB"/>
    <w:rsid w:val="024F12D8"/>
    <w:rsid w:val="02642D03"/>
    <w:rsid w:val="0270686F"/>
    <w:rsid w:val="0273635F"/>
    <w:rsid w:val="027A5940"/>
    <w:rsid w:val="029F0F02"/>
    <w:rsid w:val="02AB5AF9"/>
    <w:rsid w:val="02D23086"/>
    <w:rsid w:val="02DE5ECF"/>
    <w:rsid w:val="02EE59E6"/>
    <w:rsid w:val="030671D3"/>
    <w:rsid w:val="030B2A3C"/>
    <w:rsid w:val="03111504"/>
    <w:rsid w:val="033E071B"/>
    <w:rsid w:val="034321D6"/>
    <w:rsid w:val="0350044F"/>
    <w:rsid w:val="038A570F"/>
    <w:rsid w:val="0398426E"/>
    <w:rsid w:val="03A03184"/>
    <w:rsid w:val="03EC461B"/>
    <w:rsid w:val="03EE3EEF"/>
    <w:rsid w:val="04206073"/>
    <w:rsid w:val="04926F71"/>
    <w:rsid w:val="049B394B"/>
    <w:rsid w:val="04A46CA4"/>
    <w:rsid w:val="04D23811"/>
    <w:rsid w:val="053C2490"/>
    <w:rsid w:val="05467D5B"/>
    <w:rsid w:val="05504736"/>
    <w:rsid w:val="05643C28"/>
    <w:rsid w:val="05C80770"/>
    <w:rsid w:val="06CE1DB6"/>
    <w:rsid w:val="07133C6D"/>
    <w:rsid w:val="072E6CF9"/>
    <w:rsid w:val="074B78AB"/>
    <w:rsid w:val="075C5614"/>
    <w:rsid w:val="07683FB9"/>
    <w:rsid w:val="07852DBD"/>
    <w:rsid w:val="07C718EF"/>
    <w:rsid w:val="07CA6A21"/>
    <w:rsid w:val="07D653C6"/>
    <w:rsid w:val="07EC7806"/>
    <w:rsid w:val="07EF6E59"/>
    <w:rsid w:val="080C703A"/>
    <w:rsid w:val="082A1811"/>
    <w:rsid w:val="0831084F"/>
    <w:rsid w:val="084F5179"/>
    <w:rsid w:val="08773FF2"/>
    <w:rsid w:val="087E7407"/>
    <w:rsid w:val="08A76D63"/>
    <w:rsid w:val="08CA47FF"/>
    <w:rsid w:val="08CE42EF"/>
    <w:rsid w:val="08FB2C0B"/>
    <w:rsid w:val="098B643C"/>
    <w:rsid w:val="09F2400E"/>
    <w:rsid w:val="09FE29B2"/>
    <w:rsid w:val="0A344626"/>
    <w:rsid w:val="0A3E7788"/>
    <w:rsid w:val="0A854E82"/>
    <w:rsid w:val="0A9926DB"/>
    <w:rsid w:val="0AAC0660"/>
    <w:rsid w:val="0AC0235E"/>
    <w:rsid w:val="0AF838A6"/>
    <w:rsid w:val="0B093D05"/>
    <w:rsid w:val="0B5E0CB2"/>
    <w:rsid w:val="0BFE6C9A"/>
    <w:rsid w:val="0C7E602C"/>
    <w:rsid w:val="0C963376"/>
    <w:rsid w:val="0C9E222B"/>
    <w:rsid w:val="0CA05FA3"/>
    <w:rsid w:val="0CC954FA"/>
    <w:rsid w:val="0D240982"/>
    <w:rsid w:val="0D5374B9"/>
    <w:rsid w:val="0D6214AA"/>
    <w:rsid w:val="0DBE0DD6"/>
    <w:rsid w:val="0DDD6D83"/>
    <w:rsid w:val="0E2A1FC8"/>
    <w:rsid w:val="0E3B7586"/>
    <w:rsid w:val="0EB9196D"/>
    <w:rsid w:val="0ECA19B4"/>
    <w:rsid w:val="0EEA79A9"/>
    <w:rsid w:val="0F225395"/>
    <w:rsid w:val="0F2F1860"/>
    <w:rsid w:val="0F360E40"/>
    <w:rsid w:val="0F452E31"/>
    <w:rsid w:val="0F73799F"/>
    <w:rsid w:val="0F8120BC"/>
    <w:rsid w:val="0FEF16F0"/>
    <w:rsid w:val="0FF00FEF"/>
    <w:rsid w:val="0FFF7484"/>
    <w:rsid w:val="103E7FAD"/>
    <w:rsid w:val="109776BD"/>
    <w:rsid w:val="10CF6E57"/>
    <w:rsid w:val="10EA1EE2"/>
    <w:rsid w:val="11131439"/>
    <w:rsid w:val="112C42A9"/>
    <w:rsid w:val="115204DD"/>
    <w:rsid w:val="11840BAB"/>
    <w:rsid w:val="119D0D03"/>
    <w:rsid w:val="11C73FAD"/>
    <w:rsid w:val="11F66622"/>
    <w:rsid w:val="12096398"/>
    <w:rsid w:val="12445622"/>
    <w:rsid w:val="126B2BAF"/>
    <w:rsid w:val="12816876"/>
    <w:rsid w:val="12906AB9"/>
    <w:rsid w:val="12B25A88"/>
    <w:rsid w:val="12CD73C6"/>
    <w:rsid w:val="12D746E8"/>
    <w:rsid w:val="12F2507E"/>
    <w:rsid w:val="13143247"/>
    <w:rsid w:val="132F1E2E"/>
    <w:rsid w:val="133E6515"/>
    <w:rsid w:val="13541895"/>
    <w:rsid w:val="137B1518"/>
    <w:rsid w:val="13807817"/>
    <w:rsid w:val="13C133CE"/>
    <w:rsid w:val="13D1738A"/>
    <w:rsid w:val="13DB21A9"/>
    <w:rsid w:val="13DB5B12"/>
    <w:rsid w:val="13DC07D9"/>
    <w:rsid w:val="140212F1"/>
    <w:rsid w:val="14184FB8"/>
    <w:rsid w:val="142E20E6"/>
    <w:rsid w:val="1499320C"/>
    <w:rsid w:val="14EC25C7"/>
    <w:rsid w:val="158D3ECD"/>
    <w:rsid w:val="15AA1C40"/>
    <w:rsid w:val="15BB209F"/>
    <w:rsid w:val="15E769F0"/>
    <w:rsid w:val="15FA6724"/>
    <w:rsid w:val="163634D4"/>
    <w:rsid w:val="16851C58"/>
    <w:rsid w:val="169A3A63"/>
    <w:rsid w:val="16A50D85"/>
    <w:rsid w:val="16AB5C70"/>
    <w:rsid w:val="170B670F"/>
    <w:rsid w:val="17163A31"/>
    <w:rsid w:val="1726179A"/>
    <w:rsid w:val="174F484D"/>
    <w:rsid w:val="17577BA6"/>
    <w:rsid w:val="1763654B"/>
    <w:rsid w:val="179E3A27"/>
    <w:rsid w:val="17CF3BE0"/>
    <w:rsid w:val="17F453F5"/>
    <w:rsid w:val="184E2D57"/>
    <w:rsid w:val="18521117"/>
    <w:rsid w:val="185D743E"/>
    <w:rsid w:val="18E702C9"/>
    <w:rsid w:val="1977452F"/>
    <w:rsid w:val="1A1D6E85"/>
    <w:rsid w:val="1A3D3083"/>
    <w:rsid w:val="1A4A57A0"/>
    <w:rsid w:val="1A50725A"/>
    <w:rsid w:val="1A750A6F"/>
    <w:rsid w:val="1A7C004F"/>
    <w:rsid w:val="1ABA2925"/>
    <w:rsid w:val="1AEC6857"/>
    <w:rsid w:val="1AF220BF"/>
    <w:rsid w:val="1B34092A"/>
    <w:rsid w:val="1B3A3A66"/>
    <w:rsid w:val="1B3F2E2B"/>
    <w:rsid w:val="1B7156DA"/>
    <w:rsid w:val="1B99078D"/>
    <w:rsid w:val="1B9969DF"/>
    <w:rsid w:val="1BAF6202"/>
    <w:rsid w:val="1BAF7FB0"/>
    <w:rsid w:val="1BDD64AC"/>
    <w:rsid w:val="1BF754B3"/>
    <w:rsid w:val="1C393D1E"/>
    <w:rsid w:val="1C3B1844"/>
    <w:rsid w:val="1C497F11"/>
    <w:rsid w:val="1C730FDE"/>
    <w:rsid w:val="1C901B90"/>
    <w:rsid w:val="1CA218C3"/>
    <w:rsid w:val="1CD35001"/>
    <w:rsid w:val="1CDA105D"/>
    <w:rsid w:val="1CE20DF9"/>
    <w:rsid w:val="1CEC0D90"/>
    <w:rsid w:val="1D2E13A9"/>
    <w:rsid w:val="1D3F6511"/>
    <w:rsid w:val="1D70376F"/>
    <w:rsid w:val="1D70551D"/>
    <w:rsid w:val="1D77235F"/>
    <w:rsid w:val="1DC15D79"/>
    <w:rsid w:val="1E122A78"/>
    <w:rsid w:val="1E894AE9"/>
    <w:rsid w:val="1EC662BF"/>
    <w:rsid w:val="1F3376C2"/>
    <w:rsid w:val="1F3F33F9"/>
    <w:rsid w:val="1F4629DA"/>
    <w:rsid w:val="1FAA11BB"/>
    <w:rsid w:val="1FBE07C2"/>
    <w:rsid w:val="1FC55515"/>
    <w:rsid w:val="1FCF6E73"/>
    <w:rsid w:val="200F54C2"/>
    <w:rsid w:val="20675590"/>
    <w:rsid w:val="20783067"/>
    <w:rsid w:val="207B2B57"/>
    <w:rsid w:val="20875058"/>
    <w:rsid w:val="208E4638"/>
    <w:rsid w:val="20CE712B"/>
    <w:rsid w:val="20FD356C"/>
    <w:rsid w:val="21311468"/>
    <w:rsid w:val="21411A17"/>
    <w:rsid w:val="21815F4B"/>
    <w:rsid w:val="2197576F"/>
    <w:rsid w:val="21E30F1C"/>
    <w:rsid w:val="2205092A"/>
    <w:rsid w:val="222334A6"/>
    <w:rsid w:val="225B49EE"/>
    <w:rsid w:val="22635651"/>
    <w:rsid w:val="22804455"/>
    <w:rsid w:val="230230BC"/>
    <w:rsid w:val="234E4553"/>
    <w:rsid w:val="23713D9D"/>
    <w:rsid w:val="2383244E"/>
    <w:rsid w:val="23E32EED"/>
    <w:rsid w:val="2418001E"/>
    <w:rsid w:val="24262DDA"/>
    <w:rsid w:val="244F40DF"/>
    <w:rsid w:val="246F29D3"/>
    <w:rsid w:val="248D10AB"/>
    <w:rsid w:val="249441E7"/>
    <w:rsid w:val="2499289B"/>
    <w:rsid w:val="24A450B3"/>
    <w:rsid w:val="24AA57B9"/>
    <w:rsid w:val="24EA3E07"/>
    <w:rsid w:val="24F42ED8"/>
    <w:rsid w:val="24FD3B3B"/>
    <w:rsid w:val="25107A1A"/>
    <w:rsid w:val="25246483"/>
    <w:rsid w:val="25253091"/>
    <w:rsid w:val="253F4153"/>
    <w:rsid w:val="25553977"/>
    <w:rsid w:val="25D54AB7"/>
    <w:rsid w:val="2601765A"/>
    <w:rsid w:val="26154EB4"/>
    <w:rsid w:val="2628108B"/>
    <w:rsid w:val="26284BE7"/>
    <w:rsid w:val="262B0B7B"/>
    <w:rsid w:val="264A1001"/>
    <w:rsid w:val="26555BF8"/>
    <w:rsid w:val="265A320F"/>
    <w:rsid w:val="26786FC5"/>
    <w:rsid w:val="268D0EEE"/>
    <w:rsid w:val="26A56703"/>
    <w:rsid w:val="26B96187"/>
    <w:rsid w:val="26C8461C"/>
    <w:rsid w:val="26ED22C2"/>
    <w:rsid w:val="26FA3380"/>
    <w:rsid w:val="27220408"/>
    <w:rsid w:val="27240D98"/>
    <w:rsid w:val="27257379"/>
    <w:rsid w:val="27767BD4"/>
    <w:rsid w:val="278500C7"/>
    <w:rsid w:val="27B64475"/>
    <w:rsid w:val="27EB2370"/>
    <w:rsid w:val="27F37477"/>
    <w:rsid w:val="282835C4"/>
    <w:rsid w:val="28697739"/>
    <w:rsid w:val="28887BBF"/>
    <w:rsid w:val="29047631"/>
    <w:rsid w:val="290C07F0"/>
    <w:rsid w:val="29121B7F"/>
    <w:rsid w:val="291678C1"/>
    <w:rsid w:val="292D69B8"/>
    <w:rsid w:val="296543A4"/>
    <w:rsid w:val="29E90B31"/>
    <w:rsid w:val="29F16DB9"/>
    <w:rsid w:val="29FA4AED"/>
    <w:rsid w:val="2A2E29E8"/>
    <w:rsid w:val="2A420242"/>
    <w:rsid w:val="2A7550B2"/>
    <w:rsid w:val="2A7F3244"/>
    <w:rsid w:val="2B0C0F7B"/>
    <w:rsid w:val="2B30453E"/>
    <w:rsid w:val="2B7B3A0B"/>
    <w:rsid w:val="2BB055E6"/>
    <w:rsid w:val="2BC37FC4"/>
    <w:rsid w:val="2BE041B6"/>
    <w:rsid w:val="2C1856FE"/>
    <w:rsid w:val="2D0317F4"/>
    <w:rsid w:val="2D0F4D53"/>
    <w:rsid w:val="2D452523"/>
    <w:rsid w:val="2D686211"/>
    <w:rsid w:val="2D7746A6"/>
    <w:rsid w:val="2D895635"/>
    <w:rsid w:val="2DE43F6E"/>
    <w:rsid w:val="2DF16206"/>
    <w:rsid w:val="2E5B535A"/>
    <w:rsid w:val="2F397E65"/>
    <w:rsid w:val="2F522CD5"/>
    <w:rsid w:val="2F5B602D"/>
    <w:rsid w:val="2F5F53F2"/>
    <w:rsid w:val="2F77273B"/>
    <w:rsid w:val="2F880DEC"/>
    <w:rsid w:val="2FF81ACE"/>
    <w:rsid w:val="2FFB15BE"/>
    <w:rsid w:val="300246FB"/>
    <w:rsid w:val="30093CDB"/>
    <w:rsid w:val="30161F54"/>
    <w:rsid w:val="30536D05"/>
    <w:rsid w:val="305F38FB"/>
    <w:rsid w:val="307A0735"/>
    <w:rsid w:val="30DE1ACC"/>
    <w:rsid w:val="30E958BB"/>
    <w:rsid w:val="31116579"/>
    <w:rsid w:val="3115220C"/>
    <w:rsid w:val="31342FDA"/>
    <w:rsid w:val="316F5DC0"/>
    <w:rsid w:val="31937397"/>
    <w:rsid w:val="31A33CBC"/>
    <w:rsid w:val="31C83B36"/>
    <w:rsid w:val="31E06CBE"/>
    <w:rsid w:val="323668DE"/>
    <w:rsid w:val="324803BF"/>
    <w:rsid w:val="324F79A0"/>
    <w:rsid w:val="326351F9"/>
    <w:rsid w:val="326D6FE1"/>
    <w:rsid w:val="326F71AB"/>
    <w:rsid w:val="32AE2918"/>
    <w:rsid w:val="33332E1D"/>
    <w:rsid w:val="33B51A84"/>
    <w:rsid w:val="33F7209D"/>
    <w:rsid w:val="34346E4D"/>
    <w:rsid w:val="343B467F"/>
    <w:rsid w:val="34572B3B"/>
    <w:rsid w:val="346C65E7"/>
    <w:rsid w:val="34931DC5"/>
    <w:rsid w:val="34B306BA"/>
    <w:rsid w:val="35521C81"/>
    <w:rsid w:val="355A28E3"/>
    <w:rsid w:val="355C7D01"/>
    <w:rsid w:val="358636D8"/>
    <w:rsid w:val="359163AF"/>
    <w:rsid w:val="359C2EFC"/>
    <w:rsid w:val="362D6899"/>
    <w:rsid w:val="369776FC"/>
    <w:rsid w:val="36A858D0"/>
    <w:rsid w:val="36BA6ABB"/>
    <w:rsid w:val="36D93CDC"/>
    <w:rsid w:val="36F154C9"/>
    <w:rsid w:val="37102B66"/>
    <w:rsid w:val="374655DE"/>
    <w:rsid w:val="37EB1F18"/>
    <w:rsid w:val="37FE39FA"/>
    <w:rsid w:val="37FF59C4"/>
    <w:rsid w:val="382B0567"/>
    <w:rsid w:val="38300869"/>
    <w:rsid w:val="386915CE"/>
    <w:rsid w:val="38871C41"/>
    <w:rsid w:val="389205E6"/>
    <w:rsid w:val="38BD1B07"/>
    <w:rsid w:val="38C56C0D"/>
    <w:rsid w:val="38D66725"/>
    <w:rsid w:val="38D676C9"/>
    <w:rsid w:val="38FB618B"/>
    <w:rsid w:val="391536F1"/>
    <w:rsid w:val="39335925"/>
    <w:rsid w:val="394F4056"/>
    <w:rsid w:val="39B76556"/>
    <w:rsid w:val="39FC040D"/>
    <w:rsid w:val="3A4776D1"/>
    <w:rsid w:val="3A72247D"/>
    <w:rsid w:val="3A886145"/>
    <w:rsid w:val="3AAC76B8"/>
    <w:rsid w:val="3ACA22B9"/>
    <w:rsid w:val="3ADE5D64"/>
    <w:rsid w:val="3AEA64B7"/>
    <w:rsid w:val="3B562DDF"/>
    <w:rsid w:val="3B563B4D"/>
    <w:rsid w:val="3B7B1805"/>
    <w:rsid w:val="3BB0325D"/>
    <w:rsid w:val="3C74072E"/>
    <w:rsid w:val="3C7C5835"/>
    <w:rsid w:val="3CD966F1"/>
    <w:rsid w:val="3D3954D4"/>
    <w:rsid w:val="3D5E4F3B"/>
    <w:rsid w:val="3D6407A3"/>
    <w:rsid w:val="3D6F0EF6"/>
    <w:rsid w:val="3DB42DAD"/>
    <w:rsid w:val="3E083824"/>
    <w:rsid w:val="3E1E20E3"/>
    <w:rsid w:val="3E7E5894"/>
    <w:rsid w:val="3EA11583"/>
    <w:rsid w:val="3EDE072C"/>
    <w:rsid w:val="3EF20030"/>
    <w:rsid w:val="3F32042D"/>
    <w:rsid w:val="3F5B7984"/>
    <w:rsid w:val="3F981C83"/>
    <w:rsid w:val="3FC96FE3"/>
    <w:rsid w:val="3FE200A5"/>
    <w:rsid w:val="3FEE25A6"/>
    <w:rsid w:val="3FEF631E"/>
    <w:rsid w:val="40115FAD"/>
    <w:rsid w:val="40291830"/>
    <w:rsid w:val="40730CFD"/>
    <w:rsid w:val="40860A30"/>
    <w:rsid w:val="40AB66E9"/>
    <w:rsid w:val="40CB28E7"/>
    <w:rsid w:val="410F0A26"/>
    <w:rsid w:val="4130498B"/>
    <w:rsid w:val="41596145"/>
    <w:rsid w:val="41A62099"/>
    <w:rsid w:val="41E06866"/>
    <w:rsid w:val="42383FAC"/>
    <w:rsid w:val="425A3F23"/>
    <w:rsid w:val="426D634C"/>
    <w:rsid w:val="429F227D"/>
    <w:rsid w:val="42CD6DEA"/>
    <w:rsid w:val="42D75573"/>
    <w:rsid w:val="42FD2B88"/>
    <w:rsid w:val="43010842"/>
    <w:rsid w:val="432307B8"/>
    <w:rsid w:val="43454BD3"/>
    <w:rsid w:val="43503578"/>
    <w:rsid w:val="43AF029E"/>
    <w:rsid w:val="43CC0E50"/>
    <w:rsid w:val="44580936"/>
    <w:rsid w:val="44AE67A8"/>
    <w:rsid w:val="44B32010"/>
    <w:rsid w:val="44B948C8"/>
    <w:rsid w:val="44BA514C"/>
    <w:rsid w:val="44C1472D"/>
    <w:rsid w:val="44D83825"/>
    <w:rsid w:val="44E1092B"/>
    <w:rsid w:val="44F3065E"/>
    <w:rsid w:val="450D34CE"/>
    <w:rsid w:val="4565330A"/>
    <w:rsid w:val="457C68A6"/>
    <w:rsid w:val="459528F7"/>
    <w:rsid w:val="46104798"/>
    <w:rsid w:val="46222FA9"/>
    <w:rsid w:val="46293642"/>
    <w:rsid w:val="46470C62"/>
    <w:rsid w:val="46584C1D"/>
    <w:rsid w:val="46770D0B"/>
    <w:rsid w:val="46C2653A"/>
    <w:rsid w:val="46CE120D"/>
    <w:rsid w:val="47203F67"/>
    <w:rsid w:val="473C1D56"/>
    <w:rsid w:val="47555616"/>
    <w:rsid w:val="477927AF"/>
    <w:rsid w:val="478101A3"/>
    <w:rsid w:val="481728B6"/>
    <w:rsid w:val="48362D3C"/>
    <w:rsid w:val="487F519E"/>
    <w:rsid w:val="48855A71"/>
    <w:rsid w:val="48E054BC"/>
    <w:rsid w:val="49066BB2"/>
    <w:rsid w:val="491A440C"/>
    <w:rsid w:val="49244F7D"/>
    <w:rsid w:val="49553696"/>
    <w:rsid w:val="495C0D02"/>
    <w:rsid w:val="496E6505"/>
    <w:rsid w:val="49951CE4"/>
    <w:rsid w:val="49B67214"/>
    <w:rsid w:val="49EF5898"/>
    <w:rsid w:val="49FB423D"/>
    <w:rsid w:val="4A4B74A4"/>
    <w:rsid w:val="4A5C734E"/>
    <w:rsid w:val="4AAF0FF2"/>
    <w:rsid w:val="4ABF34BD"/>
    <w:rsid w:val="4AE178D7"/>
    <w:rsid w:val="4AEE78FE"/>
    <w:rsid w:val="4B047121"/>
    <w:rsid w:val="4B055943"/>
    <w:rsid w:val="4B0B4954"/>
    <w:rsid w:val="4B0C5FD6"/>
    <w:rsid w:val="4B3C4B0D"/>
    <w:rsid w:val="4B4C2876"/>
    <w:rsid w:val="4B7A73E4"/>
    <w:rsid w:val="4B83273C"/>
    <w:rsid w:val="4B885FA4"/>
    <w:rsid w:val="4C7D362F"/>
    <w:rsid w:val="4C871DB8"/>
    <w:rsid w:val="4CAE1A3B"/>
    <w:rsid w:val="4D64034B"/>
    <w:rsid w:val="4D7D140D"/>
    <w:rsid w:val="4DA150FB"/>
    <w:rsid w:val="4E151645"/>
    <w:rsid w:val="4E17716C"/>
    <w:rsid w:val="4E6C5A1E"/>
    <w:rsid w:val="4E8D38D2"/>
    <w:rsid w:val="4EEC4CDB"/>
    <w:rsid w:val="4FBC621D"/>
    <w:rsid w:val="4FD74E04"/>
    <w:rsid w:val="4FEE214E"/>
    <w:rsid w:val="507E34D2"/>
    <w:rsid w:val="5095081C"/>
    <w:rsid w:val="509947B0"/>
    <w:rsid w:val="50A82C45"/>
    <w:rsid w:val="50B43398"/>
    <w:rsid w:val="50BE5FC4"/>
    <w:rsid w:val="50E84DEF"/>
    <w:rsid w:val="511D718F"/>
    <w:rsid w:val="51237F18"/>
    <w:rsid w:val="513B13C3"/>
    <w:rsid w:val="51475FBA"/>
    <w:rsid w:val="51736DAF"/>
    <w:rsid w:val="51A258E6"/>
    <w:rsid w:val="51AA02F7"/>
    <w:rsid w:val="51D13AD5"/>
    <w:rsid w:val="51D91696"/>
    <w:rsid w:val="51DD247A"/>
    <w:rsid w:val="523C53F3"/>
    <w:rsid w:val="523E560F"/>
    <w:rsid w:val="526861E8"/>
    <w:rsid w:val="528C45CC"/>
    <w:rsid w:val="52C84ED8"/>
    <w:rsid w:val="52DB2E5E"/>
    <w:rsid w:val="52F1797A"/>
    <w:rsid w:val="53310CD0"/>
    <w:rsid w:val="53316F22"/>
    <w:rsid w:val="533B1B4E"/>
    <w:rsid w:val="534327B1"/>
    <w:rsid w:val="5358625C"/>
    <w:rsid w:val="5382777D"/>
    <w:rsid w:val="53BF452D"/>
    <w:rsid w:val="53D224B3"/>
    <w:rsid w:val="53EA52E1"/>
    <w:rsid w:val="53EE096F"/>
    <w:rsid w:val="54290F65"/>
    <w:rsid w:val="543F11CA"/>
    <w:rsid w:val="54505185"/>
    <w:rsid w:val="54770964"/>
    <w:rsid w:val="547E7F44"/>
    <w:rsid w:val="54B22A65"/>
    <w:rsid w:val="54CD2C7A"/>
    <w:rsid w:val="54CF254E"/>
    <w:rsid w:val="54F621D1"/>
    <w:rsid w:val="55342CF9"/>
    <w:rsid w:val="55682436"/>
    <w:rsid w:val="55B87486"/>
    <w:rsid w:val="55FC164D"/>
    <w:rsid w:val="56195B10"/>
    <w:rsid w:val="56282E6A"/>
    <w:rsid w:val="56424FA2"/>
    <w:rsid w:val="56440D1A"/>
    <w:rsid w:val="56602CE9"/>
    <w:rsid w:val="570B1838"/>
    <w:rsid w:val="570D677E"/>
    <w:rsid w:val="573568B4"/>
    <w:rsid w:val="57566F57"/>
    <w:rsid w:val="57811AFA"/>
    <w:rsid w:val="57AF2B0B"/>
    <w:rsid w:val="57E07459"/>
    <w:rsid w:val="591057F4"/>
    <w:rsid w:val="59123351"/>
    <w:rsid w:val="59125D25"/>
    <w:rsid w:val="5933139C"/>
    <w:rsid w:val="597436C4"/>
    <w:rsid w:val="597C6A1D"/>
    <w:rsid w:val="599B6EA3"/>
    <w:rsid w:val="59AC10B0"/>
    <w:rsid w:val="59CC1752"/>
    <w:rsid w:val="59E85E60"/>
    <w:rsid w:val="59EF71EF"/>
    <w:rsid w:val="5A026F22"/>
    <w:rsid w:val="5A737E20"/>
    <w:rsid w:val="5A9034B5"/>
    <w:rsid w:val="5ADF3478"/>
    <w:rsid w:val="5B33135D"/>
    <w:rsid w:val="5B44356A"/>
    <w:rsid w:val="5B8124C8"/>
    <w:rsid w:val="5B9E2C7A"/>
    <w:rsid w:val="5BBE156E"/>
    <w:rsid w:val="5BD71AC4"/>
    <w:rsid w:val="5BD91F04"/>
    <w:rsid w:val="5BE663CF"/>
    <w:rsid w:val="5C365107"/>
    <w:rsid w:val="5C403D31"/>
    <w:rsid w:val="5C424BC3"/>
    <w:rsid w:val="5C451348"/>
    <w:rsid w:val="5C642116"/>
    <w:rsid w:val="5CC20BEA"/>
    <w:rsid w:val="5CE943C9"/>
    <w:rsid w:val="5D377EAE"/>
    <w:rsid w:val="5D6D0B56"/>
    <w:rsid w:val="5D7F6ADB"/>
    <w:rsid w:val="5D852A07"/>
    <w:rsid w:val="5D8E220C"/>
    <w:rsid w:val="5D9A6551"/>
    <w:rsid w:val="5D9F2CDA"/>
    <w:rsid w:val="5DAA3B58"/>
    <w:rsid w:val="5DAB7C61"/>
    <w:rsid w:val="5DB529B1"/>
    <w:rsid w:val="5DE52DE2"/>
    <w:rsid w:val="5DF70D68"/>
    <w:rsid w:val="5E3B6EA6"/>
    <w:rsid w:val="5E512226"/>
    <w:rsid w:val="5E9B7945"/>
    <w:rsid w:val="5ED050B5"/>
    <w:rsid w:val="5EEC1F4F"/>
    <w:rsid w:val="5EEE216B"/>
    <w:rsid w:val="5F1C6CD8"/>
    <w:rsid w:val="5F1D47FE"/>
    <w:rsid w:val="5F562DA3"/>
    <w:rsid w:val="5F610B6B"/>
    <w:rsid w:val="5FB011CE"/>
    <w:rsid w:val="60430294"/>
    <w:rsid w:val="60695F4D"/>
    <w:rsid w:val="60F872D1"/>
    <w:rsid w:val="6105554A"/>
    <w:rsid w:val="612400C6"/>
    <w:rsid w:val="614E6EF1"/>
    <w:rsid w:val="6151078F"/>
    <w:rsid w:val="61812E22"/>
    <w:rsid w:val="61AD00BB"/>
    <w:rsid w:val="61C62F2B"/>
    <w:rsid w:val="61D94A0C"/>
    <w:rsid w:val="61E11B13"/>
    <w:rsid w:val="62053A53"/>
    <w:rsid w:val="6208709F"/>
    <w:rsid w:val="620B6B90"/>
    <w:rsid w:val="62143C96"/>
    <w:rsid w:val="621F43E9"/>
    <w:rsid w:val="6220263B"/>
    <w:rsid w:val="622F287E"/>
    <w:rsid w:val="62343C8E"/>
    <w:rsid w:val="627B1F67"/>
    <w:rsid w:val="62815E02"/>
    <w:rsid w:val="62856942"/>
    <w:rsid w:val="63051831"/>
    <w:rsid w:val="63116428"/>
    <w:rsid w:val="63361EB9"/>
    <w:rsid w:val="638E0BA8"/>
    <w:rsid w:val="63C11BFC"/>
    <w:rsid w:val="63C96D02"/>
    <w:rsid w:val="63E43B3C"/>
    <w:rsid w:val="63FC0E86"/>
    <w:rsid w:val="64047D3A"/>
    <w:rsid w:val="6410048D"/>
    <w:rsid w:val="64485E79"/>
    <w:rsid w:val="64B654D9"/>
    <w:rsid w:val="64CC0858"/>
    <w:rsid w:val="64E831B8"/>
    <w:rsid w:val="659E001A"/>
    <w:rsid w:val="65C15EE3"/>
    <w:rsid w:val="65D04378"/>
    <w:rsid w:val="660B715E"/>
    <w:rsid w:val="665F6BBB"/>
    <w:rsid w:val="666B22F3"/>
    <w:rsid w:val="66CB4B3F"/>
    <w:rsid w:val="66F75934"/>
    <w:rsid w:val="67472418"/>
    <w:rsid w:val="6752209D"/>
    <w:rsid w:val="67642FCA"/>
    <w:rsid w:val="677D408C"/>
    <w:rsid w:val="67903975"/>
    <w:rsid w:val="67F02AB0"/>
    <w:rsid w:val="67FA56DC"/>
    <w:rsid w:val="68294213"/>
    <w:rsid w:val="6844165D"/>
    <w:rsid w:val="686D5EAE"/>
    <w:rsid w:val="68923B67"/>
    <w:rsid w:val="68BC0BE4"/>
    <w:rsid w:val="68EA5751"/>
    <w:rsid w:val="68EF0FB9"/>
    <w:rsid w:val="69194288"/>
    <w:rsid w:val="69232A11"/>
    <w:rsid w:val="696D1EDE"/>
    <w:rsid w:val="698F62F8"/>
    <w:rsid w:val="69A578CA"/>
    <w:rsid w:val="69C75A92"/>
    <w:rsid w:val="6A026ACA"/>
    <w:rsid w:val="6A2922A9"/>
    <w:rsid w:val="6A2B7DCF"/>
    <w:rsid w:val="6A435E2C"/>
    <w:rsid w:val="6A7E0847"/>
    <w:rsid w:val="6AB04778"/>
    <w:rsid w:val="6ADE3093"/>
    <w:rsid w:val="6B214C20"/>
    <w:rsid w:val="6B4C26F3"/>
    <w:rsid w:val="6B5E41D4"/>
    <w:rsid w:val="6B6C68F1"/>
    <w:rsid w:val="6B9B71D6"/>
    <w:rsid w:val="6BD34BC2"/>
    <w:rsid w:val="6BE446D9"/>
    <w:rsid w:val="6C054650"/>
    <w:rsid w:val="6C0A5AA3"/>
    <w:rsid w:val="6C1F5711"/>
    <w:rsid w:val="6C4E4249"/>
    <w:rsid w:val="6C8934D3"/>
    <w:rsid w:val="6CE801F9"/>
    <w:rsid w:val="6D341690"/>
    <w:rsid w:val="6D7777CF"/>
    <w:rsid w:val="6DC01176"/>
    <w:rsid w:val="6DCC3677"/>
    <w:rsid w:val="6DCF4F15"/>
    <w:rsid w:val="6DD226C4"/>
    <w:rsid w:val="6DFB21AE"/>
    <w:rsid w:val="6E2C680B"/>
    <w:rsid w:val="6E6C05C5"/>
    <w:rsid w:val="6EA445F4"/>
    <w:rsid w:val="6EB34837"/>
    <w:rsid w:val="6EBD1212"/>
    <w:rsid w:val="6EBD4335"/>
    <w:rsid w:val="6ECB392F"/>
    <w:rsid w:val="6EE82732"/>
    <w:rsid w:val="6F1C062E"/>
    <w:rsid w:val="6F235519"/>
    <w:rsid w:val="6F3A7FBC"/>
    <w:rsid w:val="6F3D4407"/>
    <w:rsid w:val="6F751AEC"/>
    <w:rsid w:val="6F7B5355"/>
    <w:rsid w:val="6F92269E"/>
    <w:rsid w:val="6FB645DF"/>
    <w:rsid w:val="6FD11419"/>
    <w:rsid w:val="6FF06DF3"/>
    <w:rsid w:val="6FFB6495"/>
    <w:rsid w:val="70622071"/>
    <w:rsid w:val="706A5A3D"/>
    <w:rsid w:val="709661BE"/>
    <w:rsid w:val="70A408DB"/>
    <w:rsid w:val="70B201F3"/>
    <w:rsid w:val="70B56644"/>
    <w:rsid w:val="70C90342"/>
    <w:rsid w:val="71431EA2"/>
    <w:rsid w:val="716F0EE9"/>
    <w:rsid w:val="717E112C"/>
    <w:rsid w:val="7189187F"/>
    <w:rsid w:val="71922E29"/>
    <w:rsid w:val="71A212BE"/>
    <w:rsid w:val="71AB2884"/>
    <w:rsid w:val="71D058D7"/>
    <w:rsid w:val="72037883"/>
    <w:rsid w:val="72227D09"/>
    <w:rsid w:val="72516841"/>
    <w:rsid w:val="72774690"/>
    <w:rsid w:val="727D13E4"/>
    <w:rsid w:val="72CA214F"/>
    <w:rsid w:val="72D1172F"/>
    <w:rsid w:val="730218E9"/>
    <w:rsid w:val="7332230D"/>
    <w:rsid w:val="73577E87"/>
    <w:rsid w:val="73EB6821"/>
    <w:rsid w:val="73FE6554"/>
    <w:rsid w:val="740022CC"/>
    <w:rsid w:val="741E6BF6"/>
    <w:rsid w:val="746A3BEA"/>
    <w:rsid w:val="747B1953"/>
    <w:rsid w:val="747D56CB"/>
    <w:rsid w:val="74AE3AD6"/>
    <w:rsid w:val="74C66EA0"/>
    <w:rsid w:val="755723C0"/>
    <w:rsid w:val="755F4B1E"/>
    <w:rsid w:val="756920F3"/>
    <w:rsid w:val="75952EE8"/>
    <w:rsid w:val="75B4336E"/>
    <w:rsid w:val="75B90985"/>
    <w:rsid w:val="75D237F5"/>
    <w:rsid w:val="75D27C98"/>
    <w:rsid w:val="75F0011F"/>
    <w:rsid w:val="764811BC"/>
    <w:rsid w:val="76562678"/>
    <w:rsid w:val="76B01920"/>
    <w:rsid w:val="76E25CB9"/>
    <w:rsid w:val="76E557A9"/>
    <w:rsid w:val="76FB6D7B"/>
    <w:rsid w:val="773C7ABF"/>
    <w:rsid w:val="776C7C79"/>
    <w:rsid w:val="77771F84"/>
    <w:rsid w:val="779C230C"/>
    <w:rsid w:val="77C11D73"/>
    <w:rsid w:val="77DE2925"/>
    <w:rsid w:val="77FC0FFD"/>
    <w:rsid w:val="781C0996"/>
    <w:rsid w:val="782567A5"/>
    <w:rsid w:val="782A7918"/>
    <w:rsid w:val="7840538D"/>
    <w:rsid w:val="78D0637B"/>
    <w:rsid w:val="78D37FAF"/>
    <w:rsid w:val="792A1B99"/>
    <w:rsid w:val="795B7FA5"/>
    <w:rsid w:val="796432FD"/>
    <w:rsid w:val="7967694A"/>
    <w:rsid w:val="79A129D5"/>
    <w:rsid w:val="79F77CCE"/>
    <w:rsid w:val="7A0E547F"/>
    <w:rsid w:val="7A585756"/>
    <w:rsid w:val="7AC202DC"/>
    <w:rsid w:val="7B1565B0"/>
    <w:rsid w:val="7B33797A"/>
    <w:rsid w:val="7B6B6F09"/>
    <w:rsid w:val="7BDA3403"/>
    <w:rsid w:val="7BED2287"/>
    <w:rsid w:val="7C014E34"/>
    <w:rsid w:val="7C26752C"/>
    <w:rsid w:val="7C684EB3"/>
    <w:rsid w:val="7CA0464C"/>
    <w:rsid w:val="7CBC0D5A"/>
    <w:rsid w:val="7CBE4AD3"/>
    <w:rsid w:val="7CC73643"/>
    <w:rsid w:val="7CDB7433"/>
    <w:rsid w:val="7CDC13FD"/>
    <w:rsid w:val="7D124E1E"/>
    <w:rsid w:val="7D43322A"/>
    <w:rsid w:val="7E0B3D48"/>
    <w:rsid w:val="7E0E6C8C"/>
    <w:rsid w:val="7E3E411D"/>
    <w:rsid w:val="7E5E656D"/>
    <w:rsid w:val="7E6416AA"/>
    <w:rsid w:val="7E645686"/>
    <w:rsid w:val="7EAE3922"/>
    <w:rsid w:val="7F365E18"/>
    <w:rsid w:val="7F930498"/>
    <w:rsid w:val="7FBF303C"/>
    <w:rsid w:val="7FC248DA"/>
    <w:rsid w:val="7FD30895"/>
    <w:rsid w:val="7FFA0518"/>
    <w:rsid w:val="CD6F4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spacing w:before="312" w:after="156" w:line="360" w:lineRule="auto"/>
      <w:ind w:right="-21"/>
      <w:outlineLvl w:val="0"/>
    </w:pPr>
    <w:rPr>
      <w:rFonts w:ascii="宋体" w:hAnsi="宋体"/>
      <w:b/>
      <w:sz w:val="28"/>
    </w:rPr>
  </w:style>
  <w:style w:type="paragraph" w:styleId="3">
    <w:name w:val="heading 3"/>
    <w:basedOn w:val="1"/>
    <w:next w:val="1"/>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spacing w:line="360" w:lineRule="auto"/>
      <w:ind w:firstLine="420" w:firstLineChars="200"/>
    </w:pPr>
    <w:rPr>
      <w:rFonts w:ascii="宋体" w:hAnsi="宋体" w:cs="宋体"/>
      <w:sz w:val="24"/>
    </w:rPr>
  </w:style>
  <w:style w:type="paragraph" w:styleId="5">
    <w:name w:val="Document Map"/>
    <w:basedOn w:val="1"/>
    <w:link w:val="46"/>
    <w:qFormat/>
    <w:uiPriority w:val="0"/>
    <w:rPr>
      <w:rFonts w:ascii="宋体" w:eastAsia="宋体"/>
      <w:sz w:val="18"/>
      <w:szCs w:val="18"/>
    </w:rPr>
  </w:style>
  <w:style w:type="paragraph" w:styleId="6">
    <w:name w:val="annotation text"/>
    <w:basedOn w:val="1"/>
    <w:link w:val="47"/>
    <w:qFormat/>
    <w:uiPriority w:val="0"/>
  </w:style>
  <w:style w:type="paragraph" w:styleId="7">
    <w:name w:val="Salutation"/>
    <w:basedOn w:val="1"/>
    <w:next w:val="1"/>
    <w:qFormat/>
    <w:uiPriority w:val="0"/>
    <w:rPr>
      <w:szCs w:val="24"/>
    </w:rPr>
  </w:style>
  <w:style w:type="paragraph" w:styleId="8">
    <w:name w:val="Body Text"/>
    <w:basedOn w:val="1"/>
    <w:qFormat/>
    <w:uiPriority w:val="0"/>
  </w:style>
  <w:style w:type="paragraph" w:styleId="9">
    <w:name w:val="Plain Text"/>
    <w:basedOn w:val="1"/>
    <w:next w:val="1"/>
    <w:unhideWhenUsed/>
    <w:qFormat/>
    <w:uiPriority w:val="99"/>
    <w:pPr>
      <w:spacing w:before="100" w:beforeAutospacing="1" w:after="100" w:afterAutospacing="1"/>
    </w:pPr>
    <w:rPr>
      <w:rFonts w:ascii="ˎ̥" w:hAnsi="ˎ̥"/>
      <w:sz w:val="18"/>
      <w:szCs w:val="18"/>
    </w:rPr>
  </w:style>
  <w:style w:type="paragraph" w:styleId="10">
    <w:name w:val="Balloon Text"/>
    <w:basedOn w:val="1"/>
    <w:link w:val="49"/>
    <w:qFormat/>
    <w:uiPriority w:val="0"/>
    <w:rPr>
      <w:sz w:val="18"/>
      <w:szCs w:val="18"/>
    </w:rPr>
  </w:style>
  <w:style w:type="paragraph" w:styleId="11">
    <w:name w:val="footer"/>
    <w:basedOn w:val="1"/>
    <w:qFormat/>
    <w:uiPriority w:val="0"/>
    <w:pPr>
      <w:tabs>
        <w:tab w:val="center" w:pos="4153"/>
        <w:tab w:val="right" w:pos="8306"/>
      </w:tabs>
    </w:pPr>
    <w:rPr>
      <w:sz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3">
    <w:name w:val="toc 1"/>
    <w:basedOn w:val="1"/>
    <w:next w:val="1"/>
    <w:qFormat/>
    <w:uiPriority w:val="0"/>
  </w:style>
  <w:style w:type="paragraph" w:styleId="14">
    <w:name w:val="Normal (Web)"/>
    <w:basedOn w:val="1"/>
    <w:qFormat/>
    <w:uiPriority w:val="0"/>
    <w:pPr>
      <w:spacing w:before="100" w:beforeAutospacing="1" w:after="100" w:afterAutospacing="1"/>
    </w:pPr>
    <w:rPr>
      <w:rFonts w:hint="eastAsia" w:ascii="宋体" w:hAnsi="宋体" w:eastAsia="宋体" w:cs="宋体"/>
      <w:sz w:val="24"/>
      <w:szCs w:val="24"/>
      <w:lang w:eastAsia="zh-CN"/>
    </w:rPr>
  </w:style>
  <w:style w:type="paragraph" w:styleId="15">
    <w:name w:val="annotation subject"/>
    <w:basedOn w:val="6"/>
    <w:next w:val="6"/>
    <w:link w:val="48"/>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character" w:styleId="20">
    <w:name w:val="annotation reference"/>
    <w:basedOn w:val="18"/>
    <w:qFormat/>
    <w:uiPriority w:val="0"/>
    <w:rPr>
      <w:sz w:val="21"/>
      <w:szCs w:val="21"/>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4"/>
      <w:szCs w:val="24"/>
    </w:rPr>
  </w:style>
  <w:style w:type="paragraph" w:customStyle="1" w:styleId="23">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表格文字"/>
    <w:basedOn w:val="26"/>
    <w:next w:val="12"/>
    <w:qFormat/>
    <w:uiPriority w:val="0"/>
    <w:rPr>
      <w:kern w:val="44"/>
    </w:rPr>
  </w:style>
  <w:style w:type="paragraph" w:customStyle="1" w:styleId="26">
    <w:name w:val="表标题"/>
    <w:qFormat/>
    <w:uiPriority w:val="0"/>
    <w:pPr>
      <w:widowControl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图"/>
    <w:basedOn w:val="1"/>
    <w:next w:val="1"/>
    <w:qFormat/>
    <w:uiPriority w:val="0"/>
    <w:pPr>
      <w:spacing w:line="360" w:lineRule="auto"/>
      <w:jc w:val="center"/>
    </w:pPr>
    <w:rPr>
      <w:rFonts w:ascii="Times New Roman" w:hAnsi="Times New Roman"/>
      <w:b/>
    </w:rPr>
  </w:style>
  <w:style w:type="paragraph" w:customStyle="1" w:styleId="30">
    <w:name w:val="表"/>
    <w:basedOn w:val="1"/>
    <w:next w:val="31"/>
    <w:qFormat/>
    <w:uiPriority w:val="0"/>
    <w:pPr>
      <w:jc w:val="center"/>
    </w:pPr>
    <w:rPr>
      <w:bCs/>
      <w:sz w:val="22"/>
      <w:szCs w:val="22"/>
    </w:rPr>
  </w:style>
  <w:style w:type="paragraph" w:customStyle="1" w:styleId="31">
    <w:name w:val="正文2"/>
    <w:basedOn w:val="1"/>
    <w:qFormat/>
    <w:uiPriority w:val="99"/>
    <w:pPr>
      <w:spacing w:line="440" w:lineRule="atLeast"/>
      <w:ind w:firstLine="567"/>
    </w:pPr>
    <w:rPr>
      <w:sz w:val="24"/>
    </w:rPr>
  </w:style>
  <w:style w:type="paragraph" w:customStyle="1" w:styleId="32">
    <w:name w:val="表头"/>
    <w:basedOn w:val="33"/>
    <w:qFormat/>
    <w:uiPriority w:val="0"/>
    <w:pPr>
      <w:autoSpaceDE w:val="0"/>
      <w:autoSpaceDN w:val="0"/>
      <w:spacing w:beforeLines="100" w:line="240" w:lineRule="auto"/>
      <w:ind w:firstLine="0" w:firstLineChars="0"/>
      <w:jc w:val="center"/>
    </w:pPr>
    <w:rPr>
      <w:rFonts w:cs="宋体"/>
      <w:b/>
      <w:szCs w:val="21"/>
    </w:rPr>
  </w:style>
  <w:style w:type="paragraph" w:customStyle="1" w:styleId="33">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34">
    <w:name w:val="Table Paragraph"/>
    <w:basedOn w:val="1"/>
    <w:qFormat/>
    <w:uiPriority w:val="1"/>
    <w:pPr>
      <w:jc w:val="center"/>
    </w:pPr>
    <w:rPr>
      <w:rFonts w:ascii="宋体" w:hAnsi="宋体" w:eastAsia="宋体" w:cs="宋体"/>
      <w:lang w:eastAsia="zh-CN"/>
    </w:rPr>
  </w:style>
  <w:style w:type="paragraph" w:customStyle="1" w:styleId="35">
    <w:name w:val="！表格"/>
    <w:basedOn w:val="2"/>
    <w:qFormat/>
    <w:uiPriority w:val="0"/>
    <w:pPr>
      <w:keepNext w:val="0"/>
      <w:tabs>
        <w:tab w:val="left" w:pos="432"/>
      </w:tabs>
      <w:snapToGrid/>
      <w:spacing w:before="0" w:after="0" w:line="240" w:lineRule="auto"/>
      <w:jc w:val="center"/>
      <w:outlineLvl w:val="9"/>
    </w:pPr>
    <w:rPr>
      <w:rFonts w:ascii="Times New Roman"/>
      <w:b w:val="0"/>
      <w:kern w:val="2"/>
      <w:sz w:val="21"/>
    </w:rPr>
  </w:style>
  <w:style w:type="paragraph" w:customStyle="1" w:styleId="36">
    <w:name w:val="表体"/>
    <w:basedOn w:val="1"/>
    <w:qFormat/>
    <w:uiPriority w:val="0"/>
    <w:pPr>
      <w:overflowPunct w:val="0"/>
      <w:jc w:val="center"/>
    </w:pPr>
    <w:rPr>
      <w:rFonts w:hAnsi="宋体"/>
      <w:lang w:val="zh-CN"/>
    </w:rPr>
  </w:style>
  <w:style w:type="paragraph" w:customStyle="1" w:styleId="37">
    <w:name w:val="赵"/>
    <w:basedOn w:val="1"/>
    <w:qFormat/>
    <w:uiPriority w:val="0"/>
    <w:pPr>
      <w:spacing w:line="360" w:lineRule="auto"/>
      <w:ind w:firstLine="200" w:firstLineChars="200"/>
    </w:pPr>
    <w:rPr>
      <w:sz w:val="24"/>
      <w:szCs w:val="24"/>
    </w:rPr>
  </w:style>
  <w:style w:type="paragraph" w:customStyle="1" w:styleId="38">
    <w:name w:val="正文缩"/>
    <w:basedOn w:val="1"/>
    <w:qFormat/>
    <w:uiPriority w:val="0"/>
    <w:pPr>
      <w:ind w:firstLine="720" w:firstLineChars="200"/>
    </w:pPr>
  </w:style>
  <w:style w:type="paragraph" w:customStyle="1" w:styleId="39">
    <w:name w:val="lh-表题-报告表"/>
    <w:basedOn w:val="40"/>
    <w:next w:val="41"/>
    <w:qFormat/>
    <w:uiPriority w:val="0"/>
    <w:pPr>
      <w:numPr>
        <w:ilvl w:val="0"/>
        <w:numId w:val="1"/>
      </w:numPr>
      <w:spacing w:beforeLines="50"/>
      <w:ind w:firstLine="0" w:firstLineChars="0"/>
      <w:jc w:val="center"/>
    </w:pPr>
  </w:style>
  <w:style w:type="paragraph" w:customStyle="1" w:styleId="40">
    <w:name w:val="lh-正文-报告表"/>
    <w:basedOn w:val="1"/>
    <w:qFormat/>
    <w:uiPriority w:val="0"/>
    <w:pPr>
      <w:ind w:firstLine="480" w:firstLineChars="200"/>
    </w:pPr>
    <w:rPr>
      <w:sz w:val="24"/>
    </w:rPr>
  </w:style>
  <w:style w:type="paragraph" w:customStyle="1" w:styleId="41">
    <w:name w:val="lh-表格文字-报告表"/>
    <w:basedOn w:val="1"/>
    <w:qFormat/>
    <w:uiPriority w:val="0"/>
    <w:pPr>
      <w:jc w:val="center"/>
    </w:pPr>
  </w:style>
  <w:style w:type="paragraph" w:styleId="42">
    <w:name w:val="List Paragraph"/>
    <w:basedOn w:val="1"/>
    <w:qFormat/>
    <w:uiPriority w:val="34"/>
    <w:pPr>
      <w:numPr>
        <w:ilvl w:val="0"/>
        <w:numId w:val="2"/>
      </w:numPr>
    </w:pPr>
    <w:rPr>
      <w:rFonts w:ascii="Calibri" w:hAnsi="Calibri"/>
      <w:szCs w:val="22"/>
    </w:rPr>
  </w:style>
  <w:style w:type="paragraph" w:customStyle="1" w:styleId="43">
    <w:name w:val="表文"/>
    <w:basedOn w:val="32"/>
    <w:qFormat/>
    <w:uiPriority w:val="0"/>
    <w:pPr>
      <w:spacing w:line="240" w:lineRule="atLeast"/>
    </w:pPr>
    <w:rPr>
      <w:b w:val="0"/>
      <w:sz w:val="21"/>
    </w:rPr>
  </w:style>
  <w:style w:type="paragraph" w:customStyle="1" w:styleId="44">
    <w:name w:val="正文标题"/>
    <w:basedOn w:val="1"/>
    <w:next w:val="45"/>
    <w:qFormat/>
    <w:uiPriority w:val="0"/>
    <w:pPr>
      <w:ind w:firstLine="200"/>
    </w:pPr>
    <w:rPr>
      <w:rFonts w:cs="宋体"/>
      <w:b/>
    </w:rPr>
  </w:style>
  <w:style w:type="paragraph" w:customStyle="1" w:styleId="45">
    <w:name w:val="表内正文"/>
    <w:basedOn w:val="44"/>
    <w:qFormat/>
    <w:uiPriority w:val="0"/>
    <w:pPr>
      <w:jc w:val="both"/>
    </w:pPr>
    <w:rPr>
      <w:b w:val="0"/>
    </w:rPr>
  </w:style>
  <w:style w:type="character" w:customStyle="1" w:styleId="46">
    <w:name w:val="文档结构图 字符"/>
    <w:basedOn w:val="18"/>
    <w:link w:val="5"/>
    <w:qFormat/>
    <w:uiPriority w:val="0"/>
    <w:rPr>
      <w:rFonts w:ascii="宋体" w:hAnsi="Arial" w:cs="Arial"/>
      <w:snapToGrid w:val="0"/>
      <w:color w:val="000000"/>
      <w:sz w:val="18"/>
      <w:szCs w:val="18"/>
      <w:lang w:eastAsia="en-US"/>
    </w:rPr>
  </w:style>
  <w:style w:type="character" w:customStyle="1" w:styleId="47">
    <w:name w:val="批注文字 字符"/>
    <w:basedOn w:val="18"/>
    <w:link w:val="6"/>
    <w:qFormat/>
    <w:uiPriority w:val="0"/>
    <w:rPr>
      <w:rFonts w:ascii="Arial" w:hAnsi="Arial" w:eastAsia="Arial" w:cs="Arial"/>
      <w:snapToGrid w:val="0"/>
      <w:color w:val="000000"/>
      <w:sz w:val="21"/>
      <w:szCs w:val="21"/>
      <w:lang w:eastAsia="en-US"/>
    </w:rPr>
  </w:style>
  <w:style w:type="character" w:customStyle="1" w:styleId="48">
    <w:name w:val="批注主题 字符"/>
    <w:basedOn w:val="47"/>
    <w:link w:val="15"/>
    <w:qFormat/>
    <w:uiPriority w:val="0"/>
    <w:rPr>
      <w:rFonts w:ascii="Arial" w:hAnsi="Arial" w:eastAsia="Arial" w:cs="Arial"/>
      <w:b/>
      <w:bCs/>
      <w:snapToGrid w:val="0"/>
      <w:color w:val="000000"/>
      <w:sz w:val="21"/>
      <w:szCs w:val="21"/>
      <w:lang w:eastAsia="en-US"/>
    </w:rPr>
  </w:style>
  <w:style w:type="character" w:customStyle="1" w:styleId="49">
    <w:name w:val="批注框文本 字符"/>
    <w:basedOn w:val="18"/>
    <w:link w:val="10"/>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wmf"/><Relationship Id="rId24" Type="http://schemas.openxmlformats.org/officeDocument/2006/relationships/oleObject" Target="embeddings/oleObject1.bin"/><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zM4NTUwNTMyOTgwIiwKCSJHcm91cElkIiA6ICI2NjU3MzA1MTMiLAoJIkltYWdlIiA6ICJpVkJPUncwS0dnb0FBQUFOU1VoRVVnQUFBN3NBQUFIT0NBWUFBQUJaNmg2dEFBQUFBWE5TUjBJQXJzNGM2UUFBSUFCSlJFRlVlSnpzM1h1QVRQWC94L0hYbVpsZDF1NnlvbHlMdmtoVWE5YzNrUzZvcU5SWHlxMkVwSkJLOS9SVGxFb1hSZEUzUkVpU1cxOWR5TFYwK2JxRldMdFl5V1VKdVcyNTdYMW56dWYzeDlyNTd0Z3JsdGtkejhkZk01ODU1OHg3MURrN3J6bWZpd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WC9ELzQxU0J3R3MzajhRQUFBQUJKUlU1RXJrSmdnZz09IiwKCSJUaGVtZSIgOiAiIiwKCSJUeXBlIiA6ICJmbG93IiwKCSJVc2VySWQiIDogIiIsCgkiVmVyc2lvbiIgOiAiMzQiCn0K"/>
    </extobj>
    <extobj name="ECB019B1-382A-4266-B25C-5B523AA43C14-2">
      <extobjdata type="ECB019B1-382A-4266-B25C-5B523AA43C14" data="ewoJIkZpbGVJZCIgOiAiMzgxMjg2NzA1OTMzIiwKCSJHcm91cElkIiA6ICI2NjU3MzA1MTMiLAoJIkltYWdlIiA6ICJpVkJPUncwS0dnb0FBQUFOU1VoRVVnQUFBN1VBQUFFdENBWUFBQURYODBjeUFBQUFBWE5TUjBJQXJzNGM2UUFBSUFCSlJFRlVlSnpzM1hkMFZOWGF4L0hmbVhRU0Vrcm9BUUlpVFVHcVNGTnB3a1dsZUFWc2dNQVZGUkJRdktEU2JBZ2lDbElOSWxXS0NJSndxYUxJUlFSRkJRa1FxWVpYUkVxRVFCTFNKblBlUCtMTVpUS1RSb0poa3U5bkxkZktuTExQTXlIYmM1Nnptd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rVi93T2ZVVVQrcnlCLzR3QUFBQUJKUlU1RXJrSmdnZz09IiwKCSJUaGVtZSIgOiAiIiwKCSJUeXBlIiA6ICJmbG93IiwKCSJVc2VySWQiIDogIjU4NTY2MzA3NiIsCgkiVmVyc2lvbiIgOiAiNSIKfQo="/>
    </extobj>
    <extobj name="ECB019B1-382A-4266-B25C-5B523AA43C14-3">
      <extobjdata type="ECB019B1-382A-4266-B25C-5B523AA43C14" data="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59481</Words>
  <Characters>67518</Characters>
  <Lines>3031</Lines>
  <Paragraphs>2637</Paragraphs>
  <TotalTime>4</TotalTime>
  <ScaleCrop>false</ScaleCrop>
  <LinksUpToDate>false</LinksUpToDate>
  <CharactersWithSpaces>67644</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2025-04-16T22:51:00Z</dcterms:created>
  <dc:creator>lhj</dc:creator>
  <cp:lastModifiedBy>user</cp:lastModifiedBy>
  <dcterms:modified xsi:type="dcterms:W3CDTF">2025-08-26T09:42:37Z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2024-10-08T11:20:52Z</vt:filetime>
  </property>
  <property fmtid="{D5CDD505-2E9C-101B-9397-08002B2CF9AE}" pid="4" name="KSOProductBuildVer">
    <vt:lpwstr>2052-11.8.2.10624</vt:lpwstr>
  </property>
  <property fmtid="{D5CDD505-2E9C-101B-9397-08002B2CF9AE}" pid="5" name="ICV">
    <vt:lpwstr>4D31F74E877B4259A2546152A7833741_13</vt:lpwstr>
  </property>
  <property fmtid="{D5CDD505-2E9C-101B-9397-08002B2CF9AE}" pid="6" name="KSOTemplateDocerSaveRecord">
    <vt:lpwstr>eyJoZGlkIjoiMTYzN2VlZDA1MjVjYzg2NWY1MDc3ZDVjMmEwMjZhYmIiLCJ1c2VySWQiOiI1ODU2NjMwNzYifQ==</vt:lpwstr>
  </property>
</Properties>
</file>