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3B" w:rsidRDefault="0072753B">
      <w:pPr>
        <w:spacing w:line="560" w:lineRule="exact"/>
        <w:rPr>
          <w:rFonts w:ascii="方正小标宋简体" w:eastAsia="方正小标宋简体"/>
          <w:sz w:val="32"/>
          <w:szCs w:val="32"/>
        </w:rPr>
      </w:pPr>
    </w:p>
    <w:p w:rsidR="0072753B" w:rsidRDefault="009B6BBE">
      <w:pPr>
        <w:spacing w:line="500" w:lineRule="exact"/>
        <w:jc w:val="center"/>
        <w:rPr>
          <w:rFonts w:eastAsia="方正小标宋简体"/>
          <w:sz w:val="44"/>
          <w:szCs w:val="44"/>
        </w:rPr>
      </w:pPr>
      <w:r>
        <w:rPr>
          <w:rFonts w:eastAsia="方正小标宋简体" w:hint="eastAsia"/>
          <w:sz w:val="44"/>
          <w:szCs w:val="44"/>
        </w:rPr>
        <w:t>关于对政协十届五次会议</w:t>
      </w:r>
    </w:p>
    <w:p w:rsidR="0072753B" w:rsidRDefault="009B6BBE">
      <w:pPr>
        <w:spacing w:line="500" w:lineRule="exact"/>
        <w:jc w:val="center"/>
        <w:rPr>
          <w:rFonts w:eastAsia="方正小标宋简体"/>
          <w:sz w:val="44"/>
          <w:szCs w:val="44"/>
        </w:rPr>
      </w:pPr>
      <w:r>
        <w:rPr>
          <w:rFonts w:eastAsia="方正小标宋简体" w:hint="eastAsia"/>
          <w:sz w:val="44"/>
          <w:szCs w:val="44"/>
        </w:rPr>
        <w:t>第</w:t>
      </w:r>
      <w:r>
        <w:rPr>
          <w:rFonts w:eastAsia="方正小标宋简体"/>
          <w:sz w:val="44"/>
          <w:szCs w:val="44"/>
        </w:rPr>
        <w:t>15</w:t>
      </w:r>
      <w:r>
        <w:rPr>
          <w:rFonts w:eastAsia="方正小标宋简体" w:hint="eastAsia"/>
          <w:sz w:val="44"/>
          <w:szCs w:val="44"/>
        </w:rPr>
        <w:t>号提案的答复</w:t>
      </w:r>
    </w:p>
    <w:p w:rsidR="0072753B" w:rsidRDefault="0072753B">
      <w:pPr>
        <w:spacing w:line="500" w:lineRule="exact"/>
        <w:rPr>
          <w:szCs w:val="32"/>
        </w:rPr>
      </w:pPr>
    </w:p>
    <w:p w:rsidR="0072753B" w:rsidRDefault="009B6BBE">
      <w:pPr>
        <w:spacing w:line="560" w:lineRule="exact"/>
        <w:rPr>
          <w:rFonts w:eastAsia="仿宋_GB2312"/>
          <w:sz w:val="32"/>
          <w:szCs w:val="32"/>
        </w:rPr>
      </w:pPr>
      <w:r>
        <w:rPr>
          <w:rFonts w:eastAsia="仿宋_GB2312" w:hint="eastAsia"/>
          <w:sz w:val="32"/>
          <w:szCs w:val="32"/>
        </w:rPr>
        <w:t>杨</w:t>
      </w:r>
      <w:r>
        <w:rPr>
          <w:rFonts w:eastAsia="仿宋_GB2312"/>
          <w:sz w:val="32"/>
          <w:szCs w:val="32"/>
        </w:rPr>
        <w:t>*</w:t>
      </w:r>
      <w:r>
        <w:rPr>
          <w:rFonts w:eastAsia="仿宋_GB2312" w:hint="eastAsia"/>
          <w:sz w:val="32"/>
          <w:szCs w:val="32"/>
        </w:rPr>
        <w:t>梅</w:t>
      </w:r>
      <w:r>
        <w:rPr>
          <w:rFonts w:eastAsia="仿宋_GB2312" w:hint="eastAsia"/>
          <w:sz w:val="32"/>
          <w:szCs w:val="32"/>
        </w:rPr>
        <w:t>委员</w:t>
      </w:r>
      <w:r>
        <w:rPr>
          <w:rFonts w:eastAsia="仿宋_GB2312" w:hint="eastAsia"/>
          <w:sz w:val="32"/>
          <w:szCs w:val="32"/>
        </w:rPr>
        <w:t>：</w:t>
      </w:r>
    </w:p>
    <w:p w:rsidR="0072753B" w:rsidRDefault="009B6BBE">
      <w:pPr>
        <w:spacing w:line="560" w:lineRule="exact"/>
        <w:ind w:firstLineChars="200" w:firstLine="640"/>
        <w:rPr>
          <w:rFonts w:eastAsia="仿宋_GB2312"/>
          <w:sz w:val="32"/>
          <w:szCs w:val="32"/>
        </w:rPr>
      </w:pPr>
      <w:r>
        <w:rPr>
          <w:rFonts w:eastAsia="仿宋_GB2312" w:hint="eastAsia"/>
          <w:sz w:val="32"/>
          <w:szCs w:val="32"/>
        </w:rPr>
        <w:t>您提出的《关于加强项目服务，提升营商环境的建议》提案已收悉，现答复如下：</w:t>
      </w:r>
    </w:p>
    <w:p w:rsidR="0072753B" w:rsidRDefault="009B6BBE">
      <w:pPr>
        <w:spacing w:line="56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您的提案内容主要为：</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在经济发展进程中，项目是推动产业升级、增加就业、促进经济增长的重要载体。而优质的项目服务则是吸引项目落地、保障项目顺利推进的关键因素，对提升营商环境起着决定性作用。当下，虽然在营商环境建设方面取得了一定成果，但在项目服务环节仍存在一些问题，制约着营商环境的进一步优化。</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存在问题：项目推进过程中部分办理事项，审批涉及多个部门、多个环节，部门之间信息共享不及时，导致企业需要重复对接多个部门，审批周期长，影响项目落地及推进进度。</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建议：①打破部门间信息壁垒，实现数据共享，让企业一次性提交材料，各部门并联同时审批，压缩审批时间。②推行告知承诺制，对于部分非核心审批事项，企业</w:t>
      </w:r>
      <w:proofErr w:type="gramStart"/>
      <w:r>
        <w:rPr>
          <w:rFonts w:eastAsia="仿宋_GB2312" w:hint="eastAsia"/>
          <w:sz w:val="32"/>
          <w:szCs w:val="32"/>
        </w:rPr>
        <w:t>作出</w:t>
      </w:r>
      <w:proofErr w:type="gramEnd"/>
      <w:r>
        <w:rPr>
          <w:rFonts w:eastAsia="仿宋_GB2312" w:hint="eastAsia"/>
          <w:sz w:val="32"/>
          <w:szCs w:val="32"/>
        </w:rPr>
        <w:t>承诺后可先行开展项目建设，事后再补齐相关手续，提高审批效率。</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存在问题</w:t>
      </w:r>
      <w:r>
        <w:rPr>
          <w:rFonts w:eastAsia="仿宋_GB2312"/>
          <w:sz w:val="32"/>
          <w:szCs w:val="32"/>
        </w:rPr>
        <w:t>:</w:t>
      </w:r>
      <w:r>
        <w:rPr>
          <w:rFonts w:eastAsia="仿宋_GB2312" w:hint="eastAsia"/>
          <w:sz w:val="32"/>
          <w:szCs w:val="32"/>
        </w:rPr>
        <w:t>服务主动性不足，相关部门对项目服务缺乏主动意识，多是被动回应企业诉求，未能在项目前期筹备、建设过程</w:t>
      </w:r>
      <w:r>
        <w:rPr>
          <w:rFonts w:eastAsia="仿宋_GB2312" w:hint="eastAsia"/>
          <w:sz w:val="32"/>
          <w:szCs w:val="32"/>
        </w:rPr>
        <w:lastRenderedPageBreak/>
        <w:t>中主动提供政策指导、协调解决问题，企</w:t>
      </w:r>
      <w:r>
        <w:rPr>
          <w:rFonts w:eastAsia="仿宋_GB2312" w:hint="eastAsia"/>
          <w:sz w:val="32"/>
          <w:szCs w:val="32"/>
        </w:rPr>
        <w:t>业在项目推进中常常感到孤立无援。</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建议：①增强服务主动性，组建项目服务专班，从项目签约开始，为企业提供全流程、一对一服务，主动对接企业需求，提前介入项目筹备，协助企业办理各项手续。②定期开展项目走访活动，深入了解项目建设过程中遇到的困难和问题，现场办公、现场解决，不能当场解决的，明确责任人和解决时限，跟踪督办。</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存在问题：政策兑现困难：地方政府为吸引项目出台了一系列优惠政策，但在政策兑现过程中，存在标准模糊、手续复杂、兑现周期长等问题，严重影响了政府公信力和企业投资积极性。</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建议：①保障政策兑现：细化政策兑</w:t>
      </w:r>
      <w:r>
        <w:rPr>
          <w:rFonts w:eastAsia="仿宋_GB2312" w:hint="eastAsia"/>
          <w:sz w:val="32"/>
          <w:szCs w:val="32"/>
        </w:rPr>
        <w:t>现标准和流程，制定详细的操作指南，明确申请条件、申报材料、审核程序、兑现方式等，让企业一目了然。②建立政策兑现监督机制，定期对政策兑现情况进行检查和评估，对未按时兑现政策的部门进行问责，确保政策及时、足额兑现到企业手中。</w:t>
      </w:r>
    </w:p>
    <w:p w:rsidR="0072753B" w:rsidRDefault="009B6BBE">
      <w:pPr>
        <w:spacing w:line="560" w:lineRule="exact"/>
        <w:ind w:firstLineChars="200" w:firstLine="640"/>
        <w:rPr>
          <w:rFonts w:ascii="黑体" w:eastAsia="黑体" w:hAnsi="黑体"/>
          <w:sz w:val="32"/>
          <w:szCs w:val="32"/>
        </w:rPr>
      </w:pPr>
      <w:r>
        <w:rPr>
          <w:rFonts w:ascii="黑体" w:eastAsia="黑体" w:hAnsi="黑体" w:hint="eastAsia"/>
          <w:sz w:val="32"/>
          <w:szCs w:val="32"/>
        </w:rPr>
        <w:t>二、意见建议办理情况</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我局工程建设项目审批流程中四个阶段涉及三个，分别为立项用地规划许可阶段、工程建设许可阶段、竣工验收阶段，具体审批事项为：建设项目用地预审与选址意见书核发、建设用地规划许可证核发、建设工程规划许可证核发、建设工程规划核实。我局在为项目提供规划服务保障过程中，积极落实营商</w:t>
      </w:r>
      <w:r>
        <w:rPr>
          <w:rFonts w:eastAsia="仿宋_GB2312" w:hint="eastAsia"/>
          <w:sz w:val="32"/>
          <w:szCs w:val="32"/>
        </w:rPr>
        <w:t>环境改革政策：</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lastRenderedPageBreak/>
        <w:t>一是认真落实工程建设项目审批制度改革，梳理权责清单。严格依据省、市、滇中新区规划部门权责清单梳理形成审批管理权责清单，实行</w:t>
      </w:r>
      <w:r>
        <w:rPr>
          <w:rFonts w:eastAsia="仿宋_GB2312"/>
          <w:sz w:val="32"/>
          <w:szCs w:val="32"/>
        </w:rPr>
        <w:t>“</w:t>
      </w:r>
      <w:r>
        <w:rPr>
          <w:rFonts w:eastAsia="仿宋_GB2312" w:hint="eastAsia"/>
          <w:sz w:val="32"/>
          <w:szCs w:val="32"/>
        </w:rPr>
        <w:t>一张表单</w:t>
      </w:r>
      <w:r>
        <w:rPr>
          <w:rFonts w:eastAsia="仿宋_GB2312"/>
          <w:sz w:val="32"/>
          <w:szCs w:val="32"/>
        </w:rPr>
        <w:t>”</w:t>
      </w:r>
      <w:r>
        <w:rPr>
          <w:rFonts w:eastAsia="仿宋_GB2312" w:hint="eastAsia"/>
          <w:sz w:val="32"/>
          <w:szCs w:val="32"/>
        </w:rPr>
        <w:t>，并按权责清单</w:t>
      </w:r>
      <w:proofErr w:type="gramStart"/>
      <w:r>
        <w:rPr>
          <w:rFonts w:eastAsia="仿宋_GB2312" w:hint="eastAsia"/>
          <w:sz w:val="32"/>
          <w:szCs w:val="32"/>
        </w:rPr>
        <w:t>审批办</w:t>
      </w:r>
      <w:proofErr w:type="gramEnd"/>
      <w:r>
        <w:rPr>
          <w:rFonts w:eastAsia="仿宋_GB2312" w:hint="eastAsia"/>
          <w:sz w:val="32"/>
          <w:szCs w:val="32"/>
        </w:rPr>
        <w:t>件，做到清单之外无权力。</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二是推进多部门并联审批，探索合并审批事项。取消各审批阶段的并联事项作为前置，如地震安全性评价、水土保持方案等其他批复文件不再作为办理建设工程规划许可证前置。已根据要求合并选址意见书与用地预审、建设用地规划许可证与用地批准。根据《昆明市自然资源和规划局关于实施建设工程规划许可承诺制和豁免制的通知（试行）》，承诺制适用</w:t>
      </w:r>
      <w:r>
        <w:rPr>
          <w:rFonts w:eastAsia="仿宋_GB2312" w:hint="eastAsia"/>
          <w:sz w:val="32"/>
          <w:szCs w:val="32"/>
        </w:rPr>
        <w:t>于主城五区及高新、经开、度假区范围内项目，其余县区可参照执行。目前嵩明县正在积极探索告知承诺制，与</w:t>
      </w:r>
      <w:r>
        <w:rPr>
          <w:rFonts w:eastAsia="仿宋_GB2312"/>
          <w:sz w:val="32"/>
          <w:szCs w:val="32"/>
        </w:rPr>
        <w:t>“</w:t>
      </w:r>
      <w:r>
        <w:rPr>
          <w:rFonts w:eastAsia="仿宋_GB2312" w:hint="eastAsia"/>
          <w:sz w:val="32"/>
          <w:szCs w:val="32"/>
        </w:rPr>
        <w:t>交地及交证</w:t>
      </w:r>
      <w:r>
        <w:rPr>
          <w:rFonts w:eastAsia="仿宋_GB2312"/>
          <w:sz w:val="32"/>
          <w:szCs w:val="32"/>
        </w:rPr>
        <w:t>”</w:t>
      </w:r>
      <w:r>
        <w:rPr>
          <w:rFonts w:eastAsia="仿宋_GB2312" w:hint="eastAsia"/>
          <w:sz w:val="32"/>
          <w:szCs w:val="32"/>
        </w:rPr>
        <w:t>相结合。</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三是审批事项全部纳入审批管理系统。按照工程建设项目审批系统启用要求，目前所涉及审批事项均进云南省工程建设项目审批系统审批。</w:t>
      </w:r>
      <w:proofErr w:type="gramStart"/>
      <w:r>
        <w:rPr>
          <w:rFonts w:eastAsia="仿宋_GB2312" w:hint="eastAsia"/>
          <w:sz w:val="32"/>
          <w:szCs w:val="32"/>
        </w:rPr>
        <w:t>且按照</w:t>
      </w:r>
      <w:proofErr w:type="gramEnd"/>
      <w:r>
        <w:rPr>
          <w:rFonts w:eastAsia="仿宋_GB2312" w:hint="eastAsia"/>
          <w:sz w:val="32"/>
          <w:szCs w:val="32"/>
        </w:rPr>
        <w:t>省市要求启用云南省国土空间用途管制系统、昆明市国土空间规划智慧审批系统。</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四是积极探索</w:t>
      </w:r>
      <w:r>
        <w:rPr>
          <w:rFonts w:eastAsia="仿宋_GB2312"/>
          <w:sz w:val="32"/>
          <w:szCs w:val="32"/>
        </w:rPr>
        <w:t>“</w:t>
      </w:r>
      <w:r>
        <w:rPr>
          <w:rFonts w:eastAsia="仿宋_GB2312" w:hint="eastAsia"/>
          <w:sz w:val="32"/>
          <w:szCs w:val="32"/>
        </w:rPr>
        <w:t>四证齐发</w:t>
      </w:r>
      <w:r>
        <w:rPr>
          <w:rFonts w:eastAsia="仿宋_GB2312"/>
          <w:sz w:val="32"/>
          <w:szCs w:val="32"/>
        </w:rPr>
        <w:t>”</w:t>
      </w:r>
      <w:r>
        <w:rPr>
          <w:rFonts w:eastAsia="仿宋_GB2312" w:hint="eastAsia"/>
          <w:sz w:val="32"/>
          <w:szCs w:val="32"/>
        </w:rPr>
        <w:t>，目前已在多个招商引资项目进行试点，规划、水务、环保、住建等职能部门提前介入进行方案审查、手续办理指导，极大缩短企业拿地到开工建设的前期审批时间。</w:t>
      </w:r>
    </w:p>
    <w:p w:rsidR="0072753B" w:rsidRDefault="009B6BBE">
      <w:pPr>
        <w:pStyle w:val="a5"/>
        <w:spacing w:after="0" w:line="560" w:lineRule="exact"/>
        <w:ind w:firstLineChars="200" w:firstLine="640"/>
        <w:rPr>
          <w:rFonts w:eastAsia="仿宋_GB2312"/>
          <w:sz w:val="32"/>
          <w:szCs w:val="32"/>
        </w:rPr>
      </w:pPr>
      <w:r>
        <w:rPr>
          <w:rFonts w:eastAsia="仿宋_GB2312" w:hint="eastAsia"/>
          <w:sz w:val="32"/>
          <w:szCs w:val="32"/>
        </w:rPr>
        <w:t>五是实行建设工程规划许可豁免制度。对于满足豁免情形的建设行为，免于办理《建设工程规划许可证》，提高服务企业的</w:t>
      </w:r>
      <w:r>
        <w:rPr>
          <w:rFonts w:eastAsia="仿宋_GB2312" w:hint="eastAsia"/>
          <w:sz w:val="32"/>
          <w:szCs w:val="32"/>
        </w:rPr>
        <w:lastRenderedPageBreak/>
        <w:t>效率。</w:t>
      </w:r>
    </w:p>
    <w:p w:rsidR="0072753B" w:rsidRDefault="009B6BBE">
      <w:pPr>
        <w:spacing w:line="560" w:lineRule="exact"/>
        <w:ind w:firstLineChars="200" w:firstLine="640"/>
        <w:rPr>
          <w:rFonts w:ascii="黑体" w:eastAsia="黑体" w:hAnsi="黑体"/>
          <w:sz w:val="32"/>
          <w:szCs w:val="32"/>
        </w:rPr>
      </w:pPr>
      <w:r>
        <w:rPr>
          <w:rFonts w:ascii="黑体" w:eastAsia="黑体" w:hAnsi="黑体" w:hint="eastAsia"/>
          <w:sz w:val="32"/>
          <w:szCs w:val="32"/>
        </w:rPr>
        <w:t>三、下一步工作方向</w:t>
      </w:r>
    </w:p>
    <w:p w:rsidR="0072753B" w:rsidRDefault="009B6BBE">
      <w:pPr>
        <w:spacing w:line="560" w:lineRule="exact"/>
        <w:ind w:firstLineChars="200" w:firstLine="640"/>
        <w:rPr>
          <w:rFonts w:eastAsia="仿宋_GB2312"/>
          <w:sz w:val="32"/>
          <w:szCs w:val="32"/>
        </w:rPr>
      </w:pPr>
      <w:r>
        <w:rPr>
          <w:rFonts w:eastAsia="仿宋_GB2312" w:hint="eastAsia"/>
          <w:sz w:val="32"/>
          <w:szCs w:val="32"/>
        </w:rPr>
        <w:t>配合政务服务主管部门，坚持提升营商环境，持续打造</w:t>
      </w:r>
      <w:r>
        <w:rPr>
          <w:rFonts w:eastAsia="仿宋_GB2312"/>
          <w:sz w:val="32"/>
          <w:szCs w:val="32"/>
        </w:rPr>
        <w:t>“</w:t>
      </w:r>
      <w:r>
        <w:rPr>
          <w:rFonts w:eastAsia="仿宋_GB2312" w:hint="eastAsia"/>
          <w:sz w:val="32"/>
          <w:szCs w:val="32"/>
        </w:rPr>
        <w:t>轻嵩办</w:t>
      </w:r>
      <w:r>
        <w:rPr>
          <w:rFonts w:eastAsia="仿宋_GB2312"/>
          <w:sz w:val="32"/>
          <w:szCs w:val="32"/>
        </w:rPr>
        <w:t>”</w:t>
      </w:r>
      <w:r>
        <w:rPr>
          <w:rFonts w:eastAsia="仿宋_GB2312" w:hint="eastAsia"/>
          <w:sz w:val="32"/>
          <w:szCs w:val="32"/>
        </w:rPr>
        <w:t>品牌形象，深化联合审查并联审批机制，积极探索各审批部门内部系统打通联动，加强信息沟通。</w:t>
      </w:r>
    </w:p>
    <w:p w:rsidR="0072753B" w:rsidRDefault="009B6BBE">
      <w:pPr>
        <w:spacing w:line="560" w:lineRule="exact"/>
        <w:ind w:firstLineChars="200" w:firstLine="640"/>
        <w:rPr>
          <w:rFonts w:eastAsia="仿宋_GB2312"/>
          <w:sz w:val="32"/>
          <w:szCs w:val="32"/>
        </w:rPr>
      </w:pPr>
      <w:r>
        <w:rPr>
          <w:rFonts w:eastAsia="仿宋_GB2312" w:hint="eastAsia"/>
          <w:sz w:val="32"/>
          <w:szCs w:val="32"/>
        </w:rPr>
        <w:t>感谢您对嵩明县自然资源局工作的关心和支持。</w:t>
      </w:r>
    </w:p>
    <w:p w:rsidR="0072753B" w:rsidRDefault="009B6BBE">
      <w:pPr>
        <w:spacing w:line="560" w:lineRule="exact"/>
        <w:ind w:firstLineChars="200" w:firstLine="640"/>
        <w:rPr>
          <w:rFonts w:eastAsia="仿宋_GB2312"/>
          <w:sz w:val="32"/>
          <w:szCs w:val="32"/>
        </w:rPr>
      </w:pPr>
      <w:r>
        <w:rPr>
          <w:rFonts w:eastAsia="仿宋_GB2312" w:hint="eastAsia"/>
          <w:sz w:val="32"/>
          <w:szCs w:val="32"/>
        </w:rPr>
        <w:t>（联系人及电话：赵</w:t>
      </w:r>
      <w:r>
        <w:rPr>
          <w:rFonts w:eastAsia="仿宋_GB2312"/>
          <w:sz w:val="32"/>
          <w:szCs w:val="32"/>
        </w:rPr>
        <w:t>女士</w:t>
      </w:r>
      <w:r>
        <w:rPr>
          <w:rFonts w:eastAsia="仿宋_GB2312" w:hint="eastAsia"/>
          <w:sz w:val="32"/>
          <w:szCs w:val="32"/>
        </w:rPr>
        <w:t xml:space="preserve">  </w:t>
      </w:r>
      <w:r>
        <w:rPr>
          <w:rFonts w:eastAsia="仿宋_GB2312"/>
          <w:sz w:val="32"/>
          <w:szCs w:val="32"/>
        </w:rPr>
        <w:t>0871-</w:t>
      </w:r>
      <w:r>
        <w:rPr>
          <w:rFonts w:eastAsia="仿宋_GB2312"/>
          <w:sz w:val="32"/>
          <w:szCs w:val="32"/>
        </w:rPr>
        <w:t>67919226</w:t>
      </w:r>
      <w:r>
        <w:rPr>
          <w:rFonts w:eastAsia="仿宋_GB2312" w:hint="eastAsia"/>
          <w:sz w:val="32"/>
          <w:szCs w:val="32"/>
        </w:rPr>
        <w:t>）</w:t>
      </w:r>
    </w:p>
    <w:p w:rsidR="0072753B" w:rsidRDefault="009B6BBE">
      <w:pPr>
        <w:spacing w:line="560" w:lineRule="exact"/>
        <w:ind w:firstLineChars="200" w:firstLine="640"/>
        <w:rPr>
          <w:rFonts w:eastAsia="仿宋_GB2312"/>
          <w:sz w:val="32"/>
          <w:szCs w:val="32"/>
        </w:rPr>
      </w:pPr>
      <w:r>
        <w:rPr>
          <w:rFonts w:eastAsia="仿宋_GB2312" w:hint="eastAsia"/>
          <w:sz w:val="32"/>
          <w:szCs w:val="32"/>
        </w:rPr>
        <w:t>公示时限</w:t>
      </w:r>
      <w:r>
        <w:rPr>
          <w:rFonts w:eastAsia="仿宋_GB2312" w:hint="eastAsia"/>
          <w:sz w:val="32"/>
          <w:szCs w:val="32"/>
        </w:rPr>
        <w:t>:5</w:t>
      </w:r>
      <w:r>
        <w:rPr>
          <w:rFonts w:eastAsia="仿宋_GB2312" w:hint="eastAsia"/>
          <w:sz w:val="32"/>
          <w:szCs w:val="32"/>
        </w:rPr>
        <w:t>个工作日</w:t>
      </w:r>
      <w:r>
        <w:rPr>
          <w:rFonts w:eastAsia="仿宋_GB2312" w:hint="eastAsia"/>
          <w:sz w:val="32"/>
          <w:szCs w:val="32"/>
        </w:rPr>
        <w:t>(2025</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18</w:t>
      </w:r>
      <w:r>
        <w:rPr>
          <w:rFonts w:eastAsia="仿宋_GB2312" w:hint="eastAsia"/>
          <w:sz w:val="32"/>
          <w:szCs w:val="32"/>
        </w:rPr>
        <w:t>日—</w:t>
      </w:r>
      <w:r>
        <w:rPr>
          <w:rFonts w:eastAsia="仿宋_GB2312" w:hint="eastAsia"/>
          <w:sz w:val="32"/>
          <w:szCs w:val="32"/>
        </w:rPr>
        <w:t>2025</w:t>
      </w:r>
      <w:bookmarkStart w:id="0" w:name="_GoBack"/>
      <w:bookmarkEnd w:id="0"/>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22</w:t>
      </w:r>
      <w:r>
        <w:rPr>
          <w:rFonts w:eastAsia="仿宋_GB2312" w:hint="eastAsia"/>
          <w:sz w:val="32"/>
          <w:szCs w:val="32"/>
        </w:rPr>
        <w:t>日）</w:t>
      </w:r>
    </w:p>
    <w:p w:rsidR="0072753B" w:rsidRDefault="0072753B">
      <w:pPr>
        <w:ind w:firstLineChars="250" w:firstLine="700"/>
      </w:pPr>
    </w:p>
    <w:p w:rsidR="0072753B" w:rsidRDefault="0072753B" w:rsidP="009B6BBE">
      <w:pPr>
        <w:pStyle w:val="a0"/>
        <w:ind w:firstLine="560"/>
      </w:pPr>
    </w:p>
    <w:p w:rsidR="0072753B" w:rsidRDefault="009B6BBE">
      <w:pPr>
        <w:spacing w:line="560" w:lineRule="exact"/>
        <w:ind w:rightChars="400" w:right="1120"/>
        <w:jc w:val="right"/>
        <w:rPr>
          <w:rFonts w:eastAsia="仿宋_GB2312"/>
          <w:sz w:val="32"/>
          <w:szCs w:val="32"/>
        </w:rPr>
      </w:pPr>
      <w:r>
        <w:rPr>
          <w:rFonts w:eastAsia="仿宋_GB2312" w:hint="eastAsia"/>
          <w:sz w:val="32"/>
          <w:szCs w:val="32"/>
        </w:rPr>
        <w:t>嵩明县自然资源局</w:t>
      </w:r>
    </w:p>
    <w:p w:rsidR="0072753B" w:rsidRDefault="009B6BBE">
      <w:pPr>
        <w:spacing w:line="560" w:lineRule="exact"/>
        <w:ind w:rightChars="400" w:right="1120"/>
        <w:jc w:val="right"/>
        <w:rPr>
          <w:rFonts w:eastAsia="仿宋_GB2312"/>
          <w:sz w:val="32"/>
          <w:szCs w:val="32"/>
        </w:rPr>
      </w:pPr>
      <w:r>
        <w:rPr>
          <w:rFonts w:eastAsia="仿宋_GB2312"/>
          <w:sz w:val="32"/>
          <w:szCs w:val="32"/>
        </w:rPr>
        <w:t>2025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rPr>
        <w:t>8</w:t>
      </w:r>
      <w:r>
        <w:rPr>
          <w:rFonts w:eastAsia="仿宋_GB2312" w:hint="eastAsia"/>
          <w:sz w:val="32"/>
          <w:szCs w:val="32"/>
        </w:rPr>
        <w:t>日</w:t>
      </w:r>
    </w:p>
    <w:p w:rsidR="0072753B" w:rsidRDefault="0072753B">
      <w:pPr>
        <w:pStyle w:val="20"/>
        <w:ind w:leftChars="0" w:left="0" w:firstLineChars="0" w:firstLine="0"/>
      </w:pPr>
    </w:p>
    <w:p w:rsidR="0072753B" w:rsidRDefault="0072753B">
      <w:pPr>
        <w:tabs>
          <w:tab w:val="left" w:pos="160"/>
        </w:tabs>
        <w:rPr>
          <w:sz w:val="32"/>
        </w:rPr>
      </w:pPr>
    </w:p>
    <w:sectPr w:rsidR="0072753B">
      <w:headerReference w:type="default" r:id="rId8"/>
      <w:footerReference w:type="even" r:id="rId9"/>
      <w:footerReference w:type="default" r:id="rId10"/>
      <w:pgSz w:w="11906" w:h="16838"/>
      <w:pgMar w:top="2098" w:right="1474" w:bottom="1984" w:left="1587" w:header="851" w:footer="1417" w:gutter="0"/>
      <w:pgNumType w:start="1"/>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6BBE">
      <w:pPr>
        <w:spacing w:line="240" w:lineRule="auto"/>
      </w:pPr>
      <w:r>
        <w:separator/>
      </w:r>
    </w:p>
  </w:endnote>
  <w:endnote w:type="continuationSeparator" w:id="0">
    <w:p w:rsidR="00000000" w:rsidRDefault="009B6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3B" w:rsidRDefault="009B6BBE">
    <w:pPr>
      <w:pStyle w:val="a9"/>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p w:rsidR="0072753B" w:rsidRDefault="0072753B">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3B" w:rsidRDefault="009B6BBE">
    <w:pPr>
      <w:pStyle w:val="a9"/>
      <w:ind w:right="360"/>
    </w:pPr>
    <w:r>
      <w:rPr>
        <w:noProof/>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8"/>
              <wp:effectExtent l="0" t="0" r="0" b="0"/>
              <wp:wrapNone/>
              <wp:docPr id="2049" name="_x0000_s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04" cy="291628"/>
                      </a:xfrm>
                      <a:prstGeom prst="rect">
                        <a:avLst/>
                      </a:prstGeom>
                      <a:noFill/>
                      <a:ln w="9525" cap="flat" cmpd="sng">
                        <a:noFill/>
                        <a:prstDash val="solid"/>
                        <a:miter/>
                      </a:ln>
                    </wps:spPr>
                    <wps:txbx>
                      <w:txbxContent>
                        <w:p w:rsidR="0072753B" w:rsidRDefault="009B6BBE">
                          <w:pPr>
                            <w:pStyle w:val="a9"/>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noProof/>
                              <w:sz w:val="28"/>
                            </w:rPr>
                            <w:t>4</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rect id="_x0000_s2049" o:spid="_x0000_s1026" style="position:absolute;margin-left:-10.95pt;margin-top:0;width:40.25pt;height:22.95pt;z-index: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" filled="f" stroked="f">
              <v:path arrowok="t"/>
              <v:textbox style="mso-fit-shape-to-text:t" inset="0,0,0,0">
                <w:txbxContent>
                  <w:p w:rsidR="0072753B" w:rsidRDefault="009B6BBE">
                    <w:pPr>
                      <w:pStyle w:val="a9"/>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noProof/>
                        <w:sz w:val="28"/>
                      </w:rPr>
                      <w:t>4</w:t>
                    </w:r>
                    <w:r>
                      <w:rPr>
                        <w:rFonts w:ascii="宋体" w:hAnsi="宋体"/>
                        <w:sz w:val="28"/>
                      </w:rPr>
                      <w:fldChar w:fldCharType="end"/>
                    </w:r>
                    <w:r>
                      <w:rPr>
                        <w:rFonts w:ascii="宋体" w:hAnsi="宋体"/>
                        <w:sz w:val="28"/>
                      </w:rPr>
                      <w:t xml:space="preserv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6BBE">
      <w:pPr>
        <w:spacing w:line="240" w:lineRule="auto"/>
      </w:pPr>
      <w:r>
        <w:separator/>
      </w:r>
    </w:p>
  </w:footnote>
  <w:footnote w:type="continuationSeparator" w:id="0">
    <w:p w:rsidR="00000000" w:rsidRDefault="009B6B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3B" w:rsidRDefault="0072753B">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doNotSuppressIndentation/>
    <w:autofitToFirstFixedWidthCell/>
    <w:splitPgBreakAndParaMark/>
    <w:doNotVertAlignCellWithSp/>
    <w:compatSetting w:name="compatibilityMode" w:uri="http://schemas.microsoft.com/office/word" w:val="11"/>
  </w:compat>
  <w:docVars>
    <w:docVar w:name="DocumentID" w:val="{E83A6EA8-D85D-499D-92A1-306811C837D1}"/>
    <w:docVar w:name="DocumentName" w:val="57.?????????????¨²?¡¤?¡Â???????????¡§???¨²???¨´?????????????????????¨²???¨®?????¡ã¡ã?¡À¨º???????¨ª??3??¡ã¨¨?????¡§?¨¨?????????¡À???????¨²??"/>
  </w:docVars>
  <w:rsids>
    <w:rsidRoot w:val="0072753B"/>
    <w:rsid w:val="0072753B"/>
    <w:rsid w:val="009B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semiHidden="0" w:uiPriority="0" w:unhideWhenUsed="0"/>
    <w:lsdException w:name="heading 3" w:locked="1" w:semiHidden="0" w:uiPriority="0" w:unhideWhenUsed="0"/>
    <w:lsdException w:name="heading 4" w:locked="1" w:semiHidden="0" w:uiPriority="0" w:unhideWhenUsed="0"/>
    <w:lsdException w:name="heading 5" w:locked="1" w:semiHidden="0" w:uiPriority="0" w:unhideWhenUsed="0"/>
    <w:lsdException w:name="heading 6" w:locked="1" w:semiHidden="0" w:uiPriority="0" w:unhideWhenUsed="0"/>
    <w:lsdException w:name="heading 7" w:locked="1" w:semiHidden="0" w:uiPriority="0" w:unhideWhenUsed="0"/>
    <w:lsdException w:name="heading 8" w:locked="1" w:semiHidden="0" w:uiPriority="0" w:unhideWhenUsed="0"/>
    <w:lsdException w:name="heading 9" w:locked="1" w:semiHidden="0" w:uiPriority="0" w:unhideWhenUsed="0"/>
    <w:lsdException w:name="index 1" w:semiHidden="0" w:uiPriority="0" w:unhideWhenUsed="0"/>
    <w:lsdException w:name="index 2" w:semiHidden="0" w:uiPriority="0" w:unhideWhenUsed="0"/>
    <w:lsdException w:name="index 3"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360" w:lineRule="auto"/>
      <w:jc w:val="both"/>
    </w:pPr>
    <w:rPr>
      <w:rFonts w:cs="Times New Roman"/>
      <w:kern w:val="2"/>
      <w:sz w:val="28"/>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560" w:lineRule="exact"/>
      <w:ind w:firstLineChars="200" w:firstLine="200"/>
      <w:outlineLvl w:val="1"/>
    </w:pPr>
    <w:rPr>
      <w:rFonts w:ascii="Arial" w:eastAsia="楷体_GB2312" w:hAnsi="Arial"/>
      <w:b/>
      <w:bCs/>
      <w:szCs w:val="32"/>
    </w:rPr>
  </w:style>
  <w:style w:type="paragraph" w:styleId="3">
    <w:name w:val="heading 3"/>
    <w:basedOn w:val="a"/>
    <w:next w:val="a"/>
    <w:link w:val="3Char"/>
    <w:qFormat/>
    <w:locked/>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Pr>
      <w:rFonts w:ascii="Times New Roman" w:eastAsia="宋体" w:hAnsi="Times New Roman" w:cs="Times New Roman"/>
      <w:b/>
      <w:bCs/>
      <w:kern w:val="44"/>
      <w:sz w:val="44"/>
      <w:szCs w:val="44"/>
      <w:lang w:val="en-US" w:eastAsia="zh-CN" w:bidi="ar-SA"/>
    </w:rPr>
  </w:style>
  <w:style w:type="character" w:customStyle="1" w:styleId="2Char">
    <w:name w:val="标题 2 Char"/>
    <w:basedOn w:val="a1"/>
    <w:link w:val="2"/>
    <w:rPr>
      <w:rFonts w:ascii="Arial" w:eastAsia="楷体_GB2312" w:hAnsi="Arial" w:cs="Times New Roman"/>
      <w:b/>
      <w:bCs/>
      <w:kern w:val="2"/>
      <w:sz w:val="28"/>
      <w:szCs w:val="32"/>
      <w:lang w:val="en-US" w:eastAsia="zh-CN" w:bidi="ar-SA"/>
    </w:rPr>
  </w:style>
  <w:style w:type="character" w:customStyle="1" w:styleId="3Char">
    <w:name w:val="标题 3 Char"/>
    <w:basedOn w:val="a1"/>
    <w:link w:val="3"/>
    <w:rPr>
      <w:rFonts w:ascii="Times New Roman" w:eastAsia="宋体" w:hAnsi="Times New Roman" w:cs="Times New Roman"/>
      <w:b/>
      <w:bCs/>
      <w:kern w:val="2"/>
      <w:sz w:val="32"/>
      <w:szCs w:val="32"/>
      <w:lang w:val="en-US" w:eastAsia="zh-CN" w:bidi="ar-SA"/>
    </w:rPr>
  </w:style>
  <w:style w:type="paragraph" w:styleId="a0">
    <w:name w:val="Normal Indent"/>
    <w:basedOn w:val="a"/>
    <w:next w:val="a"/>
    <w:qFormat/>
    <w:pPr>
      <w:ind w:firstLineChars="200" w:firstLine="200"/>
    </w:p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200"/>
    </w:pPr>
  </w:style>
  <w:style w:type="paragraph" w:styleId="a7">
    <w:name w:val="Date"/>
    <w:basedOn w:val="a"/>
    <w:next w:val="a"/>
    <w:qFormat/>
    <w:pPr>
      <w:ind w:leftChars="2500" w:left="2500"/>
    </w:pPr>
  </w:style>
  <w:style w:type="paragraph" w:styleId="a8">
    <w:name w:val="Balloon Text"/>
    <w:basedOn w:val="a"/>
    <w:qFormat/>
    <w:rPr>
      <w:sz w:val="18"/>
      <w:szCs w:val="18"/>
    </w:rPr>
  </w:style>
  <w:style w:type="paragraph" w:styleId="a9">
    <w:name w:val="footer"/>
    <w:basedOn w:val="a"/>
    <w:qFormat/>
    <w:pPr>
      <w:tabs>
        <w:tab w:val="center" w:pos="4153"/>
        <w:tab w:val="right" w:pos="8306"/>
      </w:tabs>
      <w:snapToGrid w:val="0"/>
      <w:spacing w:line="240" w:lineRule="auto"/>
      <w:jc w:val="left"/>
    </w:pPr>
    <w:rPr>
      <w:sz w:val="18"/>
      <w:szCs w:val="18"/>
    </w:rPr>
  </w:style>
  <w:style w:type="paragraph" w:styleId="aa">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qFormat/>
    <w:pPr>
      <w:widowControl/>
      <w:shd w:val="clear" w:color="auto" w:fill="FFFFFF"/>
      <w:spacing w:line="550" w:lineRule="exact"/>
      <w:ind w:firstLineChars="200" w:firstLine="200"/>
      <w:jc w:val="left"/>
    </w:pPr>
    <w:rPr>
      <w:rFonts w:ascii="仿宋_GB2312" w:eastAsia="仿宋_GB2312"/>
      <w:sz w:val="32"/>
      <w:szCs w:val="30"/>
    </w:rPr>
  </w:style>
  <w:style w:type="paragraph" w:styleId="20">
    <w:name w:val="Body Text First Indent 2"/>
    <w:basedOn w:val="a6"/>
    <w:qFormat/>
    <w:pPr>
      <w:spacing w:line="240" w:lineRule="auto"/>
      <w:ind w:firstLineChars="200" w:firstLine="200"/>
    </w:pPr>
    <w:rPr>
      <w:rFonts w:eastAsia="仿宋_GB2312"/>
      <w:sz w:val="32"/>
      <w:szCs w:val="20"/>
    </w:rPr>
  </w:style>
  <w:style w:type="character" w:styleId="ac">
    <w:name w:val="page number"/>
    <w:basedOn w:val="a1"/>
    <w:qFormat/>
    <w:rPr>
      <w:rFonts w:cs="Times New Roman"/>
    </w:rPr>
  </w:style>
  <w:style w:type="paragraph" w:customStyle="1" w:styleId="BodyText">
    <w:name w:val="BodyText"/>
    <w:basedOn w:val="a"/>
    <w:qFormat/>
    <w:pPr>
      <w:spacing w:after="120"/>
      <w:textAlignment w:val="baseline"/>
    </w:pPr>
  </w:style>
  <w:style w:type="paragraph" w:customStyle="1" w:styleId="10">
    <w:name w:val="列出段落1"/>
    <w:basedOn w:val="a"/>
    <w:qFormat/>
    <w:pPr>
      <w:spacing w:line="240" w:lineRule="auto"/>
      <w:ind w:firstLineChars="200" w:firstLine="200"/>
    </w:pPr>
    <w:rPr>
      <w:rFonts w:ascii="Calibri" w:hAnsi="Calibri"/>
      <w:sz w:val="21"/>
      <w:szCs w:val="22"/>
    </w:rPr>
  </w:style>
  <w:style w:type="character" w:customStyle="1" w:styleId="font31">
    <w:name w:val="font31"/>
    <w:basedOn w:val="a1"/>
    <w:qFormat/>
    <w:rPr>
      <w:rFonts w:ascii="宋体" w:eastAsia="宋体" w:hAnsi="宋体" w:cs="宋体"/>
      <w:color w:val="000000"/>
      <w:sz w:val="24"/>
      <w:szCs w:val="24"/>
      <w:u w:val="none"/>
    </w:rPr>
  </w:style>
  <w:style w:type="paragraph" w:customStyle="1" w:styleId="ad">
    <w:name w:val="公文正文"/>
    <w:basedOn w:val="a"/>
    <w:qFormat/>
    <w:pPr>
      <w:spacing w:line="240" w:lineRule="atLeast"/>
      <w:ind w:firstLineChars="200" w:firstLine="200"/>
    </w:pPr>
    <w:rPr>
      <w:rFonts w:ascii="仿宋_GB2312" w:eastAsia="仿宋_GB2312" w:cs="宋体"/>
      <w:color w:val="000000"/>
      <w:kern w:val="0"/>
      <w:sz w:val="32"/>
      <w:szCs w:val="20"/>
    </w:rPr>
  </w:style>
  <w:style w:type="paragraph" w:customStyle="1" w:styleId="ae">
    <w:name w:val="公文:正文"/>
    <w:basedOn w:val="a"/>
    <w:qFormat/>
    <w:rPr>
      <w:rFonts w:ascii="Calibri" w:eastAsia="仿宋" w:hAnsi="Calibri"/>
      <w:sz w:val="32"/>
      <w:szCs w:val="22"/>
    </w:rPr>
  </w:style>
  <w:style w:type="paragraph" w:customStyle="1" w:styleId="af">
    <w:name w:val="公文:正文(缩进)"/>
    <w:basedOn w:val="a"/>
    <w:qFormat/>
    <w:pPr>
      <w:ind w:firstLineChars="200" w:firstLine="200"/>
    </w:pPr>
    <w:rPr>
      <w:rFonts w:ascii="Calibri" w:eastAsia="仿宋" w:hAnsi="Calibri"/>
      <w:sz w:val="32"/>
      <w:szCs w:val="22"/>
    </w:rPr>
  </w:style>
  <w:style w:type="paragraph" w:customStyle="1" w:styleId="11">
    <w:name w:val="正文1"/>
    <w:qFormat/>
    <w:rPr>
      <w:rFonts w:cs="Times New Roman"/>
    </w:rPr>
  </w:style>
  <w:style w:type="paragraph" w:customStyle="1" w:styleId="Default">
    <w:name w:val="Default"/>
    <w:basedOn w:val="11"/>
    <w:next w:val="a"/>
    <w:qFormat/>
    <w:pPr>
      <w:widowControl w:val="0"/>
      <w:autoSpaceDE w:val="0"/>
      <w:autoSpaceDN w:val="0"/>
      <w:adjustRightInd w:val="0"/>
    </w:pPr>
    <w:rPr>
      <w:rFonts w:ascii="宋体" w:hAnsi="宋体"/>
      <w:color w:val="000000"/>
      <w:sz w:val="24"/>
    </w:rPr>
  </w:style>
  <w:style w:type="paragraph" w:customStyle="1" w:styleId="CM2">
    <w:name w:val="CM2"/>
    <w:basedOn w:val="a"/>
    <w:next w:val="a"/>
    <w:qFormat/>
    <w:pPr>
      <w:autoSpaceDE w:val="0"/>
      <w:autoSpaceDN w:val="0"/>
      <w:adjustRightInd w:val="0"/>
      <w:spacing w:line="560" w:lineRule="atLeast"/>
      <w:jc w:val="left"/>
    </w:pPr>
    <w:rPr>
      <w:rFonts w:ascii="微软雅黑" w:eastAsia="微软雅黑" w:hAnsi="Calibri"/>
      <w:kern w:val="0"/>
      <w:sz w:val="24"/>
    </w:rPr>
  </w:style>
  <w:style w:type="paragraph" w:customStyle="1" w:styleId="CM16">
    <w:name w:val="CM16"/>
    <w:basedOn w:val="a"/>
    <w:next w:val="a"/>
    <w:qFormat/>
    <w:pPr>
      <w:autoSpaceDE w:val="0"/>
      <w:autoSpaceDN w:val="0"/>
      <w:adjustRightInd w:val="0"/>
      <w:spacing w:line="560" w:lineRule="atLeast"/>
      <w:jc w:val="left"/>
    </w:pPr>
    <w:rPr>
      <w:rFonts w:ascii="微软雅黑" w:eastAsia="微软雅黑"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D7DBD48-4D05-42FC-B3CA-25A4ABF0F2F0}">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4</Pages>
  <Words>260</Words>
  <Characters>1482</Characters>
  <Application>Microsoft Office Word</Application>
  <DocSecurity>0</DocSecurity>
  <Lines>12</Lines>
  <Paragraphs>3</Paragraphs>
  <ScaleCrop>false</ScaleCrop>
  <Company>CHINA</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cp:lastPrinted>2025-07-21T02:28:00Z</cp:lastPrinted>
  <dcterms:created xsi:type="dcterms:W3CDTF">2025-07-18T06:06:00Z</dcterms:created>
  <dcterms:modified xsi:type="dcterms:W3CDTF">2025-08-18T01:36:00Z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eyJoZGlkIjoiYjI4Y2JhYzlhMDEzNWFmOGM2YjcwODcxODJkY2EwOTMiLCJ1c2VySWQiOiI0Mzk5NzgyOTcifQ==</vt:lpwstr>
  </property>
  <property fmtid="{D5CDD505-2E9C-101B-9397-08002B2CF9AE}" pid="4" name="ICV">
    <vt:lpwstr>DAC1A8DCCF0C41DD8EB01BC44BC44B53_12</vt:lpwstr>
  </property>
</Properties>
</file>