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customXml/itemProps1.xml" ContentType="application/vnd.openxmlformats-officedocument.customXmlPropertie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tabs>
          <w:tab w:val="left" w:pos="8820"/>
        </w:tabs>
        <w:ind w:right="80"/>
        <w:jc w:val="center"/>
        <w:rPr>
          <w:rFonts w:ascii="方正小标宋简体" w:eastAsia="方正小标宋简体"/>
          <w:sz w:val="32"/>
          <w:szCs w:val="32"/>
        </w:rPr>
      </w:pPr>
      <w:r>
        <w:rPr>
          <w:color w:val="FFFFFF"/>
          <w:sz w:val="28"/>
          <w14:textFill>
            <w14:solidFill>
              <w14:srgbClr w14:val="FFFFFF"/>
            </w14:solidFill>
          </w14:textFill>
        </w:rPr>
        <mc:AlternateContent>
          <mc:Choice Requires="wps">
            <w:drawing>
              <wp:anchor distT="0" distB="0" distL="114300" distR="114300" simplePos="0" relativeHeight="16" behindDoc="0" locked="0" layoutInCell="1" hidden="0" allowOverlap="1">
                <wp:simplePos x="0" y="0"/>
                <wp:positionH relativeFrom="column">
                  <wp:posOffset>4985385</wp:posOffset>
                </wp:positionH>
                <wp:positionV relativeFrom="paragraph">
                  <wp:posOffset>-378460</wp:posOffset>
                </wp:positionV>
                <wp:extent cx="600075" cy="523875"/>
                <wp:wrapNone/>
                <wp:docPr id="1029" name="_x0000_s1029"/>
                <wp:cNvGraphicFramePr>
                  <a:graphicFrameLocks noChangeAspect="0"/>
                </wp:cNvGraphicFramePr>
                <a:graphic>
                  <a:graphicData uri="http://schemas.microsoft.com/office/word/2010/wordprocessingShape">
                    <wps:wsp>
                      <wps:cNvSpPr/>
                      <wps:spPr>
                        <a:xfrm rot="0">
                          <a:off x="0" y="0"/>
                          <a:ext cx="600075" cy="523875"/>
                        </a:xfrm>
                        <a:prstGeom prst="rect"/>
                        <a:solidFill>
                          <a:srgbClr val="FFFFFF"/>
                        </a:solidFill>
                        <a:ln w="9525" cmpd="sng" cap="flat">
                          <a:solidFill>
                            <a:srgbClr val="FFFFFF"/>
                          </a:solidFill>
                          <a:prstDash val="solid"/>
                          <a:miter/>
                        </a:ln>
                      </wps:spPr>
                      <wps:txbx id="3">
                        <w:txbxContent>
                          <w:p>
                            <w:pPr>
                              <w:rPr>
                                <w:rFonts w:eastAsia="宋体" w:hint="eastAsia"/>
                                <w:lang w:val="en-US" w:eastAsia="zh-CN"/>
                              </w:rPr>
                            </w:pPr>
                          </w:p>
                        </w:txbxContent>
                      </wps:txbx>
                      <wps:bodyPr vert="horz" wrap="square" lIns="91440" tIns="45720" rIns="91440" bIns="45720" anchor="t" anchorCtr="0" upright="1">
                        <a:noAutofit/>
                      </wps:bodyPr>
                    </wps:wsp>
                  </a:graphicData>
                </a:graphic>
              </wp:anchor>
            </w:drawing>
          </mc:Choice>
          <mc:Fallback>
            <w:pict>
              <v:shape type="#_x0000_t202" id="_x0000_s1029" o:spid="_x0000_s4" fillcolor="#FFFFFF" stroked="t" style="position:absolute;margin-left:392.55002pt;margin-top:-29.8pt;width:47.25pt;height:41.25pt;z-index:16;mso-position-horizontal:absolute;mso-position-vertical:absolute;mso-wrap-style:square;">
                <v:stroke color="#FFFFFF"/>
                <v:textbox id="848" inset="2.54mm,1.27mm,2.54mm,1.27mm" o:insetmode="custom" style="layout-flow:horizontal;v-text-anchor:top;">
                  <w:txbxContent>
                    <w:p>
                      <w:pPr>
                        <w:rPr>
                          <w:rFonts w:eastAsia="宋体" w:hint="eastAsia"/>
                          <w:lang w:val="en-US" w:eastAsia="zh-CN"/>
                        </w:rPr>
                      </w:pPr>
                    </w:p>
                  </w:txbxContent>
                </v:textbox>
              </v:shape>
            </w:pict>
          </mc:Fallback>
        </mc:AlternateContent>
      </w:r>
      <w:r>
        <w:rPr>
          <w:color w:val="FFFFFF"/>
          <w14:textFill>
            <w14:solidFill>
              <w14:srgbClr w14:val="FFFFFF"/>
            </w14:solidFill>
          </w14:textFill>
        </w:rPr>
        <mc:AlternateContent>
          <mc:Choice Requires="wps">
            <w:drawing>
              <wp:anchor distT="0" distB="0" distL="114300" distR="114300" simplePos="0" relativeHeight="14" behindDoc="0" locked="0" layoutInCell="1" hidden="1" allowOverlap="1">
                <wp:simplePos x="0" y="0"/>
                <wp:positionH relativeFrom="column">
                  <wp:posOffset>-1134744</wp:posOffset>
                </wp:positionH>
                <wp:positionV relativeFrom="paragraph">
                  <wp:posOffset>-1205230</wp:posOffset>
                </wp:positionV>
                <wp:extent cx="63499" cy="63499"/>
                <wp:wrapNone/>
                <wp:docPr id="1027" name="KGD_Gobal1" hidden="1" descr="lskY7P30+39SSS2ze3CC/K1lg8okRe7CYXrQPbyjt/qhY3u2JRPHhqpB1jZHxa5fKH5TIakHDrTm+ythezV8e0BEpEclcrlgVr6cyxlIamv1oF/q5+nY81X8MsEh8jWPAGpmE8fFtJrTsHYAysacPmQ0Kzo2UWARpUgogLifsIkRDBfSOKGqfzlF+djmpTRes/s7IlttdTfkLi8a+YE2rYayewhZB5Lq1n3Q2CINqVmVMRemCdBPteP55jWTzk+Pvpnv2NM7LxOq/ZrmtYZQZ2G0YWtPKdsDrEoORrMAWmKKg3s/slLF5avFH/TyV9QFAde/TroKSnnrHg9RwwWgmYPi8kR07RUmHTEl07EO6m6Tln3IiiaGPuwB3qFQlqmtN2Shlyc0pvzmL2Ou44xnjmHSxrMf6ATqLBZieGUeMOnX1lTryPX5ylP8+lI54WhmyfpE4rokh7mZPe8F3Y67AylIWtj8luls2egVTnP6SzayXCQ7YpNS4UJVfR2HtVcHzq6IzSdBtovBD+GayxIa21Be1Pr9xTxjREphlZkXh/rRTU3+yORPzr8sAGOWILSJrpYgNpcDoZXoffsF9O7qCN6b0xe1CKRLvhdDi0+4e65B+D/02oZEPf2jYJ0MbvpIRqv7DkNWXpGmSKqedVkca475QCAR9i3wIu5tlNp7B2k+r+ppS3fTa58EMcfwq8Qs3s4BPky3YaPjyPWwkyJwQC2LJ8i6H97lxpXVeIlP0AUXwJLzIIzEU3jhabLuW1RPFGsDU47kZALOI+bf3jFeqtuDLg+kEEgm53tMZzr+fcrVvpmxlTWcOG6nyeQmUfo1kQposmJlmyLcanrh3bNDnjrfoL8HcCgsbEaAPKYYoqwcWsmXAH4tB/lxn6Xcz/ogw4IIvyH8O9vDIrcRr9VZGYpaKYJOPuEOBNYvxfVFtTIl3htjA/9xXCcAzZKJTPy0UN0Egk3ztQMePQhqfgvzDmbUQ2C5ZhXxXk0Rnw+NiZ2ns5TEyYNcBXAFUqoqkYtDkY0O04e1ww46fuYoGEVT632CnJ4qB7qeWMQtAJjIyuUQMoYJkENdv92e/WJ/DLoxgkteKHIa3LqnywtuT95l6dy1/tGMkPfBFXKBOJVqlEk="/>
                <wp:cNvGraphicFramePr>
                  <a:graphicFrameLocks noChangeAspect="0"/>
                </wp:cNvGraphicFramePr>
                <a:graphic>
                  <a:graphicData uri="http://schemas.microsoft.com/office/word/2010/wordprocessingShape">
                    <wps:wsp>
                      <wps:cNvSpPr/>
                      <wps:spPr>
                        <a:xfrm rot="0">
                          <a:off x="0" y="0"/>
                          <a:ext cx="63499" cy="63499"/>
                        </a:xfrm>
                        <a:prstGeom prst="rect"/>
                        <a:solidFill>
                          <a:srgbClr val="4F81BD"/>
                        </a:solidFill>
                        <a:ln w="25400" cmpd="sng" cap="flat">
                          <a:solidFill>
                            <a:srgbClr val="385D8A"/>
                          </a:solidFill>
                          <a:prstDash val="solid"/>
                          <a:miter/>
                        </a:ln>
                      </wps:spPr>
                      <wps:bodyPr vert="horz" wrap="square" lIns="91440" tIns="45720" rIns="91440" bIns="45720" anchor="ctr" anchorCtr="0" upright="1">
                        <a:noAutofit/>
                      </wps:bodyPr>
                    </wps:wsp>
                  </a:graphicData>
                </a:graphic>
              </wp:anchor>
            </w:drawing>
          </mc:Choice>
          <mc:Fallback>
            <w:pict>
              <v:rect type="#_x0000_t1" id="KGD_Gobal1" o:spid="_x0000_s5" fillcolor="#4F81BD" stroked="t" strokeweight="2.0pt" alt="lskY7P30+39SSS2ze3CC/K1lg8okRe7CYXrQPbyjt/qhY3u2JRPHhqpB1jZHxa5fKH5TIakHDrTm+ythezV8e0BEpEclcrlgVr6cyxlIamv1oF/q5+nY81X8MsEh8jWPAGpmE8fFtJrTsHYAysacPmQ0Kzo2UWARpUgogLifsIkRDBfSOKGqfzlF+djmpTRes/s7IlttdTfkLi8a+YE2rYayewhZB5Lq1n3Q2CINqVmVMRemCdBPteP55jWTzk+Pvpnv2NM7LxOq/ZrmtYZQZ2G0YWtPKdsDrEoORrMAWmKKg3s/slLF5avFH/TyV9QFAde/TroKSnnrHg9RwwWgmYPi8kR07RUmHTEl07EO6m6Tln3IiiaGPuwB3qFQlqmtN2Shlyc0pvzmL2Ou44xnjmHSxrMf6ATqLBZieGUeMOnX1lTryPX5ylP8+lI54WhmyfpE4rokh7mZPe8F3Y67AylIWtj8luls2egVTnP6SzayXCQ7YpNS4UJVfR2HtVcHzq6IzSdBtovBD+GayxIa21Be1Pr9xTxjREphlZkXh/rRTU3+yORPzr8sAGOWILSJrpYgNpcDoZXoffsF9O7qCN6b0xe1CKRLvhdDi0+4e65B+D/02oZEPf2jYJ0MbvpIRqv7DkNWXpGmSKqedVkca475QCAR9i3wIu5tlNp7B2k+r+ppS3fTa58EMcfwq8Qs3s4BPky3YaPjyPWwkyJwQC2LJ8i6H97lxpXVeIlP0AUXwJLzIIzEU3jhabLuW1RPFGsDU47kZALOI+bf3jFeqtuDLg+kEEgm53tMZzr+fcrVvpmxlTWcOG6nyeQmUfo1kQposmJlmyLcanrh3bNDnjrfoL8HcCgsbEaAPKYYoqwcWsmXAH4tB/lxn6Xcz/ogw4IIvyH8O9vDIrcRr9VZGYpaKYJOPuEOBNYvxfVFtTIl3htjA/9xXCcAzZKJTPy0UN0Egk3ztQMePQhqfgvzDmbUQ2C5ZhXxXk0Rnw+NiZ2ns5TEyYNcBXAFUqoqkYtDkY0O04e1ww46fuYoGEVT632CnJ4qB7qeWMQtAJjIyuUQMoYJkENdv92e/WJ/DLoxgkteKHIa3LqnywtuT95l6dy1/tGMkPfBFXKBOJVqlEk=" style="position:absolute;margin-left:-89.35pt;margin-top:-94.9pt;width:4.999998pt;height:4.999998pt;z-index:14;mso-position-horizontal:absolute;mso-position-vertical:absolute;visibility:hidden;">
                <v:stroke color="#385D8A"/>
              </v:rect>
            </w:pict>
          </mc:Fallback>
        </mc:AlternateContent>
      </w:r>
      <w:bookmarkStart w:id="0" w:name="OLE_LINK43"/>
      <w:bookmarkStart w:id="1" w:name="OLE_LINK45"/>
      <w:bookmarkStart w:id="2" w:name="OLE_LINK44"/>
      <w:r>
        <w:rPr>
          <w:rFonts w:eastAsia="方正小标宋简体" w:hint="eastAsia"/>
          <w:sz w:val="44"/>
          <w:szCs w:val="44"/>
        </w:rPr>
        <w:t>关于对县人大十七届四次会议</w:t>
      </w:r>
    </w:p>
    <w:p>
      <w:pPr>
        <w:spacing w:line="560" w:lineRule="exact"/>
        <w:jc w:val="center"/>
        <w:rPr>
          <w:rFonts w:eastAsia="方正小标宋简体"/>
          <w:sz w:val="44"/>
          <w:szCs w:val="44"/>
        </w:rPr>
      </w:pPr>
      <w:r>
        <w:rPr>
          <w:rFonts w:eastAsia="方正小标宋简体" w:hint="eastAsia"/>
          <w:sz w:val="44"/>
          <w:szCs w:val="44"/>
        </w:rPr>
        <w:t>第</w:t>
      </w:r>
      <w:r>
        <w:rPr>
          <w:rFonts w:eastAsia="方正小标宋简体"/>
          <w:sz w:val="44"/>
          <w:szCs w:val="44"/>
        </w:rPr>
        <w:t>97</w:t>
      </w:r>
      <w:r>
        <w:rPr>
          <w:rFonts w:eastAsia="方正小标宋简体" w:hint="eastAsia"/>
          <w:sz w:val="44"/>
          <w:szCs w:val="44"/>
        </w:rPr>
        <w:t>号建议的答复</w:t>
      </w:r>
    </w:p>
    <w:p>
      <w:pPr>
        <w:spacing w:line="560" w:lineRule="exact"/>
        <w:rPr>
          <w:rFonts w:eastAsia="仿宋_GB2312"/>
          <w:sz w:val="32"/>
          <w:szCs w:val="32"/>
        </w:rPr>
      </w:pPr>
    </w:p>
    <w:p>
      <w:pPr>
        <w:spacing w:line="560" w:lineRule="exact"/>
        <w:rPr>
          <w:rFonts w:eastAsia="仿宋_GB2312"/>
          <w:sz w:val="32"/>
          <w:szCs w:val="32"/>
        </w:rPr>
      </w:pPr>
      <w:r>
        <w:rPr>
          <w:rFonts w:eastAsia="仿宋_GB2312" w:hint="eastAsia"/>
          <w:sz w:val="32"/>
          <w:szCs w:val="32"/>
        </w:rPr>
        <w:t>马</w:t>
      </w:r>
      <w:r>
        <w:rPr>
          <w:rFonts w:eastAsia="仿宋_GB2312"/>
          <w:sz w:val="32"/>
          <w:szCs w:val="32"/>
        </w:rPr>
        <w:t>*</w:t>
      </w:r>
      <w:r>
        <w:rPr>
          <w:rFonts w:eastAsia="仿宋_GB2312" w:hint="eastAsia"/>
          <w:sz w:val="32"/>
          <w:szCs w:val="32"/>
        </w:rPr>
        <w:t>永代表：</w:t>
      </w:r>
    </w:p>
    <w:p>
      <w:pPr>
        <w:spacing w:line="560" w:lineRule="exact"/>
        <w:ind w:firstLineChars="200" w:firstLine="640"/>
        <w:rPr>
          <w:rFonts w:eastAsia="仿宋_GB2312"/>
          <w:sz w:val="32"/>
          <w:szCs w:val="32"/>
        </w:rPr>
      </w:pPr>
      <w:r>
        <w:rPr>
          <w:rFonts w:eastAsia="仿宋_GB2312" w:hint="eastAsia"/>
          <w:sz w:val="32"/>
          <w:szCs w:val="32"/>
        </w:rPr>
        <w:t>您在</w:t>
      </w:r>
      <w:r>
        <w:rPr>
          <w:rFonts w:eastAsia="仿宋_GB2312"/>
          <w:sz w:val="32"/>
          <w:szCs w:val="32"/>
        </w:rPr>
        <w:t>2025</w:t>
      </w:r>
      <w:r>
        <w:rPr>
          <w:rFonts w:eastAsia="仿宋_GB2312" w:hint="eastAsia"/>
          <w:sz w:val="32"/>
          <w:szCs w:val="32"/>
        </w:rPr>
        <w:t>年县十七届人大二次会议上提出的第</w:t>
      </w:r>
      <w:r>
        <w:rPr>
          <w:rFonts w:eastAsia="仿宋_GB2312"/>
          <w:sz w:val="32"/>
          <w:szCs w:val="32"/>
        </w:rPr>
        <w:t>97</w:t>
      </w:r>
      <w:r>
        <w:rPr>
          <w:rFonts w:eastAsia="仿宋_GB2312" w:hint="eastAsia"/>
          <w:sz w:val="32"/>
          <w:szCs w:val="32"/>
        </w:rPr>
        <w:t>号</w:t>
      </w:r>
      <w:r>
        <w:rPr>
          <w:rFonts w:eastAsia="仿宋_GB2312"/>
          <w:sz w:val="32"/>
          <w:szCs w:val="32"/>
        </w:rPr>
        <w:t>“</w:t>
      </w:r>
      <w:r>
        <w:rPr>
          <w:rFonts w:eastAsia="仿宋_GB2312" w:hint="eastAsia"/>
          <w:sz w:val="32"/>
          <w:szCs w:val="32"/>
        </w:rPr>
        <w:t>关于着力解决农村原有的建设用地确权手续</w:t>
      </w:r>
      <w:r>
        <w:rPr>
          <w:rFonts w:eastAsia="仿宋_GB2312"/>
          <w:sz w:val="32"/>
          <w:szCs w:val="32"/>
        </w:rPr>
        <w:t>”</w:t>
      </w:r>
      <w:r>
        <w:rPr>
          <w:rFonts w:eastAsia="仿宋_GB2312" w:hint="eastAsia"/>
          <w:sz w:val="32"/>
          <w:szCs w:val="32"/>
        </w:rPr>
        <w:t>的建议，已交嵩明县自然资源局研究办理，现答复如下：</w:t>
      </w:r>
    </w:p>
    <w:p>
      <w:pPr>
        <w:spacing w:line="560" w:lineRule="exact"/>
        <w:ind w:firstLineChars="200" w:firstLine="640"/>
        <w:rPr>
          <w:rFonts w:ascii="黑体" w:eastAsia="黑体" w:hAnsi="黑体"/>
          <w:sz w:val="32"/>
          <w:szCs w:val="32"/>
        </w:rPr>
      </w:pPr>
      <w:bookmarkStart w:id="3" w:name="OLE_LINK3"/>
      <w:r>
        <w:rPr>
          <w:rFonts w:ascii="黑体" w:eastAsia="黑体" w:hAnsi="黑体" w:hint="eastAsia"/>
          <w:sz w:val="32"/>
          <w:szCs w:val="32"/>
        </w:rPr>
        <w:t>一、基本情况</w:t>
      </w:r>
    </w:p>
    <w:p>
      <w:pPr>
        <w:pStyle w:val="17"/>
        <w:spacing w:after="0" w:line="560" w:lineRule="exact"/>
        <w:ind w:firstLineChars="200" w:firstLine="640"/>
        <w:rPr>
          <w:rFonts w:eastAsia="仿宋_GB2312"/>
          <w:color w:val="000000"/>
          <w:sz w:val="32"/>
          <w:szCs w:val="32"/>
        </w:rPr>
      </w:pPr>
      <w:r>
        <w:rPr>
          <w:rFonts w:eastAsia="仿宋_GB2312" w:hint="eastAsia"/>
          <w:color w:val="000000"/>
          <w:sz w:val="32"/>
          <w:szCs w:val="32"/>
        </w:rPr>
        <w:t>为保障乡村振兴用地能力，更好服务地方经济社会发展，嵩明县自然资源局根据国家、省、市相关文件要求开展嵩明县集体建设用地确权登记工作。自</w:t>
      </w:r>
      <w:r>
        <w:rPr>
          <w:rFonts w:eastAsia="仿宋_GB2312"/>
          <w:color w:val="000000"/>
          <w:sz w:val="32"/>
          <w:szCs w:val="32"/>
        </w:rPr>
        <w:t>2016</w:t>
      </w:r>
      <w:r>
        <w:rPr>
          <w:rFonts w:eastAsia="仿宋_GB2312" w:hint="eastAsia"/>
          <w:color w:val="000000"/>
          <w:sz w:val="32"/>
          <w:szCs w:val="32"/>
        </w:rPr>
        <w:t>年</w:t>
      </w:r>
      <w:r>
        <w:rPr>
          <w:rFonts w:eastAsia="仿宋_GB2312"/>
          <w:color w:val="000000"/>
          <w:sz w:val="32"/>
          <w:szCs w:val="32"/>
        </w:rPr>
        <w:t>6</w:t>
      </w:r>
      <w:r>
        <w:rPr>
          <w:rFonts w:eastAsia="仿宋_GB2312" w:hint="eastAsia"/>
          <w:color w:val="000000"/>
          <w:sz w:val="32"/>
          <w:szCs w:val="32"/>
        </w:rPr>
        <w:t>月</w:t>
      </w:r>
      <w:r>
        <w:rPr>
          <w:rFonts w:eastAsia="仿宋_GB2312"/>
          <w:color w:val="000000"/>
          <w:sz w:val="32"/>
          <w:szCs w:val="32"/>
        </w:rPr>
        <w:t>30</w:t>
      </w:r>
      <w:r>
        <w:rPr>
          <w:rFonts w:eastAsia="仿宋_GB2312" w:hint="eastAsia"/>
          <w:color w:val="000000"/>
          <w:sz w:val="32"/>
          <w:szCs w:val="32"/>
        </w:rPr>
        <w:t>日嵩明县不动产登记中心成立以来，嵩明县集体建设用地共确权登记</w:t>
      </w:r>
      <w:r>
        <w:rPr>
          <w:rFonts w:eastAsia="仿宋_GB2312"/>
          <w:color w:val="000000"/>
          <w:sz w:val="32"/>
          <w:szCs w:val="32"/>
        </w:rPr>
        <w:t>54</w:t>
      </w:r>
      <w:r>
        <w:rPr>
          <w:rFonts w:eastAsia="仿宋_GB2312" w:hint="eastAsia"/>
          <w:color w:val="000000"/>
          <w:sz w:val="32"/>
          <w:szCs w:val="32"/>
        </w:rPr>
        <w:t>宗，面积合计</w:t>
      </w:r>
      <w:r>
        <w:rPr>
          <w:rFonts w:eastAsia="仿宋_GB2312"/>
          <w:color w:val="000000"/>
          <w:sz w:val="32"/>
          <w:szCs w:val="32"/>
        </w:rPr>
        <w:t>414911.63</w:t>
      </w:r>
      <w:r>
        <w:rPr>
          <w:rFonts w:eastAsia="仿宋_GB2312" w:hint="eastAsia"/>
          <w:color w:val="000000"/>
          <w:sz w:val="32"/>
          <w:szCs w:val="32"/>
        </w:rPr>
        <w:t>平方米（</w:t>
      </w:r>
      <w:r>
        <w:rPr>
          <w:rFonts w:eastAsia="仿宋_GB2312"/>
          <w:color w:val="000000"/>
          <w:sz w:val="32"/>
          <w:szCs w:val="32"/>
        </w:rPr>
        <w:t>625.37</w:t>
      </w:r>
      <w:r>
        <w:rPr>
          <w:rFonts w:eastAsia="仿宋_GB2312" w:hint="eastAsia"/>
          <w:color w:val="000000"/>
          <w:sz w:val="32"/>
          <w:szCs w:val="32"/>
        </w:rPr>
        <w:t>亩）。</w:t>
      </w:r>
    </w:p>
    <w:p>
      <w:pPr>
        <w:spacing w:line="560" w:lineRule="exact"/>
        <w:ind w:firstLineChars="200" w:firstLine="640"/>
        <w:rPr>
          <w:rFonts w:ascii="黑体" w:eastAsia="黑体" w:hAnsi="黑体"/>
          <w:sz w:val="32"/>
          <w:szCs w:val="32"/>
        </w:rPr>
      </w:pPr>
      <w:bookmarkEnd w:id="3"/>
      <w:r>
        <w:rPr>
          <w:rFonts w:ascii="黑体" w:eastAsia="黑体" w:hAnsi="黑体" w:hint="eastAsia"/>
          <w:sz w:val="32"/>
          <w:szCs w:val="32"/>
        </w:rPr>
        <w:t>二、意见建议办理情况</w:t>
      </w:r>
    </w:p>
    <w:p>
      <w:pPr>
        <w:pStyle w:val="17"/>
        <w:spacing w:after="0" w:line="560" w:lineRule="exact"/>
        <w:ind w:firstLineChars="200" w:firstLine="640"/>
        <w:rPr>
          <w:rFonts w:eastAsia="仿宋_GB2312"/>
          <w:bCs/>
          <w:sz w:val="32"/>
          <w:szCs w:val="32"/>
        </w:rPr>
      </w:pPr>
      <w:r>
        <w:rPr>
          <w:rFonts w:eastAsia="仿宋_GB2312" w:hint="eastAsia"/>
          <w:color w:val="000000"/>
          <w:sz w:val="32"/>
          <w:szCs w:val="32"/>
        </w:rPr>
        <w:t>根据《国土资源部关于进一步加快宅基地和集体建设用地确权登记发证有关问题的通知》（国土资发</w:t>
      </w:r>
      <w:bookmarkStart w:id="4" w:name="OLE_LINK2"/>
      <w:r>
        <w:rPr>
          <w:rFonts w:eastAsia="仿宋_GB2312" w:hint="eastAsia"/>
          <w:color w:val="000000"/>
          <w:sz w:val="32"/>
          <w:szCs w:val="32"/>
        </w:rPr>
        <w:t>〔</w:t>
      </w:r>
      <w:r>
        <w:rPr>
          <w:rFonts w:eastAsia="仿宋_GB2312"/>
          <w:color w:val="000000"/>
          <w:sz w:val="32"/>
          <w:szCs w:val="32"/>
        </w:rPr>
        <w:t>2016</w:t>
      </w:r>
      <w:r>
        <w:rPr>
          <w:rFonts w:eastAsia="仿宋_GB2312" w:hint="eastAsia"/>
          <w:color w:val="000000"/>
          <w:sz w:val="32"/>
          <w:szCs w:val="32"/>
        </w:rPr>
        <w:t>〕</w:t>
      </w:r>
      <w:bookmarkEnd w:id="4"/>
      <w:r>
        <w:rPr>
          <w:rFonts w:eastAsia="仿宋_GB2312"/>
          <w:color w:val="000000"/>
          <w:sz w:val="32"/>
          <w:szCs w:val="32"/>
        </w:rPr>
        <w:t>191</w:t>
      </w:r>
      <w:r>
        <w:rPr>
          <w:rFonts w:eastAsia="仿宋_GB2312" w:hint="eastAsia"/>
          <w:color w:val="000000"/>
          <w:sz w:val="32"/>
          <w:szCs w:val="32"/>
        </w:rPr>
        <w:t>号）及省、市相关文件要求，</w:t>
      </w:r>
      <w:r>
        <w:rPr>
          <w:rFonts w:eastAsia="仿宋_GB2312"/>
          <w:bCs/>
          <w:sz w:val="32"/>
          <w:szCs w:val="32"/>
        </w:rPr>
        <w:t>1987</w:t>
      </w:r>
      <w:r>
        <w:rPr>
          <w:rFonts w:eastAsia="仿宋_GB2312" w:hAnsi="仿宋_GB2312" w:hint="eastAsia"/>
          <w:bCs/>
          <w:sz w:val="32"/>
          <w:szCs w:val="32"/>
        </w:rPr>
        <w:t>年《土地管理法》实施前，使用集体土地兴办乡（镇）村公益事业和公共设施，经所在乡（镇）人民政府审核后，可依法确定使用单位集体建设用地使用权。乡镇企业用地和其他经依法批准用于非住宅建设的集体土地，至今仍继续使用的，经所在农民集体同意，报乡（镇）人民政府审核后，依法确定使用单位集体建设用地使用权</w:t>
      </w:r>
      <w:r>
        <w:rPr>
          <w:rFonts w:eastAsia="仿宋_GB2312"/>
          <w:bCs/>
          <w:sz w:val="32"/>
          <w:szCs w:val="32"/>
        </w:rPr>
        <w:t xml:space="preserve"> </w:t>
      </w:r>
      <w:r>
        <w:rPr>
          <w:rFonts w:eastAsia="仿宋_GB2312" w:hAnsi="仿宋_GB2312" w:hint="eastAsia"/>
          <w:bCs/>
          <w:sz w:val="32"/>
          <w:szCs w:val="32"/>
        </w:rPr>
        <w:t>。</w:t>
      </w:r>
      <w:r>
        <w:rPr>
          <w:rFonts w:eastAsia="仿宋_GB2312"/>
          <w:bCs/>
          <w:sz w:val="32"/>
          <w:szCs w:val="32"/>
        </w:rPr>
        <w:t>1987</w:t>
      </w:r>
      <w:r>
        <w:rPr>
          <w:rFonts w:eastAsia="仿宋_GB2312" w:hAnsi="仿宋_GB2312" w:hint="eastAsia"/>
          <w:bCs/>
          <w:sz w:val="32"/>
          <w:szCs w:val="32"/>
        </w:rPr>
        <w:t>年《土地管理法》实施后，乡（镇）村公益事业和公共设施用地、乡镇企业用地和其他经依法批准用于非住宅建设的集体土地，应当依据县级以上人民政府批准文件，确定使用单位集体建设用地使用权。对于没有权属来源材料的集体建设用地，应当查明土地历史使用情况和现状，认定属于合法使用的，经所在农民集体同意，并公告</w:t>
      </w:r>
      <w:r>
        <w:rPr>
          <w:rFonts w:eastAsia="仿宋_GB2312"/>
          <w:bCs/>
          <w:sz w:val="32"/>
          <w:szCs w:val="32"/>
        </w:rPr>
        <w:t>30</w:t>
      </w:r>
      <w:r>
        <w:rPr>
          <w:rFonts w:eastAsia="仿宋_GB2312" w:hAnsi="仿宋_GB2312" w:hint="eastAsia"/>
          <w:bCs/>
          <w:sz w:val="32"/>
          <w:szCs w:val="32"/>
        </w:rPr>
        <w:t>天无异议，经乡（镇）人民政府审核，报县级人民政府批准，予以确权登记。</w:t>
      </w:r>
    </w:p>
    <w:p>
      <w:pPr>
        <w:spacing w:line="560" w:lineRule="exact"/>
        <w:ind w:firstLineChars="200" w:firstLine="640"/>
        <w:rPr>
          <w:rFonts w:eastAsia="仿宋_GB2312"/>
          <w:sz w:val="32"/>
          <w:szCs w:val="32"/>
        </w:rPr>
      </w:pPr>
      <w:r>
        <w:rPr>
          <w:rFonts w:eastAsia="仿宋_GB2312" w:hint="eastAsia"/>
          <w:sz w:val="32"/>
          <w:szCs w:val="32"/>
        </w:rPr>
        <w:t>对符合上述要求的集体建设用地，可按相关要求提交相关材料至嵩明县自然资源局申请确权登记。对符合确权相关规定的集体建设用地，嵩明县自然资源局将按国家、省、市文件要求，依法依规及时开展集体建设用地确权登记工作。对不符合集体建设用地确权登记要求的村集体项目用地，建议按照相关要求办理农用地转用手续。</w:t>
      </w:r>
    </w:p>
    <w:p>
      <w:pPr>
        <w:spacing w:line="560" w:lineRule="exact"/>
        <w:ind w:firstLineChars="200" w:firstLine="640"/>
        <w:rPr>
          <w:rFonts w:ascii="黑体" w:eastAsia="黑体" w:hAnsi="黑体"/>
          <w:sz w:val="32"/>
          <w:szCs w:val="32"/>
        </w:rPr>
      </w:pPr>
      <w:r>
        <w:rPr>
          <w:rFonts w:ascii="黑体" w:eastAsia="黑体" w:hAnsi="黑体" w:hint="eastAsia"/>
          <w:sz w:val="32"/>
          <w:szCs w:val="32"/>
        </w:rPr>
        <w:t>三、下一步工作方向</w:t>
      </w:r>
    </w:p>
    <w:p>
      <w:pPr>
        <w:spacing w:line="560" w:lineRule="exact"/>
        <w:ind w:firstLineChars="200" w:firstLine="640"/>
        <w:rPr>
          <w:rFonts w:eastAsia="仿宋_GB2312"/>
          <w:sz w:val="32"/>
          <w:szCs w:val="32"/>
        </w:rPr>
      </w:pPr>
      <w:r>
        <w:rPr>
          <w:rFonts w:eastAsia="仿宋_GB2312" w:hint="eastAsia"/>
          <w:sz w:val="32"/>
          <w:szCs w:val="32"/>
        </w:rPr>
        <w:t>下步，嵩明县自然资源局将积极对接镇（街道）、社区，做好集体建设用地确权登记及农用地转用指导工作</w:t>
      </w:r>
      <w:r>
        <w:rPr>
          <w:rFonts w:eastAsia="仿宋_GB2312"/>
          <w:sz w:val="32"/>
          <w:szCs w:val="32"/>
        </w:rPr>
        <w:t>,</w:t>
      </w:r>
      <w:r>
        <w:rPr>
          <w:rFonts w:eastAsia="仿宋_GB2312" w:hint="eastAsia"/>
          <w:sz w:val="32"/>
          <w:szCs w:val="32"/>
        </w:rPr>
        <w:t>对符合确权要求的集体建设用地及时办理确权登记。保障村集体建设用地需求，助力推动乡村振兴。</w:t>
      </w:r>
    </w:p>
    <w:p>
      <w:pPr>
        <w:spacing w:line="560" w:lineRule="exact"/>
        <w:ind w:leftChars="150" w:left="420" w:firstLineChars="50" w:firstLine="160"/>
        <w:rPr>
          <w:rFonts w:eastAsia="仿宋_GB2312"/>
          <w:sz w:val="32"/>
          <w:szCs w:val="32"/>
        </w:rPr>
      </w:pPr>
      <w:r>
        <w:rPr>
          <w:rFonts w:eastAsia="仿宋_GB2312" w:hint="eastAsia"/>
          <w:sz w:val="32"/>
          <w:szCs w:val="32"/>
        </w:rPr>
        <w:t>感谢您一直以来对全县自然资源管理工作的关心和支持。</w:t>
      </w:r>
    </w:p>
    <w:p>
      <w:pPr>
        <w:spacing w:line="560" w:lineRule="exact"/>
        <w:ind w:leftChars="150" w:left="420" w:firstLineChars="50" w:firstLine="160"/>
        <w:rPr>
          <w:rFonts w:eastAsia="仿宋_GB2312"/>
          <w:sz w:val="32"/>
          <w:szCs w:val="32"/>
        </w:rPr>
      </w:pPr>
      <w:r>
        <w:rPr>
          <w:rFonts w:eastAsia="仿宋_GB2312" w:hint="eastAsia"/>
          <w:sz w:val="32"/>
          <w:szCs w:val="32"/>
        </w:rPr>
        <w:t>（联系人及电话：庞</w:t>
      </w:r>
      <w:r>
        <w:rPr>
          <w:rFonts w:eastAsia="仿宋_GB2312"/>
          <w:sz w:val="32"/>
          <w:szCs w:val="32"/>
        </w:rPr>
        <w:t>先生  0871-6723890</w:t>
      </w:r>
      <w:r>
        <w:rPr>
          <w:rFonts w:eastAsia="仿宋_GB2312" w:hint="eastAsia"/>
          <w:sz w:val="32"/>
          <w:szCs w:val="32"/>
        </w:rPr>
        <w:t>）</w:t>
      </w:r>
    </w:p>
    <w:p>
      <w:pPr>
        <w:ind w:firstLineChars="200" w:firstLine="640"/>
        <w:rPr>
          <w:rFonts w:eastAsia="仿宋_GB2312"/>
          <w:sz w:val="32"/>
          <w:szCs w:val="32"/>
        </w:rPr>
      </w:pPr>
      <w:r>
        <w:rPr>
          <w:rFonts w:eastAsia="仿宋_GB2312" w:hint="eastAsia"/>
          <w:sz w:val="32"/>
          <w:szCs w:val="32"/>
        </w:rPr>
        <w:t>公示时限:5 个工作日(202</w:t>
      </w:r>
      <w:r>
        <w:rPr>
          <w:rFonts w:eastAsia="仿宋_GB2312"/>
          <w:sz w:val="32"/>
          <w:szCs w:val="32"/>
        </w:rPr>
        <w:t>5</w:t>
      </w:r>
      <w:r>
        <w:rPr>
          <w:rFonts w:eastAsia="仿宋_GB2312" w:hint="eastAsia"/>
          <w:sz w:val="32"/>
          <w:szCs w:val="32"/>
        </w:rPr>
        <w:t>年</w:t>
      </w:r>
      <w:r>
        <w:rPr>
          <w:rFonts w:eastAsia="仿宋_GB2312"/>
          <w:sz w:val="32"/>
          <w:szCs w:val="32"/>
        </w:rPr>
        <w:t>8</w:t>
      </w:r>
      <w:r>
        <w:rPr>
          <w:rFonts w:eastAsia="仿宋_GB2312" w:hint="eastAsia"/>
          <w:sz w:val="32"/>
          <w:szCs w:val="32"/>
        </w:rPr>
        <w:t>月</w:t>
      </w:r>
      <w:r>
        <w:rPr>
          <w:rFonts w:eastAsia="仿宋_GB2312"/>
          <w:sz w:val="32"/>
          <w:szCs w:val="32"/>
        </w:rPr>
        <w:t>18</w:t>
      </w:r>
      <w:r>
        <w:rPr>
          <w:rFonts w:eastAsia="仿宋_GB2312" w:hint="eastAsia"/>
          <w:sz w:val="32"/>
          <w:szCs w:val="32"/>
        </w:rPr>
        <w:t>日—202</w:t>
      </w:r>
      <w:r>
        <w:rPr>
          <w:rFonts w:eastAsia="仿宋_GB2312"/>
          <w:sz w:val="32"/>
          <w:szCs w:val="32"/>
        </w:rPr>
        <w:t>5</w:t>
      </w:r>
      <w:r>
        <w:rPr>
          <w:rFonts w:eastAsia="仿宋_GB2312" w:hint="eastAsia"/>
          <w:sz w:val="32"/>
          <w:szCs w:val="32"/>
        </w:rPr>
        <w:t xml:space="preserve"> 年8月</w:t>
      </w:r>
      <w:r>
        <w:rPr>
          <w:rFonts w:eastAsia="仿宋_GB2312"/>
          <w:sz w:val="32"/>
          <w:szCs w:val="32"/>
        </w:rPr>
        <w:t>22</w:t>
      </w:r>
      <w:r>
        <w:rPr>
          <w:rFonts w:eastAsia="仿宋_GB2312" w:hint="eastAsia"/>
          <w:sz w:val="32"/>
          <w:szCs w:val="32"/>
        </w:rPr>
        <w:t>日）</w:t>
      </w:r>
      <w:r>
        <w:rPr>
          <w:rFonts w:eastAsia="仿宋_GB2312"/>
          <w:sz w:val="32"/>
          <w:szCs w:val="32"/>
        </w:rPr>
        <w:t xml:space="preserve"> </w:t>
      </w:r>
    </w:p>
    <w:p>
      <w:pPr>
        <w:spacing w:line="560" w:lineRule="exact"/>
        <w:ind w:firstLineChars="200" w:firstLine="640"/>
        <w:rPr>
          <w:rFonts w:eastAsia="仿宋_GB2312"/>
          <w:sz w:val="32"/>
          <w:szCs w:val="32"/>
        </w:rPr>
      </w:pPr>
      <w:r>
        <w:rPr>
          <w:rFonts w:eastAsia="仿宋_GB2312" w:hint="eastAsia"/>
          <w:sz w:val="32"/>
          <w:szCs w:val="32"/>
        </w:rPr>
        <w:t>附件：</w:t>
      </w:r>
      <w:bookmarkStart w:id="5" w:name="OLE_LINK1"/>
      <w:r>
        <w:rPr>
          <w:rFonts w:eastAsia="仿宋_GB2312" w:hint="eastAsia"/>
          <w:sz w:val="32"/>
          <w:szCs w:val="32"/>
        </w:rPr>
        <w:t>集体建设用地确权登记材料清单</w:t>
      </w:r>
      <w:bookmarkEnd w:id="0"/>
      <w:bookmarkEnd w:id="1"/>
      <w:bookmarkEnd w:id="2"/>
      <w:bookmarkEnd w:id="5"/>
    </w:p>
    <w:p/>
    <w:p>
      <w:pPr>
        <w:pStyle w:val="15"/>
      </w:pPr>
    </w:p>
    <w:p/>
    <w:p>
      <w:pPr>
        <w:spacing w:line="560" w:lineRule="exact"/>
        <w:ind w:rightChars="400" w:right="1120"/>
        <w:jc w:val="right"/>
        <w:rPr>
          <w:rFonts w:eastAsia="仿宋_GB2312"/>
          <w:sz w:val="32"/>
          <w:szCs w:val="32"/>
        </w:rPr>
      </w:pPr>
      <w:r>
        <w:rPr>
          <w:rFonts w:eastAsia="仿宋_GB2312" w:hint="eastAsia"/>
          <w:sz w:val="32"/>
          <w:szCs w:val="32"/>
        </w:rPr>
        <w:t>嵩明县自然资源局</w:t>
      </w:r>
    </w:p>
    <w:p>
      <w:pPr>
        <w:spacing w:line="560" w:lineRule="exact"/>
        <w:ind w:rightChars="400" w:right="1120"/>
        <w:jc w:val="right"/>
        <w:rPr>
          <w:rFonts w:eastAsia="仿宋_GB2312"/>
          <w:sz w:val="32"/>
          <w:szCs w:val="32"/>
        </w:rPr>
      </w:pPr>
      <w:r>
        <w:rPr>
          <w:rFonts w:eastAsia="仿宋_GB2312"/>
          <w:sz w:val="32"/>
          <w:szCs w:val="32"/>
        </w:rPr>
        <w:t>2025</w:t>
      </w:r>
      <w:r>
        <w:rPr>
          <w:rFonts w:eastAsia="仿宋_GB2312" w:hint="eastAsia"/>
          <w:sz w:val="32"/>
          <w:szCs w:val="32"/>
        </w:rPr>
        <w:t>年</w:t>
      </w:r>
      <w:r>
        <w:rPr>
          <w:rFonts w:eastAsia="仿宋_GB2312"/>
          <w:sz w:val="32"/>
          <w:szCs w:val="32"/>
        </w:rPr>
        <w:t>8</w:t>
      </w:r>
      <w:r>
        <w:rPr>
          <w:rFonts w:eastAsia="仿宋_GB2312" w:hint="eastAsia"/>
          <w:sz w:val="32"/>
          <w:szCs w:val="32"/>
        </w:rPr>
        <w:t>月</w:t>
      </w:r>
      <w:r>
        <w:rPr>
          <w:rFonts w:eastAsia="仿宋_GB2312"/>
          <w:sz w:val="32"/>
          <w:szCs w:val="32"/>
        </w:rPr>
        <w:t>1</w:t>
      </w:r>
      <w:r>
        <w:rPr>
          <w:rFonts w:eastAsia="仿宋_GB2312" w:hint="eastAsia"/>
          <w:sz w:val="32"/>
          <w:szCs w:val="32"/>
          <w:lang w:val="en-US" w:eastAsia="zh-CN"/>
        </w:rPr>
        <w:t>8</w:t>
      </w:r>
      <w:r>
        <w:rPr>
          <w:rFonts w:eastAsia="仿宋_GB2312" w:hint="eastAsia"/>
          <w:sz w:val="32"/>
          <w:szCs w:val="32"/>
        </w:rPr>
        <w:t>日</w:t>
      </w:r>
    </w:p>
    <w:p>
      <w:pPr>
        <w:pStyle w:val="24"/>
        <w:ind w:leftChars="0" w:left="0" w:firstLineChars="0" w:firstLine="0"/>
      </w:pPr>
    </w:p>
    <w:p>
      <w:pPr>
        <w:pStyle w:val="24"/>
        <w:ind w:leftChars="0" w:left="0" w:firstLineChars="0" w:firstLine="0"/>
      </w:pPr>
    </w:p>
    <w:p>
      <w:pPr>
        <w:pStyle w:val="24"/>
        <w:ind w:leftChars="0" w:left="0" w:firstLineChars="0" w:firstLine="0"/>
      </w:pPr>
    </w:p>
    <w:p>
      <w:pPr>
        <w:pStyle w:val="24"/>
        <w:ind w:leftChars="0" w:left="0" w:firstLineChars="0" w:firstLine="0"/>
      </w:pPr>
    </w:p>
    <w:p>
      <w:pPr>
        <w:pStyle w:val="24"/>
        <w:ind w:leftChars="0" w:left="0" w:firstLineChars="0" w:firstLine="0"/>
      </w:pPr>
    </w:p>
    <w:p>
      <w:pPr>
        <w:pStyle w:val="24"/>
        <w:ind w:leftChars="0" w:left="0" w:firstLineChars="0" w:firstLine="0"/>
      </w:pPr>
    </w:p>
    <w:p>
      <w:pPr>
        <w:pStyle w:val="24"/>
        <w:ind w:leftChars="0" w:left="0" w:firstLineChars="0" w:firstLine="0"/>
      </w:pPr>
    </w:p>
    <w:p>
      <w:pPr>
        <w:pStyle w:val="24"/>
        <w:ind w:leftChars="0" w:left="0" w:firstLineChars="0" w:firstLine="0"/>
      </w:pPr>
    </w:p>
    <w:p>
      <w:pPr>
        <w:pStyle w:val="15"/>
      </w:pPr>
    </w:p>
    <w:p/>
    <w:p>
      <w:pPr>
        <w:pStyle w:val="15"/>
      </w:pPr>
    </w:p>
    <w:p/>
    <w:p>
      <w:pPr>
        <w:pStyle w:val="15"/>
      </w:pPr>
      <w:bookmarkStart w:id="6" w:name="_GoBack"/>
      <w:bookmarkEnd w:id="6"/>
    </w:p>
    <w:p>
      <w:pPr>
        <w:spacing w:line="560" w:lineRule="exact"/>
        <w:rPr>
          <w:rFonts w:ascii="仿宋_GB2312" w:eastAsia="仿宋_GB2312" w:cs="仿宋_GB2312" w:hAnsi="仿宋_GB2312"/>
          <w:b/>
          <w:sz w:val="32"/>
          <w:szCs w:val="32"/>
        </w:rPr>
      </w:pPr>
      <w:r>
        <w:rPr>
          <w:rFonts w:ascii="黑体" w:eastAsia="黑体" w:cs="黑体" w:hAnsi="黑体" w:hint="eastAsia"/>
          <w:sz w:val="32"/>
          <w:szCs w:val="32"/>
        </w:rPr>
        <w:t>附件：</w:t>
      </w:r>
    </w:p>
    <w:p>
      <w:pPr>
        <w:spacing w:line="560" w:lineRule="exact"/>
        <w:jc w:val="center"/>
        <w:rPr>
          <w:rFonts w:ascii="仿宋_GB2312" w:eastAsia="仿宋_GB2312" w:cs="仿宋_GB2312" w:hAnsi="仿宋_GB2312"/>
          <w:b/>
          <w:sz w:val="32"/>
          <w:szCs w:val="32"/>
        </w:rPr>
      </w:pPr>
      <w:r>
        <w:rPr>
          <w:rFonts w:ascii="仿宋_GB2312" w:eastAsia="仿宋_GB2312" w:cs="仿宋_GB2312" w:hAnsi="仿宋_GB2312" w:hint="eastAsia"/>
          <w:b/>
          <w:sz w:val="32"/>
          <w:szCs w:val="32"/>
        </w:rPr>
        <w:t>农村集体建设用地确权资料清单</w:t>
      </w:r>
    </w:p>
    <w:p>
      <w:pPr>
        <w:spacing w:line="560" w:lineRule="exact"/>
        <w:jc w:val="left"/>
        <w:rPr>
          <w:rFonts w:eastAsia="仿宋_GB2312"/>
          <w:sz w:val="32"/>
          <w:szCs w:val="32"/>
        </w:rPr>
      </w:pPr>
      <w:r>
        <w:rPr>
          <w:rFonts w:eastAsia="仿宋_GB2312"/>
          <w:sz w:val="32"/>
          <w:szCs w:val="32"/>
        </w:rPr>
        <w:t>1.</w:t>
      </w:r>
      <w:r>
        <w:rPr>
          <w:rFonts w:eastAsia="仿宋_GB2312" w:hint="eastAsia"/>
          <w:sz w:val="32"/>
          <w:szCs w:val="32"/>
        </w:rPr>
        <w:t>申请书；</w:t>
      </w:r>
    </w:p>
    <w:p>
      <w:pPr>
        <w:spacing w:line="560" w:lineRule="exact"/>
        <w:jc w:val="left"/>
        <w:rPr>
          <w:rFonts w:eastAsia="仿宋_GB2312"/>
          <w:sz w:val="32"/>
          <w:szCs w:val="32"/>
        </w:rPr>
      </w:pPr>
      <w:r>
        <w:rPr>
          <w:rFonts w:eastAsia="仿宋_GB2312"/>
          <w:sz w:val="32"/>
          <w:szCs w:val="32"/>
        </w:rPr>
        <w:t>2.</w:t>
      </w:r>
      <w:r>
        <w:rPr>
          <w:rFonts w:eastAsia="仿宋_GB2312" w:hint="eastAsia"/>
          <w:sz w:val="32"/>
          <w:szCs w:val="32"/>
        </w:rPr>
        <w:t>土地权属来源材料（用地批复、历史用地证明材料）；</w:t>
      </w:r>
    </w:p>
    <w:p>
      <w:pPr>
        <w:spacing w:line="560" w:lineRule="exact"/>
        <w:jc w:val="left"/>
        <w:rPr>
          <w:rFonts w:eastAsia="仿宋_GB2312"/>
          <w:b/>
          <w:bCs/>
          <w:szCs w:val="28"/>
        </w:rPr>
      </w:pPr>
      <w:r>
        <w:rPr>
          <w:rFonts w:eastAsia="仿宋_GB2312"/>
          <w:sz w:val="32"/>
          <w:szCs w:val="32"/>
        </w:rPr>
        <w:t>3.</w:t>
      </w:r>
      <w:r>
        <w:rPr>
          <w:rFonts w:eastAsia="仿宋_GB2312" w:hint="eastAsia"/>
          <w:sz w:val="32"/>
          <w:szCs w:val="32"/>
        </w:rPr>
        <w:t>不动产权籍调查表（界址签章表的签字照片及签字人身份证明）；</w:t>
      </w:r>
      <w:r>
        <w:rPr>
          <w:rFonts w:eastAsia="仿宋_GB2312" w:hint="eastAsia"/>
          <w:b/>
          <w:bCs/>
          <w:szCs w:val="28"/>
        </w:rPr>
        <w:t>注：个人提供身份证复印件；公司及单位提供法人代表证明书、法人身份证复印件、社会信用代码证或组织机构代码证；</w:t>
      </w:r>
    </w:p>
    <w:p>
      <w:pPr>
        <w:spacing w:line="560" w:lineRule="exact"/>
        <w:jc w:val="left"/>
        <w:rPr>
          <w:rFonts w:eastAsia="仿宋_GB2312"/>
          <w:sz w:val="32"/>
          <w:szCs w:val="32"/>
        </w:rPr>
      </w:pPr>
      <w:r>
        <w:rPr>
          <w:rFonts w:eastAsia="仿宋_GB2312"/>
          <w:sz w:val="32"/>
          <w:szCs w:val="32"/>
        </w:rPr>
        <w:t>4.</w:t>
      </w:r>
      <w:r>
        <w:rPr>
          <w:rFonts w:eastAsia="仿宋_GB2312" w:hint="eastAsia"/>
          <w:sz w:val="32"/>
          <w:szCs w:val="32"/>
        </w:rPr>
        <w:t>宗地图；</w:t>
      </w:r>
    </w:p>
    <w:p>
      <w:pPr>
        <w:spacing w:line="560" w:lineRule="exact"/>
        <w:jc w:val="left"/>
        <w:rPr>
          <w:rFonts w:eastAsia="仿宋_GB2312"/>
          <w:sz w:val="32"/>
          <w:szCs w:val="32"/>
        </w:rPr>
      </w:pPr>
      <w:r>
        <w:rPr>
          <w:rFonts w:eastAsia="仿宋_GB2312"/>
          <w:sz w:val="32"/>
          <w:szCs w:val="32"/>
        </w:rPr>
        <w:t>5.</w:t>
      </w:r>
      <w:r>
        <w:rPr>
          <w:rFonts w:eastAsia="仿宋_GB2312" w:hint="eastAsia"/>
          <w:sz w:val="32"/>
          <w:szCs w:val="32"/>
        </w:rPr>
        <w:t>三级认定表：村（居民）小组、村（居）民委员会、镇（街道）；</w:t>
      </w:r>
    </w:p>
    <w:p>
      <w:pPr>
        <w:spacing w:line="560" w:lineRule="exact"/>
        <w:jc w:val="left"/>
        <w:rPr>
          <w:rFonts w:eastAsia="仿宋_GB2312"/>
          <w:sz w:val="32"/>
          <w:szCs w:val="32"/>
        </w:rPr>
      </w:pPr>
      <w:r>
        <w:rPr>
          <w:rFonts w:eastAsia="仿宋_GB2312"/>
          <w:sz w:val="32"/>
          <w:szCs w:val="32"/>
        </w:rPr>
        <w:t>6.</w:t>
      </w:r>
      <w:r>
        <w:rPr>
          <w:rFonts w:eastAsia="仿宋_GB2312" w:hint="eastAsia"/>
          <w:sz w:val="32"/>
          <w:szCs w:val="32"/>
        </w:rPr>
        <w:t>镇（街道）规划符合性核查情况；</w:t>
      </w:r>
    </w:p>
    <w:p>
      <w:pPr>
        <w:spacing w:line="560" w:lineRule="exact"/>
        <w:jc w:val="left"/>
        <w:rPr>
          <w:rFonts w:eastAsia="仿宋_GB2312"/>
          <w:sz w:val="32"/>
          <w:szCs w:val="32"/>
        </w:rPr>
      </w:pPr>
      <w:r>
        <w:rPr>
          <w:rFonts w:eastAsia="仿宋_GB2312"/>
          <w:sz w:val="32"/>
          <w:szCs w:val="32"/>
        </w:rPr>
        <w:t>7.</w:t>
      </w:r>
      <w:r>
        <w:rPr>
          <w:rFonts w:eastAsia="仿宋_GB2312" w:hint="eastAsia"/>
          <w:sz w:val="32"/>
          <w:szCs w:val="32"/>
        </w:rPr>
        <w:t>宗地权属来源及公示的情况说明、宗地权属及四至界线公示及公示照片；</w:t>
      </w:r>
    </w:p>
    <w:p>
      <w:pPr>
        <w:spacing w:line="560" w:lineRule="exact"/>
        <w:jc w:val="left"/>
        <w:rPr>
          <w:rFonts w:eastAsia="仿宋_GB2312"/>
          <w:sz w:val="32"/>
          <w:szCs w:val="32"/>
        </w:rPr>
      </w:pPr>
      <w:r>
        <w:rPr>
          <w:rFonts w:eastAsia="仿宋_GB2312"/>
          <w:sz w:val="32"/>
          <w:szCs w:val="32"/>
        </w:rPr>
        <w:t>8.“</w:t>
      </w:r>
      <w:r>
        <w:rPr>
          <w:rFonts w:eastAsia="仿宋_GB2312" w:hint="eastAsia"/>
          <w:sz w:val="32"/>
          <w:szCs w:val="32"/>
        </w:rPr>
        <w:t>二调</w:t>
      </w:r>
      <w:r>
        <w:rPr>
          <w:rFonts w:eastAsia="仿宋_GB2312"/>
          <w:sz w:val="32"/>
          <w:szCs w:val="32"/>
        </w:rPr>
        <w:t>”“</w:t>
      </w:r>
      <w:r>
        <w:rPr>
          <w:rFonts w:eastAsia="仿宋_GB2312" w:hint="eastAsia"/>
          <w:sz w:val="32"/>
          <w:szCs w:val="32"/>
        </w:rPr>
        <w:t>三调</w:t>
      </w:r>
      <w:r>
        <w:rPr>
          <w:rFonts w:eastAsia="仿宋_GB2312"/>
          <w:sz w:val="32"/>
          <w:szCs w:val="32"/>
        </w:rPr>
        <w:t>”</w:t>
      </w:r>
      <w:r>
        <w:rPr>
          <w:rFonts w:eastAsia="仿宋_GB2312" w:hint="eastAsia"/>
          <w:sz w:val="32"/>
          <w:szCs w:val="32"/>
        </w:rPr>
        <w:t>土地利用现状套盒图、村庄规划套盒图、用地范围最新影像示意图等相关图件；</w:t>
      </w:r>
    </w:p>
    <w:p>
      <w:pPr>
        <w:spacing w:line="560" w:lineRule="exact"/>
        <w:jc w:val="left"/>
        <w:rPr>
          <w:rFonts w:eastAsia="仿宋_GB2312"/>
          <w:sz w:val="32"/>
          <w:szCs w:val="32"/>
        </w:rPr>
      </w:pPr>
      <w:r>
        <w:rPr>
          <w:rFonts w:eastAsia="仿宋_GB2312"/>
          <w:sz w:val="32"/>
          <w:szCs w:val="32"/>
        </w:rPr>
        <w:t>9.</w:t>
      </w:r>
      <w:r>
        <w:rPr>
          <w:rFonts w:eastAsia="仿宋_GB2312" w:hint="eastAsia"/>
          <w:sz w:val="32"/>
          <w:szCs w:val="32"/>
        </w:rPr>
        <w:t>村（居）民委员会、村（居民）小组宗地确权登记会议记录及照片；</w:t>
      </w:r>
    </w:p>
    <w:p>
      <w:pPr>
        <w:spacing w:line="560" w:lineRule="exact"/>
        <w:jc w:val="left"/>
        <w:rPr>
          <w:rFonts w:eastAsia="仿宋_GB2312"/>
          <w:sz w:val="32"/>
          <w:szCs w:val="32"/>
        </w:rPr>
      </w:pPr>
      <w:r>
        <w:rPr>
          <w:rFonts w:eastAsia="仿宋_GB2312"/>
          <w:sz w:val="32"/>
          <w:szCs w:val="32"/>
        </w:rPr>
        <w:t>10.</w:t>
      </w:r>
      <w:r>
        <w:rPr>
          <w:rFonts w:eastAsia="仿宋_GB2312" w:hint="eastAsia"/>
          <w:sz w:val="32"/>
          <w:szCs w:val="32"/>
        </w:rPr>
        <w:t>法律、行政法规以及《不动产登记暂行条例实施细则》规定的其他材料；</w:t>
      </w:r>
    </w:p>
    <w:p>
      <w:pPr>
        <w:spacing w:line="560" w:lineRule="exact"/>
        <w:jc w:val="left"/>
        <w:rPr>
          <w:rFonts w:ascii="仿宋_GB2312" w:eastAsia="仿宋_GB2312" w:cs="仿宋_GB2312" w:hAnsi="仿宋_GB2312"/>
          <w:b/>
          <w:bCs/>
          <w:sz w:val="32"/>
          <w:szCs w:val="32"/>
        </w:rPr>
      </w:pPr>
    </w:p>
    <w:p>
      <w:pPr>
        <w:spacing w:line="560" w:lineRule="exact"/>
        <w:ind w:left="560" w:hangingChars="200" w:hanging="560"/>
        <w:jc w:val="left"/>
        <w:rPr>
          <w:rFonts w:ascii="仿宋_GB2312" w:eastAsia="仿宋_GB2312" w:cs="仿宋_GB2312" w:hAnsi="仿宋_GB2312"/>
          <w:b/>
          <w:bCs/>
          <w:szCs w:val="28"/>
        </w:rPr>
      </w:pPr>
      <w:r>
        <w:rPr>
          <w:rFonts w:ascii="仿宋_GB2312" w:eastAsia="仿宋_GB2312" w:cs="仿宋_GB2312" w:hAnsi="仿宋_GB2312" w:hint="eastAsia"/>
          <w:b/>
          <w:bCs/>
          <w:szCs w:val="28"/>
        </w:rPr>
        <w:t>注：请申请集体建设确权登记的单位务必按以上资料清单提供资料，资料不齐一律不收件。</w:t>
      </w:r>
    </w:p>
    <w:p/>
    <w:sectPr>
      <w:headerReference w:type="default" r:id="rId2"/>
      <w:footerReference w:type="default" r:id="rId3"/>
      <w:footerReference w:type="even" r:id="rId4"/>
      <w:pgSz w:w="11906" w:h="16838"/>
      <w:pgMar w:top="2098" w:right="1474" w:bottom="1984" w:left="1587" w:header="851" w:footer="1417" w:gutter="0"/>
      <w:pgNumType w:start="1"/>
      <w:cols w:num="1" w:space="720"/>
      <w:rtlGutter/>
      <w:docGrid w:type="lines" w:linePitch="312" w:charSpace="0"/>
    </w:sectPr>
  </w:body>
</w:document>
</file>

<file path=word/fontTable.xml><?xml version="1.0" encoding="utf-8"?>
<w:fonts xmlns:w="http://schemas.openxmlformats.org/wordprocessingml/2006/main" xmlns:r="http://schemas.openxmlformats.org/officeDocument/2006/relationships">
  <w:font w:name="宋体">
    <w:altName w:val="阳光吾坚体"/>
    <w:panose1 w:val="02010600030101010101"/>
    <w:charset w:val="86"/>
    <w:family w:val="auto"/>
    <w:pitch w:val="variable"/>
    <w:sig w:usb0="00000003" w:usb1="288F0000" w:usb2="00000006" w:usb3="00000000" w:csb0="00040001" w:csb1="00000000"/>
  </w:font>
  <w:font w:name="方正小标宋简体">
    <w:altName w:val="方正小标宋_GBK"/>
    <w:panose1 w:val="03000509000000000000"/>
    <w:charset w:val="86"/>
    <w:family w:val="script"/>
    <w:pitch w:val="variable"/>
    <w:sig w:usb0="00000001" w:usb1="080E0000" w:usb2="00000000" w:usb3="00000000" w:csb0="00040000" w:csb1="00000000"/>
  </w:font>
  <w:font w:name="仿宋_GB2312">
    <w:altName w:val="方正仿宋_GBK"/>
    <w:panose1 w:val="02010609030101010101"/>
    <w:charset w:val="86"/>
    <w:family w:val="modern"/>
    <w:pitch w:val="variable"/>
    <w:sig w:usb0="00000001" w:usb1="080E0000" w:usb2="00000000" w:usb3="00000000" w:csb0="00040000" w:csb1="00000000"/>
  </w:font>
  <w:font w:name="黑体">
    <w:altName w:val="方正黑体_GBK"/>
    <w:panose1 w:val="02010609060101010101"/>
    <w:charset w:val="86"/>
    <w:family w:val="auto"/>
    <w:pitch w:val="variable"/>
    <w:sig w:usb0="800002BF" w:usb1="38CF7CFA" w:usb2="00000016" w:usb3="00000000" w:csb0="00040001" w:csb1="00000000"/>
  </w:font>
  <w:font w:name="Times New Roman">
    <w:altName w:val="DejaVu Sans"/>
    <w:panose1 w:val="02020603050405020304"/>
    <w:charset w:val="00"/>
    <w:family w:val="roman"/>
    <w:pitch w:val="variable"/>
    <w:sig w:usb0="20007A87" w:usb1="80000000" w:usb2="00000008" w:usb3="00000000" w:csb0="000001FF" w:csb1="00000000"/>
  </w:font>
  <w:font w:name="Lucida Sans">
    <w:altName w:val="DejaVu Sans"/>
    <w:panose1 w:val="020B0602030504020204"/>
    <w:charset w:val="00"/>
    <w:family w:val="auto"/>
    <w:pitch w:val="variable"/>
    <w:sig w:usb0="00000003" w:usb1="00000000" w:usb2="00000000" w:usb3="00000000" w:csb0="20000001" w:csb1="00000000"/>
  </w:font>
  <w:font w:name="Arial">
    <w:altName w:val="DejaVu Sans"/>
    <w:panose1 w:val="020B0604020202020204"/>
    <w:charset w:val="01"/>
    <w:family w:val="swiss"/>
    <w:pitch w:val="variable"/>
    <w:sig w:usb0="E0002AFF" w:usb1="C0007843" w:usb2="00000009" w:usb3="00000000" w:csb0="400001FF" w:csb1="FFFF0000"/>
  </w:font>
  <w:font w:name="楷体_GB2312">
    <w:altName w:val="方正楷体_GBK"/>
    <w:panose1 w:val="02010609030101010101"/>
    <w:charset w:val="86"/>
    <w:family w:val="modern"/>
    <w:pitch w:val="variable"/>
    <w:sig w:usb0="00000001" w:usb1="080E0000" w:usb2="00000000" w:usb3="00000000" w:csb0="00040000" w:csb1="00000000"/>
  </w:font>
  <w:font w:name="Calibri">
    <w:altName w:val="DejaVu Sans"/>
    <w:panose1 w:val="020F0502020204030204"/>
    <w:charset w:val="00"/>
    <w:family w:val="swiss"/>
    <w:pitch w:val="variable"/>
    <w:sig w:usb0="E00002FF" w:usb1="4000ACFF" w:usb2="00000001" w:usb3="00000000" w:csb0="2000019F" w:csb1="00000000"/>
  </w:font>
  <w:font w:name="仿宋">
    <w:altName w:val="方正仿宋_GBK"/>
    <w:panose1 w:val="02010609060101010101"/>
    <w:charset w:val="86"/>
    <w:family w:val="modern"/>
    <w:pitch w:val="variable"/>
    <w:sig w:usb0="800002BF" w:usb1="38CF7CFA" w:usb2="00000016" w:usb3="00000000" w:csb0="00040001" w:csb1="00000000"/>
  </w:font>
  <w:font w:name="微软雅黑">
    <w:altName w:val="方正黑体_GBK"/>
    <w:panose1 w:val="020B0503020204020204"/>
    <w:charset w:val="86"/>
    <w:family w:val="swiss"/>
    <w:pitch w:val="variable"/>
    <w:sig w:usb0="80000287" w:usb1="280F3C52" w:usb2="00000016" w:usb3="00000000" w:csb0="0004001F"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21"/>
      <w:tabs>
        <w:tab w:val="center" w:pos="4153"/>
        <w:tab w:val="right" w:pos="8306"/>
      </w:tabs>
      <w:ind w:right="360"/>
    </w:pPr>
    <w:r>
      <mc:AlternateContent>
        <mc:Choice Requires="wps">
          <w:drawing>
            <wp:anchor distT="0" distB="0" distL="114300" distR="114300" simplePos="0" relativeHeight="18" behindDoc="0" locked="0" layoutInCell="1" hidden="0" allowOverlap="1">
              <wp:simplePos x="0" y="0"/>
              <wp:positionH relativeFrom="margin">
                <wp:align>outside</wp:align>
              </wp:positionH>
              <wp:positionV relativeFrom="paragraph">
                <wp:posOffset>0</wp:posOffset>
              </wp:positionV>
              <wp:extent cx="511104" cy="291629"/>
              <wp:wrapNone/>
              <wp:docPr id="2049" name="_x0000_s2049"/>
              <wp:cNvGraphicFramePr>
                <a:graphicFrameLocks noChangeAspect="0"/>
              </wp:cNvGraphicFramePr>
              <a:graphic>
                <a:graphicData uri="http://schemas.microsoft.com/office/word/2010/wordprocessingShape">
                  <wps:wsp>
                    <wps:cNvSpPr/>
                    <wps:spPr>
                      <a:xfrm rot="0">
                        <a:off x="0" y="0"/>
                        <a:ext cx="511104" cy="291629"/>
                      </a:xfrm>
                      <a:prstGeom prst="rect"/>
                      <a:noFill/>
                      <a:ln w="9525" cmpd="sng" cap="flat">
                        <a:noFill/>
                        <a:prstDash val="solid"/>
                        <a:miter/>
                      </a:ln>
                    </wps:spPr>
                    <wps:txbx id="1">
                      <w:txbxContent>
                        <w:p>
                          <w:pPr>
                            <w:pStyle w:val="21"/>
                            <w:tabs>
                              <w:tab w:val="center" w:pos="4153"/>
                              <w:tab w:val="right" w:pos="8306"/>
                            </w:tabs>
                            <w:rPr>
                              <w:rFonts w:ascii="宋体"/>
                              <w:sz w:val="28"/>
                            </w:rPr>
                          </w:pPr>
                          <w:r>
                            <w:rPr>
                              <w:rFonts w:ascii="宋体" w:hAnsi="宋体"/>
                              <w:sz w:val="28"/>
                            </w:rPr>
                            <w:t xml:space="preserve">—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5</w:t>
                          </w:r>
                          <w:r>
                            <w:rPr>
                              <w:rFonts w:ascii="宋体" w:hAnsi="宋体"/>
                              <w:sz w:val="28"/>
                            </w:rPr>
                            <w:fldChar w:fldCharType="end"/>
                          </w:r>
                          <w:r>
                            <w:rPr>
                              <w:rFonts w:ascii="宋体" w:hAnsi="宋体"/>
                              <w:sz w:val="28"/>
                            </w:rPr>
                            <w:t xml:space="preserve"> —</w:t>
                          </w:r>
                        </w:p>
                      </w:txbxContent>
                    </wps:txbx>
                    <wps:bodyPr vert="horz" wrap="none" lIns="0" tIns="0" rIns="0" bIns="0" anchor="t" anchorCtr="0" upright="1">
                      <a:spAutoFit/>
                    </wps:bodyPr>
                  </wps:wsp>
                </a:graphicData>
              </a:graphic>
            </wp:anchor>
          </w:drawing>
        </mc:Choice>
        <mc:Fallback>
          <w:pict>
            <v:shape type="#_x0000_t202" id="_x0000_s2049" o:spid="_x0000_s2" filled="f" stroked="f" style="position:absolute;margin-left:0.0pt;margin-top:0.0pt;width:40.244453pt;height:22.96296pt;z-index:18;mso-position-horizontal:outside;mso-position-horizontal-relative:margin;mso-position-vertical:absolute;mso-wrap-style:none;">
              <v:stroke color="#000000"/>
              <v:textbox id="849" inset="0mm,0mm,0mm,0mm" o:insetmode="custom" style="layout-flow:horizontal;v-text-anchor:top;mso-fit-shape-to-text:t;">
                <w:txbxContent>
                  <w:p>
                    <w:pPr>
                      <w:pStyle w:val="21"/>
                      <w:tabs>
                        <w:tab w:val="center" w:pos="4153"/>
                        <w:tab w:val="right" w:pos="8306"/>
                      </w:tabs>
                      <w:rPr>
                        <w:rFonts w:ascii="宋体"/>
                        <w:sz w:val="28"/>
                      </w:rPr>
                    </w:pPr>
                    <w:r>
                      <w:rPr>
                        <w:rFonts w:ascii="宋体" w:hAnsi="宋体"/>
                        <w:sz w:val="28"/>
                      </w:rPr>
                      <w:t xml:space="preserve">—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5</w:t>
                    </w:r>
                    <w:r>
                      <w:rPr>
                        <w:rFonts w:ascii="宋体" w:hAnsi="宋体"/>
                        <w:sz w:val="28"/>
                      </w:rPr>
                      <w:fldChar w:fldCharType="end"/>
                    </w:r>
                    <w:r>
                      <w:rPr>
                        <w:rFonts w:ascii="宋体" w:hAnsi="宋体"/>
                        <w:sz w:val="28"/>
                      </w:rPr>
                      <w:t xml:space="preserve"> —</w:t>
                    </w:r>
                  </w:p>
                </w:txbxContent>
              </v:textbox>
            </v:shape>
          </w:pict>
        </mc:Fallback>
      </mc:AlternateContent>
    </w: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21"/>
      <w:framePr w:w="0" w:hRule="auto" w:wrap="around" w:vAnchor="text" w:hAnchor="margin" w:xAlign="outside" w:y="1" w:anchorLock="0"/>
      <w:tabs>
        <w:tab w:val="center" w:pos="4153"/>
        <w:tab w:val="right" w:pos="8306"/>
      </w:tabs>
      <w:rPr>
        <w:rStyle w:val="25"/>
      </w:rPr>
    </w:pPr>
    <w:r>
      <w:rPr>
        <w:rStyle w:val="25"/>
      </w:rPr>
      <w:fldChar w:fldCharType="begin"/>
    </w:r>
    <w:r>
      <w:rPr>
        <w:rStyle w:val="25"/>
      </w:rPr>
      <w:instrText xml:space="preserve">PAGE  </w:instrText>
    </w:r>
    <w:r>
      <w:rPr>
        <w:rStyle w:val="25"/>
      </w:rPr>
      <w:fldChar w:fldCharType="separate"/>
    </w:r>
    <w:r>
      <w:rPr>
        <w:rStyle w:val="25"/>
      </w:rPr>
      <w:t xml:space="preserve"> </w:t>
    </w:r>
    <w:r>
      <w:rPr>
        <w:rStyle w:val="25"/>
      </w:rPr>
      <w:fldChar w:fldCharType="end"/>
    </w:r>
  </w:p>
  <w:p>
    <w:pPr>
      <w:pStyle w:val="21"/>
      <w:tabs>
        <w:tab w:val="center" w:pos="4153"/>
        <w:tab w:val="right" w:pos="8306"/>
      </w:tabs>
      <w:ind w:right="360" w:firstLine="360"/>
    </w:pPr>
  </w:p>
</w:ftr>
</file>

<file path=word/header1.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22"/>
      <w:pBdr>
        <w:bottom w:val="none" w:sz="0" w:space="0" w:color="auto"/>
      </w:pBdr>
      <w:tabs>
        <w:tab w:val="center" w:pos="4153"/>
        <w:tab w:val="right" w:pos="8306"/>
      </w:tabs>
    </w:pPr>
  </w:p>
</w:hd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bordersDoNotSurroundHeader/>
  <w:bordersDoNotSurroundFooter/>
  <w:documentProtection w:edit="readOnly" w:enforcement="0"/>
  <w:defaultTabStop w:val="420"/>
  <w:drawingGridHorizontalSpacing w:val="140"/>
  <w:drawingGridVerticalSpacing w:val="190"/>
  <w:displayHorizontalDrawingGridEvery w:val="0"/>
  <w:displayVerticalDrawingGridEvery w:val="2"/>
  <w:characterSpacingControl w:val="compressPunctuation"/>
  <w:noLineBreaksAfter w:lang="zh-CN" w:val="$([{£¥·‘“〈《「『【〔〖〝﹙﹛﹝＄（．［｛￡￥"/>
  <w:noLineBreaksBefore w:lang="zh-CN" w:val="!%),.:;&gt;?]}¢¨°·ˇˉ―‖’”…‰′″›℃∶、。〃〉》」』】〕〗〞︶︺︾﹀﹄﹚﹜﹞！＂％＇），．：；？］｀｜｝～￠"/>
  <w:compat>
    <w:spaceForUL/>
    <w:balanceSingleByteDoubleByteWidth/>
    <w:ulTrailSpace/>
    <w:doNotExpandShiftReturn/>
    <w:adjustLineHeightInTable/>
    <w:doNotUseIndentAsNumberingTabStop/>
    <w:useAltKinsokuLineBreakRules/>
    <w:doNotSuppressIndentation/>
    <w:splitPgBreakAndParaMark/>
    <w:autofitToFirstFixedWidthCell/>
    <w:doNotVertAlignCellWithSp/>
    <w:compatSetting w:name="compatibilityMode" w:uri="http://schemas.microsoft.com/office/word" w:val="11"/>
  </w:compat>
  <w:docVars>
    <w:docVar w:name="DocumentID" w:val="{E83A6EA8-D85D-499D-92A1-306811C837D1}"/>
    <w:docVar w:name="DocumentName" w:val="57.?????????????¨²?¡¤?¡Â???????????¡§???¨²???¨´?????????????????????¨²???¨®?????¡ã¡ã?¡À¨º???????¨ª??3??¡ã¨¨?????¡§?¨¨?????????¡À???????¨²??"/>
  </w:docVars>
  <m:mathPr>
    <m:mathFont m:val="Cambria Math"/>
    <m:brkBin m:val="before"/>
    <m:brkBinSub m:val="--"/>
    <m:smallFrac m:val="0"/>
    <m:dispDef/>
    <m:lMargin m:val="0"/>
    <m:rMargin m:val="0"/>
    <m:defJc m:val="centerGroup"/>
    <m:wrapIndent m:val="1440"/>
    <m:intLim m:val="subSup"/>
    <m:naryLim m:val="undOvr"/>
  </m:mathPr>
  <w:doNotIncludeSubdocsInStat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Lucida Sans"/>
        <w:lang w:val="en-US" w:eastAsia="zh-CN" w:bidi="ar-SA"/>
      </w:rPr>
    </w:rPrDefault>
    <w:pPrDefault/>
  </w:docDefaults>
  <w:latentStyles w:count="13">
    <w:lsdException w:name="heading 1" w:locked="1"/>
    <w:lsdException w:name="heading 3" w:locked="1"/>
    <w:lsdException w:name="heading 4" w:locked="1"/>
    <w:lsdException w:name="heading 5" w:locked="1"/>
    <w:lsdException w:name="heading 6" w:locked="1"/>
    <w:lsdException w:name="heading 7" w:locked="1"/>
    <w:lsdException w:name="heading 8" w:locked="1"/>
    <w:lsdException w:name="heading 9" w:locked="1"/>
    <w:lsdException w:name="caption" w:locked="1"/>
    <w:lsdException w:name="Title" w:locked="1"/>
    <w:lsdException w:name="Subtitle" w:locked="1"/>
    <w:lsdException w:name="Strong" w:locked="1"/>
    <w:lsdException w:name="Emphasis" w:locked="1"/>
  </w:latentStyles>
  <w:style w:type="paragraph" w:default="1" w:styleId="0">
    <w:name w:val="Normal"/>
    <w:qFormat/>
    <w:next w:val="15"/>
    <w:pPr>
      <w:widowControl w:val="0"/>
      <w:spacing w:line="360" w:lineRule="auto"/>
      <w:jc w:val="both"/>
    </w:pPr>
    <w:rPr>
      <w:rFonts w:ascii="Times New Roman" w:eastAsia="宋体" w:cs="Times New Roman" w:hAnsi="Times New Roman"/>
      <w:kern w:val="2"/>
      <w:sz w:val="28"/>
      <w:szCs w:val="24"/>
      <w:lang w:val="en-US" w:eastAsia="zh-CN" w:bidi="ar-SA"/>
    </w:rPr>
  </w:style>
  <w:style w:type="paragraph" w:styleId="1">
    <w:name w:val="heading 1"/>
    <w:qFormat/>
    <w:basedOn w:val="0"/>
    <w:locked/>
    <w:next w:val="0"/>
    <w:link w:val="1Char"/>
    <w:pPr>
      <w:keepNext/>
      <w:keepLines/>
      <w:spacing w:before="340" w:after="330" w:line="578" w:lineRule="auto"/>
      <w:outlineLvl w:val="0"/>
    </w:pPr>
    <w:rPr>
      <w:b/>
      <w:bCs/>
      <w:kern w:val="44"/>
      <w:sz w:val="44"/>
      <w:szCs w:val="44"/>
    </w:rPr>
  </w:style>
  <w:style w:type="character" w:customStyle="1" w:styleId="1Char">
    <w:name w:val="heading 1 Char"/>
    <w:basedOn w:val="10"/>
    <w:link w:val="1"/>
    <w:rPr>
      <w:rFonts w:ascii="Times New Roman" w:eastAsia="宋体" w:cs="Times New Roman" w:hAnsi="Times New Roman"/>
      <w:b/>
      <w:bCs/>
      <w:kern w:val="44"/>
      <w:sz w:val="44"/>
      <w:szCs w:val="44"/>
      <w:lang w:val="en-US" w:eastAsia="zh-CN" w:bidi="ar-SA"/>
    </w:rPr>
  </w:style>
  <w:style w:type="paragraph" w:styleId="2">
    <w:name w:val="heading 2"/>
    <w:qFormat/>
    <w:basedOn w:val="0"/>
    <w:next w:val="0"/>
    <w:link w:val="2Char"/>
    <w:pPr>
      <w:keepNext/>
      <w:keepLines/>
      <w:spacing w:line="560" w:lineRule="exact"/>
      <w:ind w:firstLineChars="200" w:firstLine="200"/>
      <w:outlineLvl w:val="1"/>
    </w:pPr>
    <w:rPr>
      <w:rFonts w:ascii="Arial" w:eastAsia="楷体_GB2312" w:hAnsi="Arial"/>
      <w:b/>
      <w:bCs/>
      <w:szCs w:val="32"/>
    </w:rPr>
  </w:style>
  <w:style w:type="character" w:customStyle="1" w:styleId="2Char">
    <w:name w:val="heading 2 Char"/>
    <w:basedOn w:val="10"/>
    <w:link w:val="2"/>
    <w:rPr>
      <w:rFonts w:ascii="Arial" w:eastAsia="楷体_GB2312" w:cs="Times New Roman" w:hAnsi="Arial"/>
      <w:b/>
      <w:bCs/>
      <w:kern w:val="2"/>
      <w:sz w:val="28"/>
      <w:szCs w:val="32"/>
      <w:lang w:val="en-US" w:eastAsia="zh-CN" w:bidi="ar-SA"/>
    </w:rPr>
  </w:style>
  <w:style w:type="paragraph" w:styleId="3">
    <w:name w:val="heading 3"/>
    <w:qFormat/>
    <w:basedOn w:val="0"/>
    <w:locked/>
    <w:next w:val="0"/>
    <w:link w:val="3Char"/>
    <w:pPr>
      <w:keepNext/>
      <w:keepLines/>
      <w:spacing w:before="260" w:after="260" w:line="415" w:lineRule="auto"/>
      <w:outlineLvl w:val="2"/>
    </w:pPr>
    <w:rPr>
      <w:b/>
      <w:bCs/>
      <w:sz w:val="32"/>
      <w:szCs w:val="32"/>
    </w:rPr>
  </w:style>
  <w:style w:type="character" w:customStyle="1" w:styleId="3Char">
    <w:name w:val="heading 3 Char"/>
    <w:basedOn w:val="10"/>
    <w:link w:val="3"/>
    <w:rPr>
      <w:rFonts w:ascii="Times New Roman" w:eastAsia="宋体" w:cs="Times New Roman" w:hAnsi="Times New Roman"/>
      <w:b/>
      <w:bCs/>
      <w:kern w:val="2"/>
      <w:sz w:val="32"/>
      <w:szCs w:val="32"/>
      <w:lang w:val="en-US" w:eastAsia="zh-CN" w:bidi="ar-SA"/>
    </w:rPr>
  </w:style>
  <w:style w:type="character" w:default="1" w:styleId="10">
    <w:name w:val="Default Paragraph Font"/>
    <w:qFormat/>
  </w:style>
  <w:style w:type="paragraph" w:styleId="15">
    <w:name w:val="Normal Indent"/>
    <w:qFormat/>
    <w:basedOn w:val="0"/>
    <w:next w:val="0"/>
    <w:pPr>
      <w:ind w:firstLineChars="200" w:firstLine="200"/>
    </w:pPr>
  </w:style>
  <w:style w:type="paragraph" w:styleId="16">
    <w:name w:val="annotation text"/>
    <w:qFormat/>
    <w:basedOn w:val="0"/>
    <w:pPr>
      <w:jc w:val="left"/>
    </w:pPr>
  </w:style>
  <w:style w:type="paragraph" w:styleId="17">
    <w:name w:val="Body Text"/>
    <w:qFormat/>
    <w:basedOn w:val="0"/>
    <w:pPr>
      <w:spacing w:after="120"/>
    </w:pPr>
  </w:style>
  <w:style w:type="paragraph" w:styleId="18">
    <w:name w:val="Body Text Indent"/>
    <w:qFormat/>
    <w:basedOn w:val="0"/>
    <w:pPr>
      <w:spacing w:after="120"/>
      <w:ind w:leftChars="200" w:left="200"/>
    </w:pPr>
  </w:style>
  <w:style w:type="paragraph" w:styleId="19">
    <w:name w:val="Date"/>
    <w:qFormat/>
    <w:basedOn w:val="0"/>
    <w:next w:val="0"/>
    <w:pPr>
      <w:ind w:leftChars="2500" w:left="2500"/>
    </w:pPr>
  </w:style>
  <w:style w:type="paragraph" w:styleId="20">
    <w:name w:val="Balloon Text"/>
    <w:qFormat/>
    <w:basedOn w:val="0"/>
    <w:rPr>
      <w:sz w:val="18"/>
      <w:szCs w:val="18"/>
    </w:rPr>
  </w:style>
  <w:style w:type="paragraph" w:styleId="21">
    <w:name w:val="footer"/>
    <w:qFormat/>
    <w:basedOn w:val="0"/>
    <w:pPr>
      <w:tabs>
        <w:tab w:val="center" w:pos="4153"/>
        <w:tab w:val="right" w:pos="8306"/>
      </w:tabs>
      <w:snapToGrid w:val="0"/>
      <w:spacing w:line="240" w:lineRule="auto"/>
      <w:jc w:val="left"/>
    </w:pPr>
    <w:rPr>
      <w:sz w:val="18"/>
      <w:szCs w:val="18"/>
    </w:rPr>
  </w:style>
  <w:style w:type="paragraph" w:styleId="22">
    <w:name w:val="header"/>
    <w:qFormat/>
    <w:basedOn w:val="0"/>
    <w:pPr>
      <w:pBdr>
        <w:bottom w:val="single" w:sz="6" w:space="1" w:color="auto"/>
      </w:pBdr>
      <w:tabs>
        <w:tab w:val="center" w:pos="4153"/>
        <w:tab w:val="right" w:pos="8306"/>
      </w:tabs>
      <w:snapToGrid w:val="0"/>
      <w:spacing w:line="240" w:lineRule="auto"/>
      <w:jc w:val="center"/>
    </w:pPr>
    <w:rPr>
      <w:sz w:val="18"/>
      <w:szCs w:val="18"/>
    </w:rPr>
  </w:style>
  <w:style w:type="paragraph" w:styleId="23">
    <w:name w:val="Normal (Web)"/>
    <w:qFormat/>
    <w:basedOn w:val="0"/>
    <w:pPr>
      <w:widowControl/>
      <w:shd w:val="clear" w:color="auto" w:fill="FFFFFF"/>
      <w:spacing w:line="550" w:lineRule="exact"/>
      <w:ind w:firstLineChars="200" w:firstLine="200"/>
      <w:jc w:val="left"/>
    </w:pPr>
    <w:rPr>
      <w:rFonts w:ascii="仿宋_GB2312" w:eastAsia="仿宋_GB2312"/>
      <w:sz w:val="32"/>
      <w:szCs w:val="30"/>
    </w:rPr>
  </w:style>
  <w:style w:type="paragraph" w:styleId="24">
    <w:name w:val="Body Text First Indent 2"/>
    <w:qFormat/>
    <w:basedOn w:val="18"/>
    <w:pPr>
      <w:spacing w:line="240" w:lineRule="auto"/>
      <w:ind w:firstLineChars="200" w:firstLine="200"/>
    </w:pPr>
    <w:rPr>
      <w:rFonts w:eastAsia="仿宋_GB2312"/>
      <w:sz w:val="32"/>
      <w:szCs w:val="20"/>
    </w:rPr>
  </w:style>
  <w:style w:type="character" w:styleId="25">
    <w:name w:val="page number"/>
    <w:qFormat/>
    <w:basedOn w:val="10"/>
    <w:rPr>
      <w:rFonts w:cs="Times New Roman"/>
    </w:rPr>
  </w:style>
  <w:style w:type="paragraph" w:customStyle="1" w:yozoId="4094" w:styleId="26">
    <w:name w:val="BodyText"/>
    <w:qFormat/>
    <w:basedOn w:val="0"/>
    <w:pPr>
      <w:spacing w:after="120"/>
      <w:textAlignment w:val="baseline"/>
    </w:pPr>
  </w:style>
  <w:style w:type="paragraph" w:customStyle="1" w:yozoId="4094" w:styleId="27">
    <w:name w:val="列出段落1"/>
    <w:qFormat/>
    <w:basedOn w:val="0"/>
    <w:pPr>
      <w:spacing w:line="240" w:lineRule="auto"/>
      <w:ind w:firstLineChars="200" w:firstLine="200"/>
    </w:pPr>
    <w:rPr>
      <w:rFonts w:ascii="Calibri" w:hAnsi="Calibri"/>
      <w:sz w:val="21"/>
      <w:szCs w:val="22"/>
    </w:rPr>
  </w:style>
  <w:style w:type="character" w:customStyle="1" w:yozoId="4094" w:styleId="28">
    <w:name w:val="font31"/>
    <w:qFormat/>
    <w:basedOn w:val="10"/>
    <w:rPr>
      <w:rFonts w:ascii="宋体" w:eastAsia="宋体" w:cs="宋体" w:hAnsi="宋体"/>
      <w:color w:val="000000"/>
      <w:sz w:val="24"/>
      <w:szCs w:val="24"/>
      <w:u w:val="none"/>
    </w:rPr>
  </w:style>
  <w:style w:type="paragraph" w:customStyle="1" w:yozoId="4094" w:styleId="29">
    <w:name w:val="公文正文"/>
    <w:qFormat/>
    <w:basedOn w:val="0"/>
    <w:pPr>
      <w:spacing w:line="240" w:lineRule="atLeast"/>
      <w:ind w:firstLineChars="200" w:firstLine="200"/>
    </w:pPr>
    <w:rPr>
      <w:rFonts w:ascii="仿宋_GB2312" w:eastAsia="仿宋_GB2312" w:cs="宋体"/>
      <w:color w:val="000000"/>
      <w:kern w:val="0"/>
      <w:sz w:val="32"/>
      <w:szCs w:val="20"/>
    </w:rPr>
  </w:style>
  <w:style w:type="paragraph" w:customStyle="1" w:yozoId="4094" w:styleId="30">
    <w:name w:val="公文:正文"/>
    <w:qFormat/>
    <w:basedOn w:val="0"/>
    <w:rPr>
      <w:rFonts w:ascii="Calibri" w:eastAsia="仿宋" w:hAnsi="Calibri"/>
      <w:sz w:val="32"/>
      <w:szCs w:val="22"/>
    </w:rPr>
  </w:style>
  <w:style w:type="paragraph" w:customStyle="1" w:yozoId="4094" w:styleId="31">
    <w:name w:val="公文:正文(缩进)"/>
    <w:qFormat/>
    <w:basedOn w:val="0"/>
    <w:pPr>
      <w:ind w:firstLineChars="200" w:firstLine="200"/>
    </w:pPr>
    <w:rPr>
      <w:rFonts w:ascii="Calibri" w:eastAsia="仿宋" w:hAnsi="Calibri"/>
      <w:sz w:val="32"/>
      <w:szCs w:val="22"/>
    </w:rPr>
  </w:style>
  <w:style w:type="paragraph" w:customStyle="1" w:yozoId="4094" w:styleId="32">
    <w:name w:val="正文1"/>
    <w:qFormat/>
    <w:rPr>
      <w:rFonts w:ascii="Times New Roman" w:eastAsia="宋体" w:cs="Times New Roman" w:hAnsi="Times New Roman"/>
      <w:kern w:val="0"/>
      <w:sz w:val="20"/>
      <w:szCs w:val="20"/>
      <w:lang w:val="en-US" w:eastAsia="zh-CN" w:bidi="ar-SA"/>
    </w:rPr>
  </w:style>
  <w:style w:type="paragraph" w:customStyle="1" w:yozoId="4094" w:styleId="33">
    <w:name w:val="Default"/>
    <w:qFormat/>
    <w:basedOn w:val="32"/>
    <w:next w:val="0"/>
    <w:pPr>
      <w:widowControl w:val="0"/>
      <w:autoSpaceDE w:val="0"/>
      <w:autoSpaceDN w:val="0"/>
      <w:adjustRightInd w:val="0"/>
    </w:pPr>
    <w:rPr>
      <w:rFonts w:ascii="宋体" w:hAnsi="宋体"/>
      <w:color w:val="000000"/>
      <w:sz w:val="24"/>
    </w:rPr>
  </w:style>
  <w:style w:type="paragraph" w:customStyle="1" w:yozoId="4094" w:styleId="34">
    <w:name w:val="CM2"/>
    <w:qFormat/>
    <w:basedOn w:val="0"/>
    <w:next w:val="0"/>
    <w:pPr>
      <w:autoSpaceDE w:val="0"/>
      <w:autoSpaceDN w:val="0"/>
      <w:adjustRightInd w:val="0"/>
      <w:spacing w:line="560" w:lineRule="atLeast"/>
      <w:jc w:val="left"/>
    </w:pPr>
    <w:rPr>
      <w:rFonts w:ascii="微软雅黑" w:eastAsia="微软雅黑" w:hAnsi="Calibri"/>
      <w:kern w:val="0"/>
      <w:sz w:val="24"/>
    </w:rPr>
  </w:style>
  <w:style w:type="paragraph" w:customStyle="1" w:yozoId="4094" w:styleId="35">
    <w:name w:val="CM16"/>
    <w:qFormat/>
    <w:basedOn w:val="0"/>
    <w:next w:val="0"/>
    <w:pPr>
      <w:autoSpaceDE w:val="0"/>
      <w:autoSpaceDN w:val="0"/>
      <w:adjustRightInd w:val="0"/>
      <w:spacing w:line="560" w:lineRule="atLeast"/>
      <w:jc w:val="left"/>
    </w:pPr>
    <w:rPr>
      <w:rFonts w:ascii="微软雅黑" w:eastAsia="微软雅黑" w:hAnsi="Calibri"/>
      <w:kern w:val="0"/>
      <w:sz w:val="24"/>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styles" Target="styles.xml"/><Relationship Id="rId6" Type="http://schemas.openxmlformats.org/officeDocument/2006/relationships/fontTable" Target="fontTable.xml"/><Relationship Id="rId7" Type="http://schemas.openxmlformats.org/officeDocument/2006/relationships/customXml" Target="../customXml/item1.xml"/><Relationship Id="rId8"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Theme">
      <a:majorFont>
        <a:latin typeface=""/>
        <a:ea typeface=""/>
        <a:cs typeface=""/>
      </a:majorFont>
      <a:minorFont>
        <a:latin typeface=""/>
        <a:ea typeface=""/>
        <a:cs typefac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1"/>
        </a:gradFill>
      </a:fillStyleLst>
      <a:lnStyleLst>
        <a:ln w="9525" cmpd="sng" cap="flat">
          <a:solidFill>
            <a:schemeClr val="phClr">
              <a:shade val="95000"/>
              <a:satMod val="105000"/>
            </a:schemeClr>
          </a:solidFill>
          <a:prstDash val="solid"/>
          <a:round/>
        </a:ln>
        <a:ln w="25400" cmpd="sng" cap="flat">
          <a:solidFill>
            <a:schemeClr val="phClr"/>
          </a:solidFill>
          <a:prstDash val="solid"/>
          <a:round/>
        </a:ln>
        <a:ln w="38100" cmpd="sng" cap="flat">
          <a:solidFill>
            <a:schemeClr val="phClr"/>
          </a:solidFill>
          <a:prstDash val="solid"/>
          <a:round/>
        </a:ln>
      </a:lnStyleLst>
      <a:effectStyleLst>
        <a:effectStyle>
          <a:effectLst>
            <a:outerShdw sx="100000" sy="100000" algn="b" rotWithShape="0" blurRad="40000" dist="20000" dir="5400000">
              <a:srgbClr val="000000">
                <a:alpha val="37647"/>
              </a:srgbClr>
            </a:outerShdw>
          </a:effectLst>
        </a:effectStyle>
        <a:effectStyle>
          <a:effectLst>
            <a:outerShdw sx="100000" sy="100000" algn="b" rotWithShape="0" blurRad="40000" dist="23000" dir="5400000">
              <a:srgbClr val="000000">
                <a:alpha val="34509"/>
              </a:srgbClr>
            </a:outerShdw>
          </a:effectLst>
        </a:effectStyle>
        <a:effectStyle>
          <a:effectLst>
            <a:outerShdw sx="100000" sy="100000" algn="b" rotWithShape="0" blurRad="40000" dist="23000" dir="5400000">
              <a:srgbClr val="000000">
                <a:alpha val="34509"/>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50000" r="50000" b="5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678 0 1 1 1 1"/>
    <sectPr/>
  </customProps>
</customData>
</file>

<file path=customXml/itemProps1.xml><?xml version="1.0" encoding="utf-8"?>
<ds:datastoreItem xmlns:ds="http://schemas.openxmlformats.org/officeDocument/2006/customXml" ds:itemID="{64EF4613-A80C-458E-8F00-38D1B0787C54}">
  <ds:schemaRefs>
    <ds:schemaRef ds:uri="http://www.yozosoft.com.cn/officeDocument/2016/customData"/>
  </ds:schemaRefs>
</ds:datastoreItem>
</file>

<file path=docProps/app.xml><?xml version="1.0" encoding="utf-8"?>
<Properties xmlns="http://schemas.openxmlformats.org/officeDocument/2006/extended-properties">
  <Template>Normal.eit</Template>
  <TotalTime>4</TotalTime>
  <Application>WPS_Yozo_Office9.0.5560.161ZH</Application>
  <Pages>4</Pages>
  <Words>0</Words>
  <Characters>1083</Characters>
  <Lines>0</Lines>
  <Paragraphs>49</Paragraphs>
  <CharactersWithSpaces>1445</CharactersWithSpaces>
  <Company>CHINA</Company>
</Properties>
</file>

<file path=docProps/core.xml><?xml version="1.0" encoding="utf-8"?>
<cp:coreProperties xmlns:cp="http://schemas.openxmlformats.org/package/2006/metadata/core-properties" xmlns:dc="http://purl.org/dc/elements/1.1/" xmlns:dcterms="http://purl.org/dc/terms/" xmlns:xsi="http://www.w3.org/2001/XMLSchema-instance">
  <dc:creator>Administrator</dc:creator>
  <cp:lastModifiedBy>thtf</cp:lastModifiedBy>
  <cp:revision>5</cp:revision>
  <cp:lastPrinted>2023-04-07T02:17:00Z</cp:lastPrinted>
  <dcterms:created xsi:type="dcterms:W3CDTF">2025-07-18T03:33:00Z</dcterms:created>
  <dcterms:modified xsi:type="dcterms:W3CDTF">2025-08-12T02:47:36Z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2052-12.1.0.21915</vt:lpwstr>
  </property>
  <property fmtid="{D5CDD505-2E9C-101B-9397-08002B2CF9AE}" pid="3" name="KSOTemplateDocerSaveRecord">
    <vt:lpwstr>eyJoZGlkIjoiYjI4Y2JhYzlhMDEzNWFmOGM2YjcwODcxODJkY2EwOTMiLCJ1c2VySWQiOiI0Mzk5NzgyOTcifQ==</vt:lpwstr>
  </property>
  <property fmtid="{D5CDD505-2E9C-101B-9397-08002B2CF9AE}" pid="4" name="ICV">
    <vt:lpwstr>5F48471522054BECBD54D2E9ED9637F5_12</vt:lpwstr>
  </property>
</Properties>
</file>