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关于对县人大第十七届四次会议</w:t>
      </w:r>
    </w:p>
    <w:p>
      <w:pPr>
        <w:spacing w:line="50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第92号建议的答复</w:t>
      </w:r>
    </w:p>
    <w:p>
      <w:pPr>
        <w:spacing w:line="500" w:lineRule="exact"/>
        <w:rPr>
          <w:rFonts w:ascii="Times New Roman" w:cs="Times New Roman" w:hAnsi="Times New Roman"/>
          <w:szCs w:val="32"/>
        </w:rPr>
      </w:pPr>
    </w:p>
    <w:p>
      <w:pPr>
        <w:spacing w:line="560" w:lineRule="exact"/>
        <w:rPr>
          <w:rFonts w:ascii="Times New Roman" w:eastAsia="仿宋_GB2312" w:cs="Times New Roman" w:hAnsi="Times New Roman"/>
          <w:sz w:val="32"/>
          <w:szCs w:val="32"/>
        </w:rPr>
      </w:pPr>
      <w:bookmarkStart w:id="0" w:name="OLE_LINK36"/>
      <w:bookmarkStart w:id="1" w:name="OLE_LINK37"/>
      <w:r>
        <w:rPr>
          <w:rFonts w:ascii="Times New Roman" w:eastAsia="仿宋_GB2312" w:cs="Times New Roman" w:hAnsi="Times New Roman"/>
          <w:sz w:val="32"/>
          <w:szCs w:val="32"/>
        </w:rPr>
        <w:t>李</w:t>
      </w:r>
      <w:bookmarkEnd w:id="0"/>
      <w:bookmarkEnd w:id="1"/>
      <w:r>
        <w:rPr>
          <w:rFonts w:ascii="Times New Roman" w:eastAsia="仿宋_GB2312" w:cs="Times New Roman" w:hAnsi="Times New Roman"/>
          <w:sz w:val="32"/>
          <w:szCs w:val="32"/>
        </w:rPr>
        <w:t>*</w:t>
      </w:r>
      <w:r>
        <w:rPr>
          <w:rFonts w:ascii="Times New Roman" w:eastAsia="仿宋_GB2312" w:cs="Times New Roman" w:hAnsi="Times New Roman"/>
          <w:sz w:val="32"/>
          <w:szCs w:val="32"/>
        </w:rPr>
        <w:t>代表：</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您提出的《关于大占补指标调整耕地等级的建议》已收悉，现答复如下：</w:t>
      </w: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一、基本情况</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根据《云南省自然资源厅关于省级耕地占补平衡动态监管系统正式上线运行的通知》、《云南省自然资源厅关于进一步完善恢复耕地指标管理使用的通知》，云南省耕地占补平衡动态监管系统于2024年8月28日正式上线运行，农村宅基地、设施农用地等占用耕地的可使用恢复耕地指标落实占补平衡。2024年嵩明县恢复耕地入库指标7956.58亩，其中杨桥街道1130.72亩，白鹤社区居民委员会44.23亩。</w:t>
      </w: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二、意见建议办理情况</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（一）对“县自然资源局牵头，对大占补指标中的耕地等级进行合理调整”问题和建议做如下说明：</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一是耕地等级由农业农村部门开展；二是可入库补充耕地图斑的质量等别认定由省自然资源厅和省农业农村厅组织开展完成后下发数据至各州市、县区。大占补指标使用在云南省耕地占补平衡动态监管系统刚启用阶段，申请挂钩时需占用和补充的耕地数量、等别对等，后期将该问题逐级反馈至省市后，系统及管理已经完善，补充的耕地等别对等体现为粮食产能补充，不需要耕地等别对等挂钩。故白鹤社区农村宅基地报批不会因辖区内恢复耕地指标等别问题导致无法自主落实耕地占补平衡。</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（二）对“开展区域差异化评定，针对不同地区或土地规模化经营和现代化农业设施的配套情况，科学区域划分和差异化评定” 问题和建议做如下说明：</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依据省市工作安排，近年来嵩明县均开展了年度耕地资源质量分类成果更新与监测工作，耕地资源质量分类年度更新范围包括新增和减少耕地、二级地类发生变化耕地、新增和减少可恢复的农用地和恢复属性发生变化的农用地，以及通过土地整治、高标准农田建设等项目实施质量发生变化的耕地和可恢复的农用地，更新成果上报省市检查、入库与汇总分析，再报自然资源部审核、下发。</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（三）对“动态监测与调整，监理健全耕地质量动态监测体系，定期对耕地质量进行监测评估，根据监测结果及时对耕地等级进行调整，确保耕地等级与市级质量相匹配”问题和建议做如下说明：</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嵩明县在开展年度耕地资源质量分类成果更新与监测工作中布设监测点，以最新年度耕地资源质量分类成果及年度国土变更调查成果为基础，结合上年度所有验收的土地整治、高标准农田建设等项目范围资料，在年度更新范围外的稳定耕地上布设固定监测样点，开展耕地资源质量分类相关指标的监测，监测成果上报省市检查、入库与汇总分析，再报自然资源部审核、下发。</w:t>
      </w:r>
    </w:p>
    <w:p>
      <w:pPr>
        <w:pStyle w:val="17"/>
        <w:spacing w:after="0"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三、下一步工作方向</w:t>
      </w:r>
    </w:p>
    <w:p>
      <w:pPr>
        <w:pStyle w:val="17"/>
        <w:spacing w:after="0"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加强对已入库恢复耕地指标管理，做好年度恢复耕地指标入库相关工作，感谢您对补充耕地指标管理使用相关工作的关心和支持。</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（联系人及电话：马</w:t>
      </w:r>
      <w:r>
        <w:rPr>
          <w:rFonts w:ascii="Times New Roman" w:eastAsia="仿宋_GB2312" w:cs="Times New Roman" w:hAnsi="Times New Roman"/>
          <w:sz w:val="32"/>
          <w:szCs w:val="32"/>
        </w:rPr>
        <w:t>女士</w:t>
      </w:r>
      <w:r>
        <w:rPr>
          <w:rFonts w:eastAsia="仿宋_GB2312" w:cs="Times New Roman" w:hint="eastAsia"/>
          <w:sz w:val="32"/>
          <w:szCs w:val="32"/>
          <w:lang w:val="en-US" w:eastAsia="zh-CN"/>
        </w:rPr>
        <w:t xml:space="preserve">  </w:t>
      </w:r>
      <w:r>
        <w:rPr>
          <w:rFonts w:ascii="Times New Roman" w:eastAsia="仿宋_GB2312" w:cs="Times New Roman" w:hAnsi="Times New Roman"/>
          <w:sz w:val="32"/>
          <w:szCs w:val="32"/>
        </w:rPr>
        <w:t>0871-67921772</w:t>
      </w:r>
      <w:r>
        <w:rPr>
          <w:rFonts w:ascii="Times New Roman" w:eastAsia="仿宋_GB2312" w:cs="Times New Roman" w:hAnsi="Times New Roman"/>
          <w:sz w:val="32"/>
          <w:szCs w:val="32"/>
        </w:rPr>
        <w:t>）</w:t>
      </w:r>
    </w:p>
    <w:p>
      <w:pPr>
        <w:ind w:firstLineChars="200" w:firstLine="640"/>
        <w:rPr>
          <w:rFonts w:eastAsia="仿宋_GB2312" w:hint="eastAsia"/>
          <w:sz w:val="32"/>
          <w:szCs w:val="32"/>
        </w:rPr>
      </w:pPr>
      <w:r>
        <w:rPr>
          <w:rFonts w:eastAsia="仿宋_GB2312" w:hint="eastAsia"/>
          <w:sz w:val="32"/>
          <w:szCs w:val="32"/>
        </w:rPr>
        <w:t>公示时限:5 个工作日(202</w:t>
      </w:r>
      <w:r>
        <w:rPr>
          <w:rFonts w:eastAsia="仿宋_GB2312"/>
          <w:sz w:val="32"/>
          <w:szCs w:val="32"/>
        </w:rPr>
        <w:t>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18</w:t>
      </w:r>
      <w:r>
        <w:rPr>
          <w:rFonts w:eastAsia="仿宋_GB2312" w:hint="eastAsia"/>
          <w:sz w:val="32"/>
          <w:szCs w:val="32"/>
        </w:rPr>
        <w:t>日—202</w:t>
      </w:r>
      <w:r>
        <w:rPr>
          <w:rFonts w:eastAsia="仿宋_GB2312"/>
          <w:sz w:val="32"/>
          <w:szCs w:val="32"/>
        </w:rPr>
        <w:t>5</w:t>
      </w:r>
      <w:r>
        <w:rPr>
          <w:rFonts w:eastAsia="仿宋_GB2312" w:hint="eastAsia"/>
          <w:sz w:val="32"/>
          <w:szCs w:val="32"/>
        </w:rPr>
        <w:t xml:space="preserve"> 年8月</w:t>
      </w:r>
      <w:r>
        <w:rPr>
          <w:rFonts w:eastAsia="仿宋_GB2312"/>
          <w:sz w:val="32"/>
          <w:szCs w:val="32"/>
        </w:rPr>
        <w:t>22</w:t>
      </w:r>
      <w:r>
        <w:rPr>
          <w:rFonts w:eastAsia="仿宋_GB2312" w:hint="eastAsia"/>
          <w:sz w:val="32"/>
          <w:szCs w:val="32"/>
        </w:rPr>
        <w:t>日）</w:t>
      </w:r>
    </w:p>
    <w:p>
      <w:pPr>
        <w:pStyle w:val="15"/>
        <w:rPr>
          <w:rFonts w:ascii="Times New Roman" w:cs="Times New Roman" w:hAnsi="Times New Roman"/>
        </w:rPr>
      </w:pPr>
    </w:p>
    <w:p>
      <w:pPr>
        <w:rPr>
          <w:rFonts w:ascii="Times New Roman" w:cs="Times New Roman" w:hAnsi="Times New Roman"/>
        </w:rPr>
      </w:pPr>
    </w:p>
    <w:p>
      <w:pPr>
        <w:pStyle w:val="15"/>
        <w:rPr>
          <w:rFonts w:ascii="Times New Roman" w:cs="Times New Roman" w:hAnsi="Times New Roman"/>
        </w:rPr>
      </w:pPr>
      <w:bookmarkStart w:id="2" w:name="_GoBack"/>
      <w:bookmarkEnd w:id="2"/>
    </w:p>
    <w:p>
      <w:pPr>
        <w:spacing w:line="560" w:lineRule="exact"/>
        <w:ind w:rightChars="400" w:right="112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嵩明县自然资源局</w:t>
      </w:r>
    </w:p>
    <w:p>
      <w:pPr>
        <w:spacing w:line="560" w:lineRule="exact"/>
        <w:ind w:rightChars="400" w:right="112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2025年</w:t>
      </w:r>
      <w:r>
        <w:rPr>
          <w:rFonts w:ascii="Times New Roman" w:eastAsia="仿宋_GB2312" w:cs="Times New Roman" w:hAnsi="Times New Roman"/>
          <w:sz w:val="32"/>
          <w:szCs w:val="32"/>
        </w:rPr>
        <w:t>8</w:t>
      </w:r>
      <w:r>
        <w:rPr>
          <w:rFonts w:ascii="Times New Roman" w:eastAsia="仿宋_GB2312" w:cs="Times New Roman" w:hAnsi="Times New Roman"/>
          <w:sz w:val="32"/>
          <w:szCs w:val="32"/>
        </w:rPr>
        <w:t>月1</w:t>
      </w:r>
      <w:r>
        <w:rPr>
          <w:rFonts w:eastAsia="仿宋_GB2312" w:cs="Times New Roman" w:hint="eastAsia"/>
          <w:sz w:val="32"/>
          <w:szCs w:val="32"/>
          <w:lang w:val="en-US" w:eastAsia="zh-CN"/>
        </w:rPr>
        <w:t>8</w:t>
      </w:r>
      <w:r>
        <w:rPr>
          <w:rFonts w:ascii="Times New Roman" w:eastAsia="仿宋_GB2312" w:cs="Times New Roman" w:hAnsi="Times New Roman"/>
          <w:sz w:val="32"/>
          <w:szCs w:val="32"/>
        </w:rPr>
        <w:t>日</w:t>
      </w:r>
    </w:p>
    <w:p>
      <w:pPr>
        <w:pStyle w:val="24"/>
        <w:ind w:leftChars="0" w:left="0" w:firstLineChars="0" w:firstLine="0"/>
        <w:rPr>
          <w:rFonts w:ascii="Times New Roman" w:cs="Times New Roman" w:hAnsi="Times New Roman"/>
        </w:rPr>
      </w:pPr>
    </w:p>
    <w:p>
      <w:pPr>
        <w:pStyle w:val="24"/>
        <w:ind w:leftChars="0" w:left="0" w:firstLineChars="0" w:firstLine="0"/>
        <w:rPr>
          <w:rFonts w:ascii="Times New Roman" w:cs="Times New Roman" w:hAnsi="Times New Roman"/>
        </w:rPr>
      </w:pPr>
    </w:p>
    <w:p>
      <w:pPr>
        <w:pStyle w:val="24"/>
        <w:ind w:leftChars="0" w:left="0" w:firstLineChars="0" w:firstLine="0"/>
        <w:rPr>
          <w:rFonts w:ascii="Times New Roman" w:cs="Times New Roman" w:hAnsi="Times New Roman"/>
        </w:rPr>
      </w:pPr>
    </w:p>
    <w:p>
      <w:pPr>
        <w:pStyle w:val="24"/>
        <w:ind w:leftChars="0" w:left="0" w:firstLineChars="0" w:firstLine="0"/>
      </w:pPr>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楷体_GB2312">
    <w:altName w:val="方正楷体_GBK"/>
    <w:panose1 w:val="02010609030101010101"/>
    <w:charset w:val="86"/>
    <w:family w:val="modern"/>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2;mso-position-horizontal:outside;mso-position-horizontal-relative:margin;mso-position-vertical:absolute;mso-wrap-style:none;">
              <v:stroke color="#000000"/>
              <v:textbox id="848"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DF61F24-C1C1-4F2A-9D84-722CA97E2C4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WPS_Yozo_Office9.0.5560.161ZH</Application>
  <Pages>3</Pages>
  <Words>0</Words>
  <Characters>893</Characters>
  <Lines>0</Lines>
  <Paragraphs>27</Paragraphs>
  <CharactersWithSpaces>1191</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6</cp:revision>
  <cp:lastPrinted>2023-04-07T02:17:00Z</cp:lastPrinted>
  <dcterms:created xsi:type="dcterms:W3CDTF">2025-07-18T02:47:00Z</dcterms:created>
  <dcterms:modified xsi:type="dcterms:W3CDTF">2025-08-12T02:51:44Z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2052-11.8.2.10321</vt:lpwstr>
  </property>
</Properties>
</file>