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关于对县人大十七届四次会议</w:t>
      </w:r>
    </w:p>
    <w:p>
      <w:pPr>
        <w:spacing w:line="52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第57号建议的答复</w:t>
      </w:r>
    </w:p>
    <w:p>
      <w:pPr>
        <w:spacing w:line="520" w:lineRule="exact"/>
        <w:rPr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bookmarkStart w:id="0" w:name="OLE_LINK33"/>
      <w:bookmarkStart w:id="1" w:name="OLE_LINK32"/>
      <w:r>
        <w:rPr>
          <w:rFonts w:eastAsia="仿宋_GB2312" w:hint="eastAsia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业、王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萍、董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芳</w:t>
      </w:r>
      <w:bookmarkEnd w:id="0"/>
      <w:bookmarkEnd w:id="1"/>
      <w:r>
        <w:rPr>
          <w:rFonts w:eastAsia="仿宋_GB2312" w:hint="eastAsia"/>
          <w:sz w:val="32"/>
          <w:szCs w:val="32"/>
        </w:rPr>
        <w:t>代表：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你们</w:t>
      </w:r>
      <w:r>
        <w:rPr>
          <w:rFonts w:eastAsia="仿宋_GB2312" w:hint="eastAsia"/>
          <w:sz w:val="32"/>
          <w:szCs w:val="32"/>
        </w:rPr>
        <w:t>提出的《关于拟请相关部门出具指导意见进行土地调整的建议》建议（提案）已收悉，现答复如下：</w:t>
      </w:r>
    </w:p>
    <w:p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一、基本情况</w:t>
      </w:r>
    </w:p>
    <w:p>
      <w:pPr>
        <w:pStyle w:val="17"/>
        <w:spacing w:after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嵩待高速公路于</w:t>
      </w:r>
      <w:r>
        <w:rPr>
          <w:rFonts w:eastAsia="仿宋_GB2312"/>
          <w:sz w:val="32"/>
          <w:szCs w:val="32"/>
        </w:rPr>
        <w:t>2001</w:t>
      </w:r>
      <w:r>
        <w:rPr>
          <w:rFonts w:eastAsia="仿宋_GB2312" w:hint="eastAsia"/>
          <w:sz w:val="32"/>
          <w:szCs w:val="32"/>
        </w:rPr>
        <w:t>年取得批复文件，批复文号：地准字（</w:t>
      </w:r>
      <w:r>
        <w:rPr>
          <w:rFonts w:eastAsia="仿宋_GB2312"/>
          <w:sz w:val="32"/>
          <w:szCs w:val="32"/>
        </w:rPr>
        <w:t>2001</w:t>
      </w:r>
      <w:r>
        <w:rPr>
          <w:rFonts w:eastAsia="仿宋_GB2312" w:hint="eastAsia"/>
          <w:sz w:val="32"/>
          <w:szCs w:val="32"/>
        </w:rPr>
        <w:t>）第（</w:t>
      </w:r>
      <w:r>
        <w:rPr>
          <w:rFonts w:eastAsia="仿宋_GB2312"/>
          <w:sz w:val="32"/>
          <w:szCs w:val="32"/>
        </w:rPr>
        <w:t>143</w:t>
      </w:r>
      <w:r>
        <w:rPr>
          <w:rFonts w:eastAsia="仿宋_GB2312" w:hint="eastAsia"/>
          <w:sz w:val="32"/>
          <w:szCs w:val="32"/>
        </w:rPr>
        <w:t>）号，嵩明县境内批复面积</w:t>
      </w:r>
      <w:r>
        <w:rPr>
          <w:rFonts w:eastAsia="仿宋_GB2312"/>
          <w:sz w:val="32"/>
          <w:szCs w:val="32"/>
        </w:rPr>
        <w:t>1172.82</w:t>
      </w:r>
      <w:r>
        <w:rPr>
          <w:rFonts w:eastAsia="仿宋_GB2312" w:hint="eastAsia"/>
          <w:sz w:val="32"/>
          <w:szCs w:val="32"/>
        </w:rPr>
        <w:t>亩，其中嵩阳街道</w:t>
      </w:r>
      <w:r>
        <w:rPr>
          <w:rFonts w:eastAsia="仿宋_GB2312"/>
          <w:sz w:val="32"/>
          <w:szCs w:val="32"/>
        </w:rPr>
        <w:t>660.23</w:t>
      </w:r>
      <w:r>
        <w:rPr>
          <w:rFonts w:eastAsia="仿宋_GB2312" w:hint="eastAsia"/>
          <w:sz w:val="32"/>
          <w:szCs w:val="32"/>
        </w:rPr>
        <w:t>亩。嵩昆路（嵩四路与哨关路连接线）一期项目用地于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取得批复文件，批复文号：云国土资复〔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654</w:t>
      </w:r>
      <w:r>
        <w:rPr>
          <w:rFonts w:eastAsia="仿宋_GB2312" w:hint="eastAsia"/>
          <w:sz w:val="32"/>
          <w:szCs w:val="32"/>
        </w:rPr>
        <w:t>号，批复面积</w:t>
      </w:r>
      <w:r>
        <w:rPr>
          <w:rFonts w:eastAsia="仿宋_GB2312"/>
          <w:sz w:val="32"/>
          <w:szCs w:val="32"/>
        </w:rPr>
        <w:t>948.54</w:t>
      </w:r>
      <w:r>
        <w:rPr>
          <w:rFonts w:eastAsia="仿宋_GB2312" w:hint="eastAsia"/>
          <w:sz w:val="32"/>
          <w:szCs w:val="32"/>
        </w:rPr>
        <w:t>亩，其中涉及倚伴社区面积</w:t>
      </w:r>
      <w:r>
        <w:rPr>
          <w:rFonts w:eastAsia="仿宋_GB2312"/>
          <w:sz w:val="32"/>
          <w:szCs w:val="32"/>
        </w:rPr>
        <w:t>63.53</w:t>
      </w:r>
      <w:r>
        <w:rPr>
          <w:rFonts w:eastAsia="仿宋_GB2312" w:hint="eastAsia"/>
          <w:sz w:val="32"/>
          <w:szCs w:val="32"/>
        </w:rPr>
        <w:t>亩。嵩明（小铺）至昆明（乌龙）高速公路改扩建工程于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年取得批复文件，批复文号：自然资函〔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375</w:t>
      </w:r>
      <w:r>
        <w:rPr>
          <w:rFonts w:eastAsia="仿宋_GB2312" w:hint="eastAsia"/>
          <w:sz w:val="32"/>
          <w:szCs w:val="32"/>
        </w:rPr>
        <w:t>号，嵩明县境内批复面积</w:t>
      </w:r>
      <w:r>
        <w:rPr>
          <w:rFonts w:eastAsia="仿宋_GB2312"/>
          <w:sz w:val="32"/>
          <w:szCs w:val="32"/>
        </w:rPr>
        <w:t>3651.25</w:t>
      </w:r>
      <w:r>
        <w:rPr>
          <w:rFonts w:eastAsia="仿宋_GB2312" w:hint="eastAsia"/>
          <w:sz w:val="32"/>
          <w:szCs w:val="32"/>
        </w:rPr>
        <w:t>亩，其中涉及倚伴社区面积</w:t>
      </w:r>
      <w:r>
        <w:rPr>
          <w:rFonts w:eastAsia="仿宋_GB2312"/>
          <w:sz w:val="32"/>
          <w:szCs w:val="32"/>
        </w:rPr>
        <w:t>246.36</w:t>
      </w:r>
      <w:r>
        <w:rPr>
          <w:rFonts w:eastAsia="仿宋_GB2312" w:hint="eastAsia"/>
          <w:sz w:val="32"/>
          <w:szCs w:val="32"/>
        </w:rPr>
        <w:t>亩。</w:t>
      </w:r>
    </w:p>
    <w:p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二、意见建议办理情况</w:t>
      </w:r>
    </w:p>
    <w:p>
      <w:pPr>
        <w:pStyle w:val="17"/>
        <w:spacing w:after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农村土地调整相关工作，建议根据行业主管部门的相关法律法规及政策进行开展。</w:t>
      </w:r>
    </w:p>
    <w:p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三、下一步工作方向</w:t>
      </w:r>
    </w:p>
    <w:p>
      <w:pPr>
        <w:pStyle w:val="17"/>
        <w:spacing w:after="0"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我局将积极主动配合做好相关工作。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感谢您对嵩明县自然资源局工作的关心和支持。</w:t>
      </w:r>
    </w:p>
    <w:p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>女士</w:t>
      </w:r>
      <w:r>
        <w:rPr>
          <w:rFonts w:eastAsia="仿宋_GB2312" w:hint="eastAsia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0871-67923711</w:t>
      </w:r>
      <w:r>
        <w:rPr>
          <w:rFonts w:eastAsia="仿宋_GB2312" w:hint="eastAsia"/>
          <w:sz w:val="32"/>
          <w:szCs w:val="32"/>
        </w:rPr>
        <w:t>）</w:t>
      </w:r>
    </w:p>
    <w:p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公示时限:5 个工作日(202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 年8月</w:t>
      </w:r>
      <w:r>
        <w:rPr>
          <w:rFonts w:eastAsia="仿宋_GB2312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>
      <w:pPr>
        <w:pStyle w:val="15"/>
      </w:pPr>
    </w:p>
    <w:p/>
    <w:p>
      <w:pPr>
        <w:pStyle w:val="15"/>
      </w:pPr>
    </w:p>
    <w:p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嵩明县自然资源局</w:t>
      </w:r>
    </w:p>
    <w:p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  <w:lang w:val="en-US" w:eastAsia="zh-CN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p>
      <w:pPr>
        <w:pStyle w:val="24"/>
        <w:ind w:leftChars="0" w:left="0" w:firstLineChars="0" w:firstLine="0"/>
      </w:pPr>
    </w:p>
    <w:p>
      <w:pPr>
        <w:pStyle w:val="24"/>
        <w:ind w:leftChars="0" w:left="0" w:firstLineChars="0" w:firstLine="0"/>
      </w:pPr>
    </w:p>
    <w:p>
      <w:pPr>
        <w:pStyle w:val="24"/>
        <w:ind w:leftChars="0" w:left="0" w:firstLineChars="0" w:firstLine="0"/>
      </w:pPr>
    </w:p>
    <w:sectPr>
      <w:headerReference w:type="default" r:id="rId2"/>
      <w:footerReference w:type="default" r:id="rId3"/>
      <w:footerReference w:type="even" r:id="rId4"/>
      <w:pgSz w:w="11906" w:h="16838"/>
      <w:pgMar w:top="2098" w:right="1474" w:bottom="1984" w:left="1587" w:header="851" w:footer="1417" w:gutter="0"/>
      <w:pgNumType w:start="1"/>
      <w:cols w:num="1" w:space="72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方正小标宋_GBK"/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楷体_GB2312">
    <w:altName w:val="方正楷体_GBK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tabs>
        <w:tab w:val="center" w:pos="4153"/>
        <w:tab w:val="right" w:pos="8306"/>
      </w:tabs>
      <w:ind w:right="360"/>
    </w:pPr>
    <w: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wrapNone/>
              <wp:docPr id="2049" name="_x0000_s204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11104" cy="291629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2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2049" o:spid="_x0000_s2" filled="f" stroked="f" style="position:absolute;margin-left:0.0pt;margin-top:0.0pt;width:40.244453pt;height:22.96296pt;z-index:12;mso-position-horizontal:outside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1"/>
                      <w:tabs>
                        <w:tab w:val="center" w:pos="4153"/>
                        <w:tab w:val="right" w:pos="8306"/>
                      </w:tabs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 xml:space="preserve"> </w:t>
    </w:r>
    <w:r>
      <w:rPr>
        <w:rStyle w:val="25"/>
      </w:rPr>
      <w:fldChar w:fldCharType="end"/>
    </w:r>
  </w:p>
  <w:p>
    <w:pPr>
      <w:pStyle w:val="21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2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autofitToFirstFixedWidthCell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count="13">
    <w:lsdException w:name="heading 1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</w:latentStyles>
  <w:style w:type="paragraph" w:default="1" w:styleId="0">
    <w:name w:val="Normal"/>
    <w:qFormat/>
    <w:next w:val="15"/>
    <w:pPr>
      <w:widowControl w:val="0"/>
      <w:spacing w:line="360" w:lineRule="auto"/>
      <w:jc w:val="both"/>
    </w:pPr>
    <w:rPr>
      <w:rFonts w:ascii="Times New Roman" w:eastAsia="宋体" w:cs="Times New Roman" w:hAnsi="Times New Roman"/>
      <w:kern w:val="2"/>
      <w:sz w:val="28"/>
      <w:szCs w:val="24"/>
      <w:lang w:val="en-US" w:eastAsia="zh-CN" w:bidi="ar-SA"/>
    </w:rPr>
  </w:style>
  <w:style w:type="paragraph" w:styleId="1">
    <w:name w:val="heading 1"/>
    <w:qFormat/>
    <w:basedOn w:val="0"/>
    <w:locked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character" w:customStyle="1" w:styleId="2Char">
    <w:name w:val="heading 2 Char"/>
    <w:basedOn w:val="10"/>
    <w:link w:val="2"/>
    <w:rPr>
      <w:rFonts w:ascii="Arial" w:eastAsia="楷体_GB2312" w:cs="Times New Roman" w:hAnsi="Arial"/>
      <w:b/>
      <w:bCs/>
      <w:kern w:val="2"/>
      <w:sz w:val="28"/>
      <w:szCs w:val="32"/>
      <w:lang w:val="en-US" w:eastAsia="zh-CN" w:bidi="ar-SA"/>
    </w:rPr>
  </w:style>
  <w:style w:type="paragraph" w:styleId="3">
    <w:name w:val="heading 3"/>
    <w:qFormat/>
    <w:basedOn w:val="0"/>
    <w:locked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Indent"/>
    <w:qFormat/>
    <w:basedOn w:val="0"/>
    <w:next w:val="0"/>
    <w:pPr>
      <w:ind w:firstLineChars="200" w:firstLine="200"/>
    </w:pPr>
  </w:style>
  <w:style w:type="paragraph" w:styleId="16">
    <w:name w:val="annotation text"/>
    <w:qFormat/>
    <w:basedOn w:val="0"/>
    <w:pPr>
      <w:jc w:val="left"/>
    </w:pPr>
  </w:style>
  <w:style w:type="paragraph" w:styleId="17">
    <w:name w:val="Body Text"/>
    <w:qFormat/>
    <w:basedOn w:val="0"/>
    <w:pPr>
      <w:spacing w:after="120"/>
    </w:pPr>
  </w:style>
  <w:style w:type="paragraph" w:styleId="18">
    <w:name w:val="Body Text Indent"/>
    <w:qFormat/>
    <w:basedOn w:val="0"/>
    <w:pPr>
      <w:spacing w:after="120"/>
      <w:ind w:leftChars="200" w:left="200"/>
    </w:pPr>
  </w:style>
  <w:style w:type="paragraph" w:styleId="19">
    <w:name w:val="Date"/>
    <w:qFormat/>
    <w:basedOn w:val="0"/>
    <w:next w:val="0"/>
    <w:pPr>
      <w:ind w:leftChars="2500" w:left="2500"/>
    </w:pPr>
  </w:style>
  <w:style w:type="paragraph" w:styleId="20">
    <w:name w:val="Balloon Text"/>
    <w:qFormat/>
    <w:basedOn w:val="0"/>
    <w:rPr>
      <w:sz w:val="18"/>
      <w:szCs w:val="18"/>
    </w:rPr>
  </w:style>
  <w:style w:type="paragraph" w:styleId="21">
    <w:name w:val="footer"/>
    <w:qFormat/>
    <w:basedOn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22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3">
    <w:name w:val="Normal (Web)"/>
    <w:qFormat/>
    <w:basedOn w:val="0"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4">
    <w:name w:val="Body Text First Indent 2"/>
    <w:qFormat/>
    <w:basedOn w:val="18"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25">
    <w:name w:val="page number"/>
    <w:qFormat/>
    <w:basedOn w:val="10"/>
    <w:rPr>
      <w:rFonts w:cs="Times New Roman"/>
    </w:rPr>
  </w:style>
  <w:style w:type="paragraph" w:customStyle="1" w:yozoId="4094" w:styleId="26">
    <w:name w:val="BodyText"/>
    <w:qFormat/>
    <w:basedOn w:val="0"/>
    <w:pPr>
      <w:spacing w:after="120"/>
      <w:textAlignment w:val="baseline"/>
    </w:pPr>
  </w:style>
  <w:style w:type="paragraph" w:customStyle="1" w:yozoId="4094" w:styleId="27">
    <w:name w:val="列出段落1"/>
    <w:qFormat/>
    <w:basedOn w:val="0"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yozoId="4094" w:styleId="28">
    <w:name w:val="font31"/>
    <w:qFormat/>
    <w:basedOn w:val="10"/>
    <w:rPr>
      <w:rFonts w:ascii="宋体" w:eastAsia="宋体" w:cs="宋体" w:hAnsi="宋体"/>
      <w:color w:val="000000"/>
      <w:sz w:val="24"/>
      <w:szCs w:val="24"/>
      <w:u w:val="none"/>
    </w:rPr>
  </w:style>
  <w:style w:type="paragraph" w:customStyle="1" w:yozoId="4094" w:styleId="29">
    <w:name w:val="公文正文"/>
    <w:qFormat/>
    <w:basedOn w:val="0"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yozoId="4094" w:styleId="30">
    <w:name w:val="公文:正文"/>
    <w:qFormat/>
    <w:basedOn w:val="0"/>
    <w:rPr>
      <w:rFonts w:ascii="Calibri" w:eastAsia="仿宋" w:hAnsi="Calibri"/>
      <w:sz w:val="32"/>
      <w:szCs w:val="22"/>
    </w:rPr>
  </w:style>
  <w:style w:type="paragraph" w:customStyle="1" w:yozoId="4094" w:styleId="31">
    <w:name w:val="公文:正文(缩进)"/>
    <w:qFormat/>
    <w:basedOn w:val="0"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yozoId="4094" w:styleId="32">
    <w:name w:val="正文1"/>
    <w:qFormat/>
    <w:rPr>
      <w:rFonts w:ascii="Times New Roman" w:eastAsia="宋体" w:cs="Times New Roman" w:hAnsi="Times New Roman"/>
      <w:kern w:val="0"/>
      <w:sz w:val="20"/>
      <w:szCs w:val="20"/>
      <w:lang w:val="en-US" w:eastAsia="zh-CN" w:bidi="ar-SA"/>
    </w:rPr>
  </w:style>
  <w:style w:type="paragraph" w:customStyle="1" w:yozoId="4094" w:styleId="33">
    <w:name w:val="Default"/>
    <w:qFormat/>
    <w:basedOn w:val="32"/>
    <w:next w:val="0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yozoId="4094" w:styleId="34">
    <w:name w:val="CM2"/>
    <w:qFormat/>
    <w:basedOn w:val="0"/>
    <w:next w:val="0"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yozoId="4094" w:styleId="35">
    <w:name w:val="CM16"/>
    <w:qFormat/>
    <w:basedOn w:val="0"/>
    <w:next w:val="0"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E746E00B-8006-4BC7-9682-63E9C71025D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WPS_Yozo_Office9.0.5560.161ZH</Application>
  <Pages>2</Pages>
  <Words>0</Words>
  <Characters>396</Characters>
  <Lines>0</Lines>
  <Paragraphs>22</Paragraphs>
  <CharactersWithSpaces>529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5</cp:revision>
  <cp:lastPrinted>2023-04-07T02:17:00Z</cp:lastPrinted>
  <dcterms:created xsi:type="dcterms:W3CDTF">2025-07-18T02:43:00Z</dcterms:created>
  <dcterms:modified xsi:type="dcterms:W3CDTF">2025-08-12T02:53:30Z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2052-11.8.2.10321</vt:lpwstr>
  </property>
</Properties>
</file>