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00" w:lineRule="exact"/>
        <w:jc w:val="center"/>
        <w:rPr>
          <w:rFonts w:eastAsia="方正小标宋简体"/>
          <w:sz w:val="44"/>
          <w:szCs w:val="44"/>
        </w:rPr>
      </w:pPr>
      <w:r>
        <w:rPr>
          <w:rFonts w:eastAsia="方正小标宋简体" w:hint="eastAsia"/>
          <w:sz w:val="44"/>
          <w:szCs w:val="44"/>
        </w:rPr>
        <w:t>关于对县人大第十七届四次会议</w:t>
      </w:r>
    </w:p>
    <w:p>
      <w:pPr>
        <w:spacing w:line="500" w:lineRule="exact"/>
        <w:jc w:val="center"/>
        <w:rPr>
          <w:rFonts w:eastAsia="方正小标宋简体"/>
          <w:sz w:val="44"/>
          <w:szCs w:val="44"/>
        </w:rPr>
      </w:pPr>
      <w:r>
        <w:rPr>
          <w:rFonts w:eastAsia="方正小标宋简体" w:hint="eastAsia"/>
          <w:sz w:val="44"/>
          <w:szCs w:val="44"/>
        </w:rPr>
        <w:t>第</w:t>
      </w:r>
      <w:r>
        <w:rPr>
          <w:rFonts w:eastAsia="方正小标宋简体"/>
          <w:sz w:val="44"/>
          <w:szCs w:val="44"/>
        </w:rPr>
        <w:t>15</w:t>
      </w:r>
      <w:r>
        <w:rPr>
          <w:rFonts w:eastAsia="方正小标宋简体" w:hint="eastAsia"/>
          <w:sz w:val="44"/>
          <w:szCs w:val="44"/>
        </w:rPr>
        <w:t>号建议的答复</w:t>
      </w:r>
    </w:p>
    <w:p>
      <w:pPr>
        <w:spacing w:line="500" w:lineRule="exact"/>
        <w:rPr>
          <w:szCs w:val="32"/>
        </w:rPr>
      </w:pPr>
    </w:p>
    <w:p>
      <w:pPr>
        <w:spacing w:line="560" w:lineRule="exact"/>
        <w:rPr>
          <w:rFonts w:eastAsia="仿宋_GB2312"/>
          <w:sz w:val="32"/>
          <w:szCs w:val="32"/>
        </w:rPr>
      </w:pPr>
      <w:bookmarkStart w:id="0" w:name="OLE_LINK23"/>
      <w:bookmarkStart w:id="1" w:name="OLE_LINK22"/>
      <w:r>
        <w:rPr>
          <w:rFonts w:eastAsia="仿宋_GB2312" w:hint="eastAsia"/>
          <w:sz w:val="32"/>
          <w:szCs w:val="32"/>
        </w:rPr>
        <w:t>刘</w:t>
      </w:r>
      <w:r>
        <w:rPr>
          <w:rFonts w:eastAsia="仿宋_GB2312"/>
          <w:sz w:val="32"/>
          <w:szCs w:val="32"/>
        </w:rPr>
        <w:t>*</w:t>
      </w:r>
      <w:r>
        <w:rPr>
          <w:rFonts w:eastAsia="仿宋_GB2312" w:hint="eastAsia"/>
          <w:sz w:val="32"/>
          <w:szCs w:val="32"/>
        </w:rPr>
        <w:t>虎、李</w:t>
      </w:r>
      <w:r>
        <w:rPr>
          <w:rFonts w:eastAsia="仿宋_GB2312"/>
          <w:sz w:val="32"/>
          <w:szCs w:val="32"/>
        </w:rPr>
        <w:t>*</w:t>
      </w:r>
      <w:r>
        <w:rPr>
          <w:rFonts w:eastAsia="仿宋_GB2312" w:hint="eastAsia"/>
          <w:sz w:val="32"/>
          <w:szCs w:val="32"/>
        </w:rPr>
        <w:t>文</w:t>
      </w:r>
      <w:bookmarkEnd w:id="0"/>
      <w:bookmarkEnd w:id="1"/>
      <w:r>
        <w:rPr>
          <w:rFonts w:eastAsia="仿宋_GB2312" w:hint="eastAsia"/>
          <w:sz w:val="32"/>
          <w:szCs w:val="32"/>
        </w:rPr>
        <w:t>代表：</w:t>
      </w:r>
    </w:p>
    <w:p>
      <w:pPr>
        <w:spacing w:line="560" w:lineRule="exact"/>
        <w:ind w:firstLineChars="200" w:firstLine="640"/>
        <w:rPr>
          <w:rFonts w:eastAsia="仿宋_GB2312"/>
          <w:sz w:val="32"/>
          <w:szCs w:val="32"/>
        </w:rPr>
      </w:pPr>
      <w:r>
        <w:rPr>
          <w:rFonts w:eastAsia="仿宋_GB2312"/>
          <w:sz w:val="32"/>
          <w:szCs w:val="32"/>
        </w:rPr>
        <w:t>你们</w:t>
      </w:r>
      <w:r>
        <w:rPr>
          <w:rFonts w:eastAsia="仿宋_GB2312" w:hint="eastAsia"/>
          <w:sz w:val="32"/>
          <w:szCs w:val="32"/>
        </w:rPr>
        <w:t>提出的《关于支持省花卉园区设施农用地备案的建议》已收悉，现答复如下：</w:t>
      </w:r>
    </w:p>
    <w:p>
      <w:pPr>
        <w:spacing w:line="560" w:lineRule="exact"/>
        <w:ind w:firstLineChars="200" w:firstLine="640"/>
        <w:rPr>
          <w:rFonts w:eastAsia="黑体"/>
          <w:sz w:val="32"/>
          <w:szCs w:val="32"/>
        </w:rPr>
      </w:pPr>
      <w:r>
        <w:rPr>
          <w:rFonts w:eastAsia="黑体" w:hint="eastAsia"/>
          <w:sz w:val="32"/>
          <w:szCs w:val="32"/>
        </w:rPr>
        <w:t>一、基本情况</w:t>
      </w:r>
    </w:p>
    <w:p>
      <w:pPr>
        <w:spacing w:line="560" w:lineRule="exact"/>
        <w:ind w:firstLineChars="200" w:firstLine="640"/>
        <w:rPr>
          <w:rFonts w:eastAsia="仿宋_GB2312"/>
          <w:sz w:val="32"/>
          <w:szCs w:val="32"/>
        </w:rPr>
      </w:pPr>
      <w:r>
        <w:rPr>
          <w:rFonts w:eastAsia="仿宋_GB2312" w:hint="eastAsia"/>
          <w:sz w:val="32"/>
          <w:szCs w:val="32"/>
        </w:rPr>
        <w:t>依据当前政策，直接利用耕作层种植花卉（除万寿菊外）按园地认定，未利用地表耕作层种植，以棚架、盆栽等方式种植的按设施农用地认定。根据《昆明市农业农村局</w:t>
      </w:r>
      <w:r>
        <w:rPr>
          <w:rFonts w:eastAsia="仿宋_GB2312"/>
          <w:sz w:val="32"/>
          <w:szCs w:val="32"/>
        </w:rPr>
        <w:t xml:space="preserve"> </w:t>
      </w:r>
      <w:r>
        <w:rPr>
          <w:rFonts w:eastAsia="仿宋_GB2312" w:hint="eastAsia"/>
          <w:sz w:val="32"/>
          <w:szCs w:val="32"/>
        </w:rPr>
        <w:t>昆明市自然资源和规划局</w:t>
      </w:r>
      <w:r>
        <w:rPr>
          <w:rFonts w:eastAsia="仿宋_GB2312"/>
          <w:sz w:val="32"/>
          <w:szCs w:val="32"/>
        </w:rPr>
        <w:t xml:space="preserve"> </w:t>
      </w:r>
      <w:r>
        <w:rPr>
          <w:rFonts w:eastAsia="仿宋_GB2312" w:hint="eastAsia"/>
          <w:sz w:val="32"/>
          <w:szCs w:val="32"/>
        </w:rPr>
        <w:t>昆明市林业和草原局关于印发昆明市设施农业用地指导手册的通知》（昆农通〔</w:t>
      </w:r>
      <w:r>
        <w:rPr>
          <w:rFonts w:eastAsia="仿宋_GB2312"/>
          <w:sz w:val="32"/>
          <w:szCs w:val="32"/>
        </w:rPr>
        <w:t>2024</w:t>
      </w:r>
      <w:r>
        <w:rPr>
          <w:rFonts w:eastAsia="仿宋_GB2312" w:hint="eastAsia"/>
          <w:sz w:val="32"/>
          <w:szCs w:val="32"/>
        </w:rPr>
        <w:t>〕</w:t>
      </w:r>
      <w:r>
        <w:rPr>
          <w:rFonts w:eastAsia="仿宋_GB2312"/>
          <w:sz w:val="32"/>
          <w:szCs w:val="32"/>
        </w:rPr>
        <w:t>25</w:t>
      </w:r>
      <w:r>
        <w:rPr>
          <w:rFonts w:eastAsia="仿宋_GB2312" w:hint="eastAsia"/>
          <w:sz w:val="32"/>
          <w:szCs w:val="32"/>
        </w:rPr>
        <w:t>号）设施农业项目占用耕地且地类发生改变的，须先落实耕地进出平衡（</w:t>
      </w:r>
      <w:r>
        <w:rPr>
          <w:rFonts w:eastAsia="仿宋_GB2312"/>
          <w:sz w:val="32"/>
          <w:szCs w:val="32"/>
        </w:rPr>
        <w:t>2024</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28</w:t>
      </w:r>
      <w:r>
        <w:rPr>
          <w:rFonts w:eastAsia="仿宋_GB2312" w:hint="eastAsia"/>
          <w:sz w:val="32"/>
          <w:szCs w:val="32"/>
        </w:rPr>
        <w:t>日起由落实进出平衡变为使用恢复耕地指标落实占补平衡），未直接利用地表耕作层种植农作物的，须进行设施农业用地备案、上图入库。根据</w:t>
      </w:r>
      <w:r>
        <w:rPr>
          <w:rFonts w:eastAsia="仿宋_GB2312"/>
          <w:sz w:val="32"/>
          <w:szCs w:val="32"/>
        </w:rPr>
        <w:t>2021</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sz w:val="32"/>
          <w:szCs w:val="32"/>
        </w:rPr>
        <w:t>27</w:t>
      </w:r>
      <w:r>
        <w:rPr>
          <w:rFonts w:eastAsia="仿宋_GB2312" w:hint="eastAsia"/>
          <w:sz w:val="32"/>
          <w:szCs w:val="32"/>
        </w:rPr>
        <w:t>日，自然资源部、农业农村部、国家林草局印发的《关于严格耕地用途管制有关问题的通知》（自然资发〔</w:t>
      </w:r>
      <w:r>
        <w:rPr>
          <w:rFonts w:eastAsia="仿宋_GB2312"/>
          <w:sz w:val="32"/>
          <w:szCs w:val="32"/>
        </w:rPr>
        <w:t>2021</w:t>
      </w:r>
      <w:r>
        <w:rPr>
          <w:rFonts w:eastAsia="仿宋_GB2312" w:hint="eastAsia"/>
          <w:sz w:val="32"/>
          <w:szCs w:val="32"/>
        </w:rPr>
        <w:t>〕</w:t>
      </w:r>
      <w:r>
        <w:rPr>
          <w:rFonts w:eastAsia="仿宋_GB2312"/>
          <w:sz w:val="32"/>
          <w:szCs w:val="32"/>
        </w:rPr>
        <w:t>166</w:t>
      </w:r>
      <w:r>
        <w:rPr>
          <w:rFonts w:eastAsia="仿宋_GB2312" w:hint="eastAsia"/>
          <w:sz w:val="32"/>
          <w:szCs w:val="32"/>
        </w:rPr>
        <w:t>号）永久基本农田不得转为林地、草地、园地等农用地及农业设施建设用地。</w:t>
      </w:r>
    </w:p>
    <w:p>
      <w:pPr>
        <w:spacing w:line="560" w:lineRule="exact"/>
        <w:ind w:firstLineChars="200" w:firstLine="640"/>
        <w:rPr>
          <w:rFonts w:eastAsia="黑体"/>
          <w:sz w:val="32"/>
          <w:szCs w:val="32"/>
        </w:rPr>
      </w:pPr>
      <w:r>
        <w:rPr>
          <w:rFonts w:eastAsia="黑体" w:hint="eastAsia"/>
          <w:sz w:val="32"/>
          <w:szCs w:val="32"/>
        </w:rPr>
        <w:t>二、意见建议办理情况</w:t>
      </w:r>
    </w:p>
    <w:p>
      <w:pPr>
        <w:pStyle w:val="17"/>
        <w:spacing w:after="0" w:line="560" w:lineRule="exact"/>
        <w:ind w:firstLineChars="200" w:firstLine="640"/>
        <w:rPr>
          <w:rFonts w:eastAsia="仿宋_GB2312"/>
          <w:sz w:val="32"/>
          <w:szCs w:val="32"/>
        </w:rPr>
      </w:pPr>
      <w:r>
        <w:rPr>
          <w:rFonts w:eastAsia="仿宋_GB2312" w:hint="eastAsia"/>
          <w:sz w:val="32"/>
          <w:szCs w:val="32"/>
        </w:rPr>
        <w:t>针对</w:t>
      </w:r>
      <w:r>
        <w:rPr>
          <w:rFonts w:eastAsia="仿宋_GB2312"/>
          <w:sz w:val="32"/>
          <w:szCs w:val="32"/>
        </w:rPr>
        <w:t>“</w:t>
      </w:r>
      <w:r>
        <w:rPr>
          <w:rFonts w:eastAsia="仿宋_GB2312" w:hint="eastAsia"/>
          <w:sz w:val="32"/>
          <w:szCs w:val="32"/>
        </w:rPr>
        <w:t>园地租地范围内有耕地约</w:t>
      </w:r>
      <w:r>
        <w:rPr>
          <w:rFonts w:eastAsia="仿宋_GB2312"/>
          <w:sz w:val="32"/>
          <w:szCs w:val="32"/>
        </w:rPr>
        <w:t>828</w:t>
      </w:r>
      <w:r>
        <w:rPr>
          <w:rFonts w:eastAsia="仿宋_GB2312" w:hint="eastAsia"/>
          <w:sz w:val="32"/>
          <w:szCs w:val="32"/>
        </w:rPr>
        <w:t>亩，其中永久基本农田</w:t>
      </w:r>
      <w:r>
        <w:rPr>
          <w:rFonts w:eastAsia="仿宋_GB2312"/>
          <w:sz w:val="32"/>
          <w:szCs w:val="32"/>
        </w:rPr>
        <w:t>351.48</w:t>
      </w:r>
      <w:r>
        <w:rPr>
          <w:rFonts w:eastAsia="仿宋_GB2312" w:hint="eastAsia"/>
          <w:sz w:val="32"/>
          <w:szCs w:val="32"/>
        </w:rPr>
        <w:t>亩，建议县自然资源局适时调出补划永久基本农田，统筹落实耕地大占补指标，指导办理设施农用地备案和上图入库</w:t>
      </w:r>
      <w:r>
        <w:rPr>
          <w:rFonts w:eastAsia="仿宋_GB2312"/>
          <w:sz w:val="32"/>
          <w:szCs w:val="32"/>
        </w:rPr>
        <w:t>”</w:t>
      </w:r>
      <w:r>
        <w:rPr>
          <w:rFonts w:eastAsia="仿宋_GB2312" w:hint="eastAsia"/>
          <w:sz w:val="32"/>
          <w:szCs w:val="32"/>
        </w:rPr>
        <w:t>问题和建议做如下说明：</w:t>
      </w:r>
    </w:p>
    <w:p>
      <w:pPr>
        <w:spacing w:line="560" w:lineRule="exact"/>
        <w:ind w:firstLineChars="200" w:firstLine="640"/>
        <w:rPr>
          <w:rFonts w:eastAsia="楷体_GB2312"/>
          <w:sz w:val="32"/>
          <w:szCs w:val="32"/>
        </w:rPr>
      </w:pPr>
      <w:r>
        <w:rPr>
          <w:rFonts w:eastAsia="楷体_GB2312" w:hint="eastAsia"/>
          <w:sz w:val="32"/>
          <w:szCs w:val="32"/>
        </w:rPr>
        <w:t>（一）设施农用地备案</w:t>
      </w:r>
    </w:p>
    <w:p>
      <w:pPr>
        <w:pStyle w:val="17"/>
        <w:tabs>
          <w:tab w:val="left" w:pos="6663"/>
        </w:tabs>
        <w:spacing w:after="0" w:line="560" w:lineRule="exact"/>
        <w:ind w:firstLineChars="200" w:firstLine="640"/>
        <w:rPr>
          <w:rFonts w:eastAsia="仿宋_GB2312"/>
          <w:sz w:val="32"/>
          <w:szCs w:val="32"/>
        </w:rPr>
      </w:pPr>
      <w:r>
        <w:rPr>
          <w:rFonts w:eastAsia="仿宋_GB2312" w:hint="eastAsia"/>
          <w:sz w:val="32"/>
          <w:szCs w:val="32"/>
        </w:rPr>
        <w:t>结合《自然资源部、农业农村部关于设施农业用地管理有关问题的通知》（自然资规〔</w:t>
      </w:r>
      <w:r>
        <w:rPr>
          <w:rFonts w:eastAsia="仿宋_GB2312"/>
          <w:sz w:val="32"/>
          <w:szCs w:val="32"/>
        </w:rPr>
        <w:t>2019</w:t>
      </w:r>
      <w:r>
        <w:rPr>
          <w:rFonts w:eastAsia="仿宋_GB2312" w:hint="eastAsia"/>
          <w:sz w:val="32"/>
          <w:szCs w:val="32"/>
        </w:rPr>
        <w:t>〕</w:t>
      </w:r>
      <w:r>
        <w:rPr>
          <w:rFonts w:eastAsia="仿宋_GB2312"/>
          <w:sz w:val="32"/>
          <w:szCs w:val="32"/>
        </w:rPr>
        <w:t>4</w:t>
      </w:r>
      <w:r>
        <w:rPr>
          <w:rFonts w:eastAsia="仿宋_GB2312" w:hint="eastAsia"/>
          <w:sz w:val="32"/>
          <w:szCs w:val="32"/>
        </w:rPr>
        <w:t>号），《云南省自然资源厅、云南省农业农村厅关于进一步改进设施农业用地管理有关问题的通知》（云自然资规〔</w:t>
      </w:r>
      <w:r>
        <w:rPr>
          <w:rFonts w:eastAsia="仿宋_GB2312"/>
          <w:sz w:val="32"/>
          <w:szCs w:val="32"/>
        </w:rPr>
        <w:t>2020</w:t>
      </w:r>
      <w:r>
        <w:rPr>
          <w:rFonts w:eastAsia="仿宋_GB2312" w:hint="eastAsia"/>
          <w:sz w:val="32"/>
          <w:szCs w:val="32"/>
        </w:rPr>
        <w:t>〕</w:t>
      </w:r>
      <w:r>
        <w:rPr>
          <w:rFonts w:eastAsia="仿宋_GB2312"/>
          <w:sz w:val="32"/>
          <w:szCs w:val="32"/>
        </w:rPr>
        <w:t>6</w:t>
      </w:r>
      <w:r>
        <w:rPr>
          <w:rFonts w:eastAsia="仿宋_GB2312" w:hint="eastAsia"/>
          <w:sz w:val="32"/>
          <w:szCs w:val="32"/>
        </w:rPr>
        <w:t>号）《昆明市农业农村局</w:t>
      </w:r>
      <w:r>
        <w:rPr>
          <w:rFonts w:eastAsia="仿宋_GB2312"/>
          <w:sz w:val="32"/>
          <w:szCs w:val="32"/>
        </w:rPr>
        <w:t xml:space="preserve"> </w:t>
      </w:r>
      <w:r>
        <w:rPr>
          <w:rFonts w:eastAsia="仿宋_GB2312" w:hint="eastAsia"/>
          <w:sz w:val="32"/>
          <w:szCs w:val="32"/>
        </w:rPr>
        <w:t>昆明市自然资源和规划局</w:t>
      </w:r>
      <w:r>
        <w:rPr>
          <w:rFonts w:eastAsia="仿宋_GB2312"/>
          <w:sz w:val="32"/>
          <w:szCs w:val="32"/>
        </w:rPr>
        <w:t xml:space="preserve"> </w:t>
      </w:r>
      <w:r>
        <w:rPr>
          <w:rFonts w:eastAsia="仿宋_GB2312" w:hint="eastAsia"/>
          <w:sz w:val="32"/>
          <w:szCs w:val="32"/>
        </w:rPr>
        <w:t>昆明市林业和草原局关于印发昆明市设施农业用地指导手册的通知》（昆农通〔</w:t>
      </w:r>
      <w:r>
        <w:rPr>
          <w:rFonts w:eastAsia="仿宋_GB2312"/>
          <w:sz w:val="32"/>
          <w:szCs w:val="32"/>
        </w:rPr>
        <w:t>2024</w:t>
      </w:r>
      <w:r>
        <w:rPr>
          <w:rFonts w:eastAsia="仿宋_GB2312" w:hint="eastAsia"/>
          <w:sz w:val="32"/>
          <w:szCs w:val="32"/>
        </w:rPr>
        <w:t>〕</w:t>
      </w:r>
      <w:r>
        <w:rPr>
          <w:rFonts w:eastAsia="仿宋_GB2312"/>
          <w:sz w:val="32"/>
          <w:szCs w:val="32"/>
        </w:rPr>
        <w:t>25</w:t>
      </w:r>
      <w:r>
        <w:rPr>
          <w:rFonts w:eastAsia="仿宋_GB2312" w:hint="eastAsia"/>
          <w:sz w:val="32"/>
          <w:szCs w:val="32"/>
        </w:rPr>
        <w:t>号）等文件，由乡镇人民政府对符合设施农业用地的项目办理备案手续，县自然资源局上图入库。设施农业用地包括农业生产中直接用于作物种植和畜禽水产养殖的设施用地，分为生产设施用地和辅助设施用地。</w:t>
      </w:r>
      <w:r>
        <w:rPr>
          <w:rFonts w:eastAsia="仿宋_GB2312" w:hint="eastAsia"/>
          <w:b/>
          <w:sz w:val="32"/>
          <w:szCs w:val="32"/>
        </w:rPr>
        <w:t>生产设施用地</w:t>
      </w:r>
      <w:r>
        <w:rPr>
          <w:rFonts w:eastAsia="仿宋_GB2312" w:hint="eastAsia"/>
          <w:sz w:val="32"/>
          <w:szCs w:val="32"/>
        </w:rPr>
        <w:t>指直接用于作物种植、畜禽水产养殖的用地，</w:t>
      </w:r>
      <w:r>
        <w:rPr>
          <w:rFonts w:eastAsia="仿宋_GB2312" w:hint="eastAsia"/>
          <w:b/>
          <w:sz w:val="32"/>
          <w:szCs w:val="32"/>
        </w:rPr>
        <w:t>辅助设施用地</w:t>
      </w:r>
      <w:r>
        <w:rPr>
          <w:rFonts w:eastAsia="仿宋_GB2312" w:hint="eastAsia"/>
          <w:sz w:val="32"/>
          <w:szCs w:val="32"/>
        </w:rPr>
        <w:t>指直接服务于种养殖的看护房、农具原料农产品存放、检疫防疫、保鲜储藏等设施用地。设施农用地备案范围、资料清单可参考昆农通〔</w:t>
      </w:r>
      <w:r>
        <w:rPr>
          <w:rFonts w:eastAsia="仿宋_GB2312"/>
          <w:sz w:val="32"/>
          <w:szCs w:val="32"/>
        </w:rPr>
        <w:t>2024</w:t>
      </w:r>
      <w:r>
        <w:rPr>
          <w:rFonts w:eastAsia="仿宋_GB2312" w:hint="eastAsia"/>
          <w:sz w:val="32"/>
          <w:szCs w:val="32"/>
        </w:rPr>
        <w:t>〕</w:t>
      </w:r>
      <w:r>
        <w:rPr>
          <w:rFonts w:eastAsia="仿宋_GB2312"/>
          <w:sz w:val="32"/>
          <w:szCs w:val="32"/>
        </w:rPr>
        <w:t>25</w:t>
      </w:r>
      <w:r>
        <w:rPr>
          <w:rFonts w:eastAsia="仿宋_GB2312" w:hint="eastAsia"/>
          <w:sz w:val="32"/>
          <w:szCs w:val="32"/>
        </w:rPr>
        <w:t>号等有关文件。</w:t>
      </w:r>
    </w:p>
    <w:p>
      <w:pPr>
        <w:pStyle w:val="17"/>
        <w:spacing w:after="0" w:line="560" w:lineRule="exact"/>
        <w:ind w:firstLineChars="200" w:firstLine="640"/>
        <w:rPr>
          <w:rFonts w:eastAsia="楷体_GB2312"/>
          <w:sz w:val="32"/>
          <w:szCs w:val="32"/>
        </w:rPr>
      </w:pPr>
      <w:r>
        <w:rPr>
          <w:rFonts w:eastAsia="楷体_GB2312" w:hint="eastAsia"/>
          <w:sz w:val="32"/>
          <w:szCs w:val="32"/>
        </w:rPr>
        <w:t>（二）永久基本农田调出</w:t>
      </w:r>
    </w:p>
    <w:p>
      <w:pPr>
        <w:pStyle w:val="17"/>
        <w:spacing w:after="0" w:line="560" w:lineRule="exact"/>
        <w:ind w:firstLineChars="200" w:firstLine="640"/>
        <w:rPr>
          <w:rFonts w:eastAsia="仿宋_GB2312"/>
          <w:sz w:val="32"/>
          <w:szCs w:val="32"/>
        </w:rPr>
      </w:pPr>
      <w:r>
        <w:rPr>
          <w:rFonts w:eastAsia="仿宋_GB2312" w:hint="eastAsia"/>
          <w:sz w:val="32"/>
          <w:szCs w:val="32"/>
        </w:rPr>
        <w:t>昆明市下达嵩明县永久基本农田保护目标</w:t>
      </w:r>
      <w:r>
        <w:rPr>
          <w:rFonts w:eastAsia="仿宋_GB2312"/>
          <w:sz w:val="32"/>
          <w:szCs w:val="32"/>
        </w:rPr>
        <w:t>27.88</w:t>
      </w:r>
      <w:r>
        <w:rPr>
          <w:rFonts w:eastAsia="仿宋_GB2312" w:hint="eastAsia"/>
          <w:sz w:val="32"/>
          <w:szCs w:val="32"/>
        </w:rPr>
        <w:t>万亩，保护任务压力大，在国家允许更新调整永久基本农田时积极申请将农业园区内永久基本农田逐步调整补划。</w:t>
      </w:r>
    </w:p>
    <w:p>
      <w:pPr>
        <w:pStyle w:val="17"/>
        <w:spacing w:after="0" w:line="560" w:lineRule="exact"/>
        <w:ind w:firstLineChars="200" w:firstLine="640"/>
        <w:rPr>
          <w:rFonts w:eastAsia="楷体_GB2312"/>
          <w:sz w:val="32"/>
          <w:szCs w:val="32"/>
        </w:rPr>
      </w:pPr>
      <w:r>
        <w:rPr>
          <w:rFonts w:eastAsia="楷体_GB2312" w:hint="eastAsia"/>
          <w:sz w:val="32"/>
          <w:szCs w:val="32"/>
        </w:rPr>
        <w:t>（三）耕地大占补指标</w:t>
      </w:r>
    </w:p>
    <w:p>
      <w:pPr>
        <w:pStyle w:val="17"/>
        <w:spacing w:after="0" w:line="560" w:lineRule="exact"/>
        <w:ind w:firstLineChars="200" w:firstLine="640"/>
        <w:rPr>
          <w:rFonts w:eastAsia="仿宋_GB2312"/>
          <w:sz w:val="32"/>
          <w:szCs w:val="32"/>
        </w:rPr>
      </w:pPr>
      <w:r>
        <w:rPr>
          <w:rFonts w:eastAsia="仿宋_GB2312"/>
          <w:sz w:val="32"/>
          <w:szCs w:val="32"/>
        </w:rPr>
        <w:t>2024</w:t>
      </w:r>
      <w:r>
        <w:rPr>
          <w:rFonts w:eastAsia="仿宋_GB2312" w:hint="eastAsia"/>
          <w:sz w:val="32"/>
          <w:szCs w:val="32"/>
        </w:rPr>
        <w:t>年嵩明县入库恢复耕地指标</w:t>
      </w:r>
      <w:r>
        <w:rPr>
          <w:rFonts w:eastAsia="仿宋_GB2312"/>
          <w:sz w:val="32"/>
          <w:szCs w:val="32"/>
        </w:rPr>
        <w:t>7956</w:t>
      </w:r>
      <w:r>
        <w:rPr>
          <w:rFonts w:eastAsia="仿宋_GB2312" w:hint="eastAsia"/>
          <w:sz w:val="32"/>
          <w:szCs w:val="32"/>
        </w:rPr>
        <w:t>亩，用于落实符合村庄规划农村宅基地、农村公共管理和服务设施、农村道路、沟渠、农业结构调整、水库淹没区占用耕地占补平衡指标。参照占补平衡指标管理办法，符合大占补政策的项目原则由各行政使用本辖区内恢复耕地指标进行补充，本辖区内无法自主平衡的县内统筹调剂。为解决该问题，我局草拟了</w:t>
      </w:r>
      <w:r>
        <w:rPr>
          <w:rFonts w:eastAsia="仿宋_GB2312"/>
          <w:sz w:val="32"/>
          <w:szCs w:val="32"/>
        </w:rPr>
        <w:t xml:space="preserve"> </w:t>
      </w:r>
      <w:r>
        <w:rPr>
          <w:rFonts w:eastAsia="仿宋_GB2312" w:hint="eastAsia"/>
          <w:sz w:val="32"/>
          <w:szCs w:val="32"/>
        </w:rPr>
        <w:t>《统筹恢复耕地指标的管理实施意见》，待省市</w:t>
      </w:r>
      <w:r>
        <w:rPr>
          <w:rFonts w:eastAsia="仿宋_GB2312"/>
          <w:sz w:val="32"/>
          <w:szCs w:val="32"/>
        </w:rPr>
        <w:t>“</w:t>
      </w:r>
      <w:r>
        <w:rPr>
          <w:rFonts w:eastAsia="仿宋_GB2312" w:hint="eastAsia"/>
          <w:sz w:val="32"/>
          <w:szCs w:val="32"/>
        </w:rPr>
        <w:t>大占补</w:t>
      </w:r>
      <w:r>
        <w:rPr>
          <w:rFonts w:eastAsia="仿宋_GB2312"/>
          <w:sz w:val="32"/>
          <w:szCs w:val="32"/>
        </w:rPr>
        <w:t>”</w:t>
      </w:r>
      <w:r>
        <w:rPr>
          <w:rFonts w:eastAsia="仿宋_GB2312" w:hint="eastAsia"/>
          <w:sz w:val="32"/>
          <w:szCs w:val="32"/>
        </w:rPr>
        <w:t>调剂、管理相关文件出台后，将其进行完善修改后印发实施。</w:t>
      </w:r>
    </w:p>
    <w:p>
      <w:pPr>
        <w:pStyle w:val="17"/>
        <w:spacing w:after="0" w:line="560" w:lineRule="exact"/>
        <w:ind w:firstLineChars="200" w:firstLine="640"/>
        <w:rPr>
          <w:rFonts w:eastAsia="黑体"/>
          <w:sz w:val="32"/>
          <w:szCs w:val="32"/>
        </w:rPr>
      </w:pPr>
      <w:r>
        <w:rPr>
          <w:rFonts w:eastAsia="黑体" w:hint="eastAsia"/>
          <w:sz w:val="32"/>
          <w:szCs w:val="32"/>
        </w:rPr>
        <w:t>三、下一步工作方向</w:t>
      </w:r>
    </w:p>
    <w:p>
      <w:pPr>
        <w:pStyle w:val="17"/>
        <w:spacing w:after="0" w:line="560" w:lineRule="exact"/>
        <w:ind w:firstLineChars="200" w:firstLine="640"/>
        <w:rPr>
          <w:rFonts w:eastAsia="仿宋_GB2312"/>
          <w:sz w:val="32"/>
          <w:szCs w:val="32"/>
        </w:rPr>
      </w:pPr>
      <w:r>
        <w:rPr>
          <w:rFonts w:eastAsia="仿宋_GB2312" w:hint="eastAsia"/>
          <w:sz w:val="32"/>
          <w:szCs w:val="32"/>
        </w:rPr>
        <w:t>及时传达上级设施农用地相关政策、加快拟定统筹恢复耕地指标的管理实施意见。感谢</w:t>
      </w:r>
      <w:r>
        <w:rPr>
          <w:rFonts w:eastAsia="仿宋_GB2312"/>
          <w:sz w:val="32"/>
          <w:szCs w:val="32"/>
        </w:rPr>
        <w:t>你们</w:t>
      </w:r>
      <w:bookmarkStart w:id="2" w:name="_GoBack"/>
      <w:bookmarkEnd w:id="2"/>
      <w:r>
        <w:rPr>
          <w:rFonts w:eastAsia="仿宋_GB2312" w:hint="eastAsia"/>
          <w:sz w:val="32"/>
          <w:szCs w:val="32"/>
        </w:rPr>
        <w:t>对设施农用地相关工作的关心和支持。</w:t>
      </w:r>
    </w:p>
    <w:p>
      <w:pPr>
        <w:pStyle w:val="15"/>
        <w:spacing w:line="560" w:lineRule="exact"/>
      </w:pPr>
      <w:r>
        <w:rPr>
          <w:rFonts w:eastAsia="仿宋_GB2312" w:hint="eastAsia"/>
          <w:sz w:val="32"/>
          <w:szCs w:val="32"/>
        </w:rPr>
        <w:t>（联系人及电话：马</w:t>
      </w:r>
      <w:r>
        <w:rPr>
          <w:rFonts w:eastAsia="仿宋_GB2312"/>
          <w:sz w:val="32"/>
          <w:szCs w:val="32"/>
        </w:rPr>
        <w:t>女士</w:t>
      </w:r>
      <w:r>
        <w:rPr>
          <w:rFonts w:eastAsia="仿宋_GB2312" w:hint="eastAsia"/>
          <w:sz w:val="32"/>
          <w:szCs w:val="32"/>
          <w:lang w:val="en-US" w:eastAsia="zh-CN"/>
        </w:rPr>
        <w:t xml:space="preserve"> </w:t>
      </w:r>
      <w:r>
        <w:rPr>
          <w:rFonts w:eastAsia="仿宋_GB2312"/>
          <w:sz w:val="32"/>
          <w:szCs w:val="32"/>
        </w:rPr>
        <w:t>0871-67921772</w:t>
      </w:r>
      <w:r>
        <w:rPr>
          <w:rFonts w:eastAsia="仿宋_GB2312" w:hint="eastAsia"/>
          <w:sz w:val="32"/>
          <w:szCs w:val="32"/>
        </w:rPr>
        <w:t>）</w:t>
      </w:r>
    </w:p>
    <w:p>
      <w:pPr>
        <w:ind w:firstLineChars="200" w:firstLine="640"/>
        <w:rPr>
          <w:rFonts w:eastAsia="仿宋_GB2312" w:hint="eastAsia"/>
          <w:sz w:val="32"/>
          <w:szCs w:val="32"/>
        </w:rPr>
      </w:pPr>
      <w:r>
        <w:rPr>
          <w:rFonts w:eastAsia="仿宋_GB2312" w:hint="eastAsia"/>
          <w:sz w:val="32"/>
          <w:szCs w:val="32"/>
        </w:rPr>
        <w:t>公示时限:5 个工作日(202</w:t>
      </w:r>
      <w:r>
        <w:rPr>
          <w:rFonts w:eastAsia="仿宋_GB2312"/>
          <w:sz w:val="32"/>
          <w:szCs w:val="32"/>
        </w:rPr>
        <w:t>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18</w:t>
      </w:r>
      <w:r>
        <w:rPr>
          <w:rFonts w:eastAsia="仿宋_GB2312" w:hint="eastAsia"/>
          <w:sz w:val="32"/>
          <w:szCs w:val="32"/>
        </w:rPr>
        <w:t>日—202</w:t>
      </w:r>
      <w:r>
        <w:rPr>
          <w:rFonts w:eastAsia="仿宋_GB2312"/>
          <w:sz w:val="32"/>
          <w:szCs w:val="32"/>
        </w:rPr>
        <w:t>5</w:t>
      </w:r>
      <w:r>
        <w:rPr>
          <w:rFonts w:eastAsia="仿宋_GB2312" w:hint="eastAsia"/>
          <w:sz w:val="32"/>
          <w:szCs w:val="32"/>
        </w:rPr>
        <w:t xml:space="preserve"> 年8月</w:t>
      </w:r>
      <w:r>
        <w:rPr>
          <w:rFonts w:eastAsia="仿宋_GB2312"/>
          <w:sz w:val="32"/>
          <w:szCs w:val="32"/>
        </w:rPr>
        <w:t>22</w:t>
      </w:r>
      <w:r>
        <w:rPr>
          <w:rFonts w:eastAsia="仿宋_GB2312" w:hint="eastAsia"/>
          <w:sz w:val="32"/>
          <w:szCs w:val="32"/>
        </w:rPr>
        <w:t>日）</w:t>
      </w:r>
    </w:p>
    <w:p>
      <w:pPr>
        <w:pStyle w:val="15"/>
      </w:pPr>
    </w:p>
    <w:p/>
    <w:p>
      <w:pPr>
        <w:pStyle w:val="15"/>
      </w:pPr>
    </w:p>
    <w:p>
      <w:pPr>
        <w:spacing w:line="560" w:lineRule="exact"/>
        <w:ind w:rightChars="400" w:right="1120"/>
        <w:jc w:val="right"/>
        <w:rPr>
          <w:rFonts w:eastAsia="仿宋_GB2312"/>
          <w:sz w:val="32"/>
          <w:szCs w:val="32"/>
        </w:rPr>
      </w:pPr>
      <w:r>
        <w:rPr>
          <w:rFonts w:eastAsia="仿宋_GB2312" w:hint="eastAsia"/>
          <w:sz w:val="32"/>
          <w:szCs w:val="32"/>
        </w:rPr>
        <w:t>嵩明县自然资源局</w:t>
      </w:r>
    </w:p>
    <w:p>
      <w:pPr>
        <w:spacing w:line="560" w:lineRule="exact"/>
        <w:ind w:rightChars="400" w:right="1120"/>
        <w:jc w:val="right"/>
        <w:rPr>
          <w:rFonts w:eastAsia="仿宋_GB2312"/>
          <w:sz w:val="32"/>
          <w:szCs w:val="32"/>
        </w:rPr>
      </w:pPr>
      <w:r>
        <w:rPr>
          <w:rFonts w:eastAsia="仿宋_GB2312"/>
          <w:sz w:val="32"/>
          <w:szCs w:val="32"/>
        </w:rPr>
        <w:t>2025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lang w:val="en-US" w:eastAsia="zh-CN"/>
        </w:rPr>
        <w:t>8</w:t>
      </w:r>
      <w:r>
        <w:rPr>
          <w:rFonts w:eastAsia="仿宋_GB2312" w:hint="eastAsia"/>
          <w:sz w:val="32"/>
          <w:szCs w:val="32"/>
        </w:rPr>
        <w:t>日</w:t>
      </w:r>
    </w:p>
    <w:p>
      <w:pPr>
        <w:spacing w:line="560" w:lineRule="exact"/>
        <w:ind w:rightChars="400" w:right="1120"/>
        <w:jc w:val="right"/>
        <w:rPr>
          <w:rFonts w:ascii="仿宋_GB2312" w:eastAsia="仿宋_GB2312"/>
          <w:sz w:val="32"/>
          <w:szCs w:val="32"/>
        </w:rPr>
      </w:pPr>
    </w:p>
    <w:p>
      <w:pPr>
        <w:spacing w:line="560" w:lineRule="exact"/>
        <w:rPr>
          <w:rFonts w:eastAsia="仿宋_GB2312"/>
          <w:sz w:val="32"/>
          <w:szCs w:val="32"/>
        </w:rPr>
      </w:pPr>
    </w:p>
    <w:p>
      <w:pPr>
        <w:pStyle w:val="24"/>
        <w:ind w:leftChars="0" w:left="0" w:firstLineChars="0" w:firstLine="0"/>
        <w:rPr>
          <w:sz w:val="32"/>
          <w:szCs w:val="32"/>
        </w:rPr>
      </w:pPr>
    </w:p>
    <w:sectPr>
      <w:headerReference w:type="default" r:id="rId2"/>
      <w:footerReference w:type="default" r:id="rId3"/>
      <w:footerReference w:type="even" r:id="rId4"/>
      <w:pgSz w:w="11906" w:h="16838"/>
      <w:pgMar w:top="2098" w:right="1474" w:bottom="1984" w:left="1587" w:header="851" w:footer="1417" w:gutter="0"/>
      <w:pgNumType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86"/>
    <w:family w:val="auto"/>
    <w:pitch w:val="variable"/>
    <w:sig w:usb0="00000003" w:usb1="288F0000" w:usb2="00000006" w:usb3="00000000" w:csb0="00040001"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楷体_GB2312">
    <w:altName w:val="方正楷体_GBK"/>
    <w:panose1 w:val="02010609030101010101"/>
    <w:charset w:val="86"/>
    <w:family w:val="modern"/>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Calibri">
    <w:altName w:val="DejaVu Sans"/>
    <w:panose1 w:val="020F0502020204030204"/>
    <w:charset w:val="00"/>
    <w:family w:val="swiss"/>
    <w:pitch w:val="variable"/>
    <w:sig w:usb0="E00002FF" w:usb1="4000ACFF" w:usb2="00000001" w:usb3="00000000" w:csb0="2000019F"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360"/>
    </w:pPr>
    <w: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11104" cy="291629"/>
              <wp:wrapNone/>
              <wp:docPr id="2049" name="_x0000_s2049"/>
              <wp:cNvGraphicFramePr>
                <a:graphicFrameLocks noChangeAspect="0"/>
              </wp:cNvGraphicFramePr>
              <a:graphic>
                <a:graphicData uri="http://schemas.microsoft.com/office/word/2010/wordprocessingShape">
                  <wps:wsp>
                    <wps:cNvSpPr/>
                    <wps:spPr>
                      <a:xfrm rot="0">
                        <a:off x="0" y="0"/>
                        <a:ext cx="511104" cy="291629"/>
                      </a:xfrm>
                      <a:prstGeom prst="rect"/>
                      <a:noFill/>
                      <a:ln w="9525" cmpd="sng" cap="flat">
                        <a:noFill/>
                        <a:prstDash val="solid"/>
                        <a:miter/>
                      </a:ln>
                    </wps:spPr>
                    <wps:txbx id="1">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shape type="#_x0000_t202" id="_x0000_s2049" o:spid="_x0000_s2" filled="f" stroked="f" style="position:absolute;margin-left:0.0pt;margin-top:0.0pt;width:40.244453pt;height:22.96296pt;z-index:12;mso-position-horizontal:outside;mso-position-horizontal-relative:margin;mso-position-vertical:absolute;mso-wrap-style:none;">
              <v:stroke color="#000000"/>
              <v:textbox id="848" inset="0mm,0mm,0mm,0mm" o:insetmode="custom" style="layout-flow:horizontal;v-text-anchor:top;mso-fit-shape-to-text:t;">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4</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21"/>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DocumentID" w:val="{E83A6EA8-D85D-499D-92A1-306811C837D1}"/>
    <w:docVar w:name="DocumentName" w:val="57.?????????????¨²?¡¤?¡Â???????????¡§???¨²???¨´?????????????????????¨²???¨®?????¡ã¡ã?¡À¨º???????¨ª??3??¡ã¨¨?????¡§?¨¨?????????¡À???????¨²??"/>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next w:val="15"/>
    <w:pPr>
      <w:widowControl w:val="0"/>
      <w:spacing w:line="360" w:lineRule="auto"/>
      <w:jc w:val="both"/>
    </w:pPr>
    <w:rPr>
      <w:rFonts w:ascii="Times New Roman" w:eastAsia="宋体" w:cs="Times New Roman" w:hAnsi="Times New Roman"/>
      <w:kern w:val="2"/>
      <w:sz w:val="28"/>
      <w:szCs w:val="24"/>
      <w:lang w:val="en-US" w:eastAsia="zh-CN" w:bidi="ar-SA"/>
    </w:rPr>
  </w:style>
  <w:style w:type="paragraph" w:styleId="1">
    <w:name w:val="heading 1"/>
    <w:qFormat/>
    <w:basedOn w:val="0"/>
    <w:locked/>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line="560" w:lineRule="exact"/>
      <w:ind w:firstLineChars="200" w:firstLine="200"/>
      <w:outlineLvl w:val="1"/>
    </w:pPr>
    <w:rPr>
      <w:rFonts w:ascii="Arial" w:eastAsia="楷体_GB2312" w:hAnsi="Arial"/>
      <w:b/>
      <w:bCs/>
      <w:szCs w:val="32"/>
    </w:rPr>
  </w:style>
  <w:style w:type="character" w:customStyle="1" w:styleId="2Char">
    <w:name w:val="heading 2 Char"/>
    <w:basedOn w:val="10"/>
    <w:link w:val="2"/>
    <w:rPr>
      <w:rFonts w:ascii="Arial" w:eastAsia="楷体_GB2312" w:cs="Times New Roman" w:hAnsi="Arial"/>
      <w:b/>
      <w:bCs/>
      <w:kern w:val="2"/>
      <w:sz w:val="28"/>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next w:val="0"/>
    <w:pPr>
      <w:ind w:firstLineChars="200" w:firstLine="200"/>
    </w:pPr>
  </w:style>
  <w:style w:type="paragraph" w:styleId="16">
    <w:name w:val="annotation text"/>
    <w:qFormat/>
    <w:basedOn w:val="0"/>
    <w:pPr>
      <w:jc w:val="left"/>
    </w:pPr>
  </w:style>
  <w:style w:type="paragraph" w:styleId="17">
    <w:name w:val="Body Text"/>
    <w:qFormat/>
    <w:basedOn w:val="0"/>
    <w:pPr>
      <w:spacing w:after="120"/>
    </w:pPr>
  </w:style>
  <w:style w:type="paragraph" w:styleId="18">
    <w:name w:val="Body Text Indent"/>
    <w:qFormat/>
    <w:basedOn w:val="0"/>
    <w:pPr>
      <w:spacing w:after="120"/>
      <w:ind w:leftChars="200" w:left="200"/>
    </w:pPr>
  </w:style>
  <w:style w:type="paragraph" w:styleId="19">
    <w:name w:val="Date"/>
    <w:qFormat/>
    <w:basedOn w:val="0"/>
    <w:next w:val="0"/>
    <w:pPr>
      <w:ind w:leftChars="2500" w:left="2500"/>
    </w:pPr>
  </w:style>
  <w:style w:type="paragraph" w:styleId="20">
    <w:name w:val="Balloon Text"/>
    <w:qFormat/>
    <w:basedOn w:val="0"/>
    <w:rPr>
      <w:sz w:val="18"/>
      <w:szCs w:val="18"/>
    </w:rPr>
  </w:style>
  <w:style w:type="paragraph" w:styleId="21">
    <w:name w:val="footer"/>
    <w:qFormat/>
    <w:basedOn w:val="0"/>
    <w:pPr>
      <w:tabs>
        <w:tab w:val="center" w:pos="4153"/>
        <w:tab w:val="right" w:pos="8306"/>
      </w:tabs>
      <w:snapToGrid w:val="0"/>
      <w:spacing w:line="240" w:lineRule="auto"/>
      <w:jc w:val="left"/>
    </w:pPr>
    <w:rPr>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Normal (Web)"/>
    <w:qFormat/>
    <w:basedOn w:val="0"/>
    <w:pPr>
      <w:widowControl/>
      <w:shd w:val="clear" w:color="auto" w:fill="FFFFFF"/>
      <w:spacing w:line="550" w:lineRule="exact"/>
      <w:ind w:firstLineChars="200" w:firstLine="200"/>
      <w:jc w:val="left"/>
    </w:pPr>
    <w:rPr>
      <w:rFonts w:ascii="仿宋_GB2312" w:eastAsia="仿宋_GB2312"/>
      <w:sz w:val="32"/>
      <w:szCs w:val="30"/>
    </w:rPr>
  </w:style>
  <w:style w:type="paragraph" w:styleId="24">
    <w:name w:val="Body Text First Indent 2"/>
    <w:qFormat/>
    <w:basedOn w:val="18"/>
    <w:pPr>
      <w:spacing w:line="240" w:lineRule="auto"/>
      <w:ind w:firstLineChars="200" w:firstLine="200"/>
    </w:pPr>
    <w:rPr>
      <w:rFonts w:eastAsia="仿宋_GB2312"/>
      <w:sz w:val="32"/>
      <w:szCs w:val="20"/>
    </w:rPr>
  </w:style>
  <w:style w:type="character" w:styleId="25">
    <w:name w:val="page number"/>
    <w:qFormat/>
    <w:basedOn w:val="10"/>
    <w:rPr>
      <w:rFonts w:cs="Times New Roman"/>
    </w:rPr>
  </w:style>
  <w:style w:type="paragraph" w:customStyle="1" w:yozoId="4094" w:styleId="26">
    <w:name w:val="BodyText"/>
    <w:qFormat/>
    <w:basedOn w:val="0"/>
    <w:pPr>
      <w:spacing w:after="120"/>
      <w:textAlignment w:val="baseline"/>
    </w:pPr>
  </w:style>
  <w:style w:type="paragraph" w:customStyle="1" w:yozoId="4094" w:styleId="27">
    <w:name w:val="列出段落1"/>
    <w:qFormat/>
    <w:basedOn w:val="0"/>
    <w:pPr>
      <w:spacing w:line="240" w:lineRule="auto"/>
      <w:ind w:firstLineChars="200" w:firstLine="200"/>
    </w:pPr>
    <w:rPr>
      <w:rFonts w:ascii="Calibri" w:hAnsi="Calibri"/>
      <w:sz w:val="21"/>
      <w:szCs w:val="22"/>
    </w:rPr>
  </w:style>
  <w:style w:type="character" w:customStyle="1" w:yozoId="4094" w:styleId="28">
    <w:name w:val="font31"/>
    <w:qFormat/>
    <w:basedOn w:val="10"/>
    <w:rPr>
      <w:rFonts w:ascii="宋体" w:eastAsia="宋体" w:cs="宋体" w:hAnsi="宋体"/>
      <w:color w:val="000000"/>
      <w:sz w:val="24"/>
      <w:szCs w:val="24"/>
      <w:u w:val="none"/>
    </w:rPr>
  </w:style>
  <w:style w:type="paragraph" w:customStyle="1" w:yozoId="4094" w:styleId="29">
    <w:name w:val="公文正文"/>
    <w:qFormat/>
    <w:basedOn w:val="0"/>
    <w:pPr>
      <w:spacing w:line="240" w:lineRule="atLeast"/>
      <w:ind w:firstLineChars="200" w:firstLine="200"/>
    </w:pPr>
    <w:rPr>
      <w:rFonts w:ascii="仿宋_GB2312" w:eastAsia="仿宋_GB2312" w:cs="宋体"/>
      <w:color w:val="000000"/>
      <w:kern w:val="0"/>
      <w:sz w:val="32"/>
      <w:szCs w:val="20"/>
    </w:rPr>
  </w:style>
  <w:style w:type="paragraph" w:customStyle="1" w:yozoId="4094" w:styleId="30">
    <w:name w:val="公文:正文"/>
    <w:qFormat/>
    <w:basedOn w:val="0"/>
    <w:rPr>
      <w:rFonts w:ascii="Calibri" w:eastAsia="仿宋" w:hAnsi="Calibri"/>
      <w:sz w:val="32"/>
      <w:szCs w:val="22"/>
    </w:rPr>
  </w:style>
  <w:style w:type="paragraph" w:customStyle="1" w:yozoId="4094" w:styleId="31">
    <w:name w:val="公文:正文(缩进)"/>
    <w:qFormat/>
    <w:basedOn w:val="0"/>
    <w:pPr>
      <w:ind w:firstLineChars="200" w:firstLine="200"/>
    </w:pPr>
    <w:rPr>
      <w:rFonts w:ascii="Calibri" w:eastAsia="仿宋" w:hAnsi="Calibri"/>
      <w:sz w:val="32"/>
      <w:szCs w:val="22"/>
    </w:rPr>
  </w:style>
  <w:style w:type="paragraph" w:customStyle="1" w:yozoId="4094" w:styleId="32">
    <w:name w:val="正文1"/>
    <w:qFormat/>
    <w:rPr>
      <w:rFonts w:ascii="Times New Roman" w:eastAsia="宋体" w:cs="Times New Roman" w:hAnsi="Times New Roman"/>
      <w:kern w:val="0"/>
      <w:sz w:val="20"/>
      <w:szCs w:val="20"/>
      <w:lang w:val="en-US" w:eastAsia="zh-CN" w:bidi="ar-SA"/>
    </w:rPr>
  </w:style>
  <w:style w:type="paragraph" w:customStyle="1" w:yozoId="4094" w:styleId="33">
    <w:name w:val="Default"/>
    <w:qFormat/>
    <w:basedOn w:val="32"/>
    <w:next w:val="0"/>
    <w:pPr>
      <w:widowControl w:val="0"/>
      <w:autoSpaceDE w:val="0"/>
      <w:autoSpaceDN w:val="0"/>
      <w:adjustRightInd w:val="0"/>
    </w:pPr>
    <w:rPr>
      <w:rFonts w:ascii="宋体" w:hAnsi="宋体"/>
      <w:color w:val="000000"/>
      <w:sz w:val="24"/>
    </w:rPr>
  </w:style>
  <w:style w:type="paragraph" w:customStyle="1" w:yozoId="4094" w:styleId="34">
    <w:name w:val="CM2"/>
    <w:qFormat/>
    <w:basedOn w:val="0"/>
    <w:next w:val="0"/>
    <w:pPr>
      <w:autoSpaceDE w:val="0"/>
      <w:autoSpaceDN w:val="0"/>
      <w:adjustRightInd w:val="0"/>
      <w:spacing w:line="560" w:lineRule="atLeast"/>
      <w:jc w:val="left"/>
    </w:pPr>
    <w:rPr>
      <w:rFonts w:ascii="微软雅黑" w:eastAsia="微软雅黑" w:hAnsi="Calibri"/>
      <w:kern w:val="0"/>
      <w:sz w:val="24"/>
    </w:rPr>
  </w:style>
  <w:style w:type="paragraph" w:customStyle="1" w:yozoId="4094" w:styleId="35">
    <w:name w:val="CM16"/>
    <w:qFormat/>
    <w:basedOn w:val="0"/>
    <w:next w:val="0"/>
    <w:pPr>
      <w:autoSpaceDE w:val="0"/>
      <w:autoSpaceDN w:val="0"/>
      <w:adjustRightInd w:val="0"/>
      <w:spacing w:line="560" w:lineRule="atLeast"/>
      <w:jc w:val="left"/>
    </w:pPr>
    <w:rPr>
      <w:rFonts w:ascii="微软雅黑" w:eastAsia="微软雅黑"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D419FF2B-2EA8-4C25-A01A-E5D04BCFEF1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WPS_Yozo_Office9.0.5560.161ZH</Application>
  <Pages>3</Pages>
  <Words>0</Words>
  <Characters>1024</Characters>
  <Lines>0</Lines>
  <Paragraphs>27</Paragraphs>
  <CharactersWithSpaces>1366</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thtf</cp:lastModifiedBy>
  <cp:revision>5</cp:revision>
  <cp:lastPrinted>2023-04-07T02:17:00Z</cp:lastPrinted>
  <dcterms:created xsi:type="dcterms:W3CDTF">2025-07-18T02:29:00Z</dcterms:created>
  <dcterms:modified xsi:type="dcterms:W3CDTF">2025-08-12T01:42:14Z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2052-11.8.2.10321</vt:lpwstr>
  </property>
</Properties>
</file>