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00C29">
      <w:pPr>
        <w:ind w:firstLine="0" w:firstLineChars="0"/>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Hans"/>
        </w:rPr>
        <w:t>关于</w:t>
      </w:r>
      <w:r>
        <w:rPr>
          <w:rFonts w:hint="eastAsia" w:ascii="Times New Roman" w:hAnsi="Times New Roman" w:eastAsia="方正小标宋简体" w:cs="方正小标宋简体"/>
          <w:sz w:val="44"/>
          <w:szCs w:val="44"/>
        </w:rPr>
        <w:t>《嵩明杨林经济技术开发区总体规划修编（2023—2035年）环境影响报告书》</w:t>
      </w:r>
      <w:r>
        <w:rPr>
          <w:rFonts w:hint="eastAsia" w:ascii="Times New Roman" w:hAnsi="Times New Roman" w:eastAsia="方正小标宋简体"/>
          <w:sz w:val="44"/>
          <w:szCs w:val="44"/>
          <w:lang w:eastAsia="zh-Hans"/>
        </w:rPr>
        <w:t>的</w:t>
      </w:r>
      <w:r>
        <w:rPr>
          <w:rFonts w:hint="eastAsia" w:ascii="Times New Roman" w:hAnsi="Times New Roman" w:eastAsia="方正小标宋简体"/>
          <w:sz w:val="44"/>
          <w:szCs w:val="44"/>
          <w:lang w:eastAsia="zh-CN"/>
        </w:rPr>
        <w:t>编制</w:t>
      </w:r>
    </w:p>
    <w:p w14:paraId="177B5E4B">
      <w:pPr>
        <w:ind w:firstLine="0" w:firstLineChars="0"/>
        <w:jc w:val="center"/>
        <w:rPr>
          <w:rFonts w:ascii="Times New Roman" w:hAnsi="Times New Roman" w:eastAsia="方正小标宋简体"/>
          <w:sz w:val="44"/>
          <w:szCs w:val="44"/>
          <w:lang w:eastAsia="zh-Hans"/>
        </w:rPr>
      </w:pPr>
      <w:r>
        <w:rPr>
          <w:rFonts w:hint="eastAsia" w:ascii="Times New Roman" w:hAnsi="Times New Roman" w:eastAsia="方正小标宋简体"/>
          <w:sz w:val="44"/>
          <w:szCs w:val="44"/>
          <w:lang w:eastAsia="zh-Hans"/>
        </w:rPr>
        <w:t>说明</w:t>
      </w:r>
    </w:p>
    <w:p w14:paraId="42E6C13D">
      <w:pPr>
        <w:ind w:firstLine="0" w:firstLineChars="0"/>
        <w:jc w:val="center"/>
        <w:rPr>
          <w:rFonts w:ascii="Times New Roman" w:hAnsi="Times New Roman" w:eastAsia="方正小标宋_GBK"/>
          <w:sz w:val="44"/>
          <w:szCs w:val="44"/>
          <w:lang w:eastAsia="zh-Hans"/>
        </w:rPr>
      </w:pPr>
    </w:p>
    <w:p w14:paraId="6CF6FD9C">
      <w:pPr>
        <w:rPr>
          <w:rFonts w:ascii="Times New Roman" w:hAnsi="Times New Roman"/>
          <w:szCs w:val="32"/>
        </w:rPr>
      </w:pPr>
      <w:r>
        <w:rPr>
          <w:rFonts w:hint="eastAsia" w:ascii="Times New Roman" w:hAnsi="Times New Roman" w:cs="Times New Roman"/>
          <w:color w:val="auto"/>
          <w:lang w:val="en-US" w:eastAsia="zh-CN"/>
        </w:rPr>
        <w:t>根据</w:t>
      </w:r>
      <w:r>
        <w:rPr>
          <w:rFonts w:hint="default" w:ascii="Times New Roman" w:hAnsi="Times New Roman" w:cs="Times New Roman"/>
          <w:color w:val="000000" w:themeColor="text1"/>
          <w:highlight w:val="none"/>
          <w:lang w:eastAsia="zh-CN"/>
          <w14:textFill>
            <w14:solidFill>
              <w14:schemeClr w14:val="tx1"/>
            </w14:solidFill>
          </w14:textFill>
        </w:rPr>
        <w:t>国务院253号文《建设项目环境影响保护条例》《中华人民共和国环境影响评价法》及其它法律法规的要求</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在</w:t>
      </w:r>
      <w:r>
        <w:rPr>
          <w:rFonts w:hint="default" w:ascii="Times New Roman" w:hAnsi="Times New Roman" w:cs="Times New Roman"/>
          <w:color w:val="000000" w:themeColor="text1"/>
          <w:highlight w:val="none"/>
          <w:lang w:eastAsia="zh-CN"/>
          <w14:textFill>
            <w14:solidFill>
              <w14:schemeClr w14:val="tx1"/>
            </w14:solidFill>
          </w14:textFill>
        </w:rPr>
        <w:t>《嵩明杨林经济技术开发区总体规划修编（2023-2035年）》</w:t>
      </w:r>
      <w:r>
        <w:rPr>
          <w:rFonts w:hint="eastAsia" w:ascii="Times New Roman" w:hAnsi="Times New Roman" w:cs="Times New Roman"/>
          <w:lang w:val="en-US" w:eastAsia="zh-CN"/>
        </w:rPr>
        <w:t>基础上</w:t>
      </w:r>
      <w:r>
        <w:rPr>
          <w:rFonts w:hint="eastAsia" w:ascii="Times New Roman" w:hAnsi="Times New Roman" w:cs="Times New Roman"/>
          <w:lang w:val="en-US" w:eastAsia="zh-CN"/>
        </w:rPr>
        <w:t>编制</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嵩明杨林经济技术开发区总体规划修编（2023-2035年）</w:t>
      </w:r>
      <w:r>
        <w:rPr>
          <w:rFonts w:hint="default" w:ascii="Times New Roman" w:hAnsi="Times New Roman" w:cs="Times New Roman"/>
          <w:color w:val="000000" w:themeColor="text1"/>
          <w:highlight w:val="none"/>
          <w:lang w:eastAsia="zh-CN"/>
          <w14:textFill>
            <w14:solidFill>
              <w14:schemeClr w14:val="tx1"/>
            </w14:solidFill>
          </w14:textFill>
        </w:rPr>
        <w:t>环境影响报告书》</w:t>
      </w:r>
      <w:r>
        <w:rPr>
          <w:rFonts w:hint="eastAsia" w:ascii="Times New Roman" w:hAnsi="Times New Roman" w:cs="Times New Roman"/>
          <w:lang w:val="en-US" w:eastAsia="zh-CN"/>
        </w:rPr>
        <w:t>（简称《</w:t>
      </w:r>
      <w:r>
        <w:rPr>
          <w:rFonts w:hint="eastAsia" w:ascii="Times New Roman" w:hAnsi="Times New Roman" w:cs="Times New Roman"/>
          <w:lang w:val="en-US" w:eastAsia="zh-CN"/>
        </w:rPr>
        <w:t>环评报告书</w:t>
      </w:r>
      <w:r>
        <w:rPr>
          <w:rFonts w:hint="eastAsia" w:ascii="Times New Roman" w:hAnsi="Times New Roman" w:cs="Times New Roman"/>
          <w:lang w:val="en-US" w:eastAsia="zh-CN"/>
        </w:rPr>
        <w:t>》）</w:t>
      </w:r>
      <w:r>
        <w:rPr>
          <w:rFonts w:hint="eastAsia" w:ascii="Times New Roman" w:hAnsi="Times New Roman" w:cs="Times New Roman"/>
          <w:lang w:val="en-US" w:eastAsia="zh-CN"/>
        </w:rPr>
        <w:t>，</w:t>
      </w:r>
      <w:r>
        <w:rPr>
          <w:rFonts w:hint="eastAsia" w:ascii="Times New Roman" w:hAnsi="Times New Roman" w:cs="Times New Roman"/>
          <w:lang w:val="en-US" w:eastAsia="zh-CN"/>
        </w:rPr>
        <w:t>现</w:t>
      </w:r>
      <w:r>
        <w:rPr>
          <w:rFonts w:ascii="Times New Roman" w:hAnsi="Times New Roman"/>
          <w:bCs/>
        </w:rPr>
        <w:t>就</w:t>
      </w:r>
      <w:r>
        <w:rPr>
          <w:rFonts w:hint="eastAsia" w:ascii="Times New Roman" w:hAnsi="Times New Roman"/>
          <w:bCs/>
          <w:lang w:eastAsia="zh-CN"/>
        </w:rPr>
        <w:t>编制</w:t>
      </w:r>
      <w:r>
        <w:rPr>
          <w:rFonts w:ascii="Times New Roman" w:hAnsi="Times New Roman"/>
          <w:bCs/>
        </w:rPr>
        <w:t>情况说明如下：</w:t>
      </w:r>
    </w:p>
    <w:p w14:paraId="0F4BF489">
      <w:pPr>
        <w:rPr>
          <w:rFonts w:ascii="Times New Roman" w:hAnsi="Times New Roman" w:eastAsia="黑体"/>
        </w:rPr>
      </w:pPr>
      <w:r>
        <w:rPr>
          <w:rFonts w:ascii="Times New Roman" w:hAnsi="Times New Roman" w:eastAsia="黑体"/>
          <w:lang w:eastAsia="zh-Hans"/>
        </w:rPr>
        <w:t>一、</w:t>
      </w:r>
      <w:r>
        <w:rPr>
          <w:rFonts w:hint="eastAsia" w:ascii="Times New Roman" w:hAnsi="Times New Roman" w:eastAsia="黑体"/>
          <w:lang w:val="en-US" w:eastAsia="zh-CN"/>
        </w:rPr>
        <w:t>规划</w:t>
      </w:r>
      <w:r>
        <w:rPr>
          <w:rFonts w:ascii="Times New Roman" w:hAnsi="Times New Roman" w:eastAsia="黑体"/>
          <w:lang w:eastAsia="zh-Hans"/>
        </w:rPr>
        <w:t>实施</w:t>
      </w:r>
      <w:r>
        <w:rPr>
          <w:rFonts w:hint="eastAsia" w:ascii="Times New Roman" w:hAnsi="Times New Roman" w:eastAsia="黑体"/>
        </w:rPr>
        <w:t>背景</w:t>
      </w:r>
    </w:p>
    <w:p w14:paraId="0ABC87E1">
      <w:pP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1993年编制了《杨林工业开发区总体布局规划</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1993-2010</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2005年11月完成《云南嵩明杨林工业园区总体规划</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2006-2020</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》2008年12月完成</w:t>
      </w:r>
      <w:r>
        <w:rPr>
          <w:rFonts w:hint="default" w:ascii="Times New Roman" w:hAnsi="Times New Roman" w:cs="Times New Roman"/>
          <w:color w:val="000000" w:themeColor="text1"/>
          <w:highlight w:val="none"/>
          <w:lang w:val="en-US" w:eastAsia="zh-CN"/>
          <w14:textFill>
            <w14:solidFill>
              <w14:schemeClr w14:val="tx1"/>
            </w14:solidFill>
          </w14:textFill>
        </w:rPr>
        <w:t>了</w:t>
      </w:r>
      <w:r>
        <w:rPr>
          <w:rFonts w:hint="default" w:ascii="Times New Roman" w:hAnsi="Times New Roman" w:cs="Times New Roman"/>
          <w:color w:val="000000" w:themeColor="text1"/>
          <w:highlight w:val="none"/>
          <w:lang w:eastAsia="zh-CN"/>
          <w14:textFill>
            <w14:solidFill>
              <w14:schemeClr w14:val="tx1"/>
            </w14:solidFill>
          </w14:textFill>
        </w:rPr>
        <w:t>《云南嵩明杨林工业园区总体规划</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2008-2025</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随着国家、省市关于产业园区的新形势、新政策的变化，导致园区定位不适用当前园区的发展</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推动工业园区规划与各重大空间专项规划</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多规合一</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的需求等原因</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2023年，嵩明杨林经济技术开发区管理委员会（以下简称“园区管委会”）委托昆明市规划设计研究院有限公司编制了《嵩明杨林经济技术开发区总体规划修编（2023-2035年》，根据该规划：嵩明杨林经济技术开发区规划总面积为</w:t>
      </w:r>
      <w:r>
        <w:rPr>
          <w:rFonts w:hint="eastAsia" w:ascii="Times New Roman" w:hAnsi="Times New Roman" w:cs="Times New Roman"/>
          <w:color w:val="000000" w:themeColor="text1"/>
          <w:highlight w:val="none"/>
          <w:lang w:val="en-US" w:eastAsia="zh-CN"/>
          <w14:textFill>
            <w14:solidFill>
              <w14:schemeClr w14:val="tx1"/>
            </w14:solidFill>
          </w14:textFill>
        </w:rPr>
        <w:t>24.52</w:t>
      </w:r>
      <w:r>
        <w:rPr>
          <w:rFonts w:hint="default" w:ascii="Times New Roman" w:hAnsi="Times New Roman" w:cs="Times New Roman"/>
          <w:color w:val="000000" w:themeColor="text1"/>
          <w:highlight w:val="none"/>
          <w:lang w:eastAsia="zh-CN"/>
          <w14:textFill>
            <w14:solidFill>
              <w14:schemeClr w14:val="tx1"/>
            </w14:solidFill>
          </w14:textFill>
        </w:rPr>
        <w:t>km</w:t>
      </w:r>
      <w:r>
        <w:rPr>
          <w:rFonts w:hint="default" w:ascii="Times New Roman" w:hAnsi="Times New Roman" w:cs="Times New Roman"/>
          <w:color w:val="000000" w:themeColor="text1"/>
          <w:highlight w:val="none"/>
          <w:vertAlign w:val="superscript"/>
          <w:lang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，包含杨林综合片区和小街片区，杨林综合片区北起兰茂路，南至昆明绕城高速，西抵嵩明职教园区，东接杨林镇区，规划面积为</w:t>
      </w:r>
      <w:r>
        <w:rPr>
          <w:rFonts w:hint="eastAsia" w:ascii="Times New Roman" w:hAnsi="Times New Roman" w:cs="Times New Roman"/>
          <w:color w:val="000000" w:themeColor="text1"/>
          <w:highlight w:val="none"/>
          <w:lang w:val="en-US" w:eastAsia="zh-CN"/>
          <w14:textFill>
            <w14:solidFill>
              <w14:schemeClr w14:val="tx1"/>
            </w14:solidFill>
          </w14:textFill>
        </w:rPr>
        <w:t>23.12</w:t>
      </w:r>
      <w:r>
        <w:rPr>
          <w:rFonts w:hint="default" w:ascii="Times New Roman" w:hAnsi="Times New Roman" w:cs="Times New Roman"/>
          <w:color w:val="000000" w:themeColor="text1"/>
          <w:highlight w:val="none"/>
          <w:lang w:eastAsia="zh-CN"/>
          <w14:textFill>
            <w14:solidFill>
              <w14:schemeClr w14:val="tx1"/>
            </w14:solidFill>
          </w14:textFill>
        </w:rPr>
        <w:t>km</w:t>
      </w:r>
      <w:r>
        <w:rPr>
          <w:rFonts w:hint="default" w:ascii="Times New Roman" w:hAnsi="Times New Roman" w:cs="Times New Roman"/>
          <w:color w:val="000000" w:themeColor="text1"/>
          <w:highlight w:val="none"/>
          <w:vertAlign w:val="superscript"/>
          <w:lang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。小街片区北起药灵山，南至大桥村北侧，西抵大月字本村，东接古堆山，规划面积为</w:t>
      </w:r>
      <w:r>
        <w:rPr>
          <w:rFonts w:hint="eastAsia" w:ascii="Times New Roman" w:hAnsi="Times New Roman" w:cs="Times New Roman"/>
          <w:color w:val="000000" w:themeColor="text1"/>
          <w:highlight w:val="none"/>
          <w:lang w:val="en-US" w:eastAsia="zh-CN"/>
          <w14:textFill>
            <w14:solidFill>
              <w14:schemeClr w14:val="tx1"/>
            </w14:solidFill>
          </w14:textFill>
        </w:rPr>
        <w:t>1.40</w:t>
      </w:r>
      <w:r>
        <w:rPr>
          <w:rFonts w:hint="default" w:ascii="Times New Roman" w:hAnsi="Times New Roman" w:cs="Times New Roman"/>
          <w:color w:val="000000" w:themeColor="text1"/>
          <w:highlight w:val="none"/>
          <w:lang w:eastAsia="zh-CN"/>
          <w14:textFill>
            <w14:solidFill>
              <w14:schemeClr w14:val="tx1"/>
            </w14:solidFill>
          </w14:textFill>
        </w:rPr>
        <w:t>km</w:t>
      </w:r>
      <w:r>
        <w:rPr>
          <w:rFonts w:hint="default" w:ascii="Times New Roman" w:hAnsi="Times New Roman" w:cs="Times New Roman"/>
          <w:color w:val="000000" w:themeColor="text1"/>
          <w:highlight w:val="none"/>
          <w:vertAlign w:val="superscript"/>
          <w:lang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。总体形成“一园两片”的空间结构</w:t>
      </w:r>
      <w:r>
        <w:rPr>
          <w:rFonts w:hint="default" w:ascii="Times New Roman" w:hAnsi="Times New Roman" w:cs="Times New Roman"/>
          <w:color w:val="000000" w:themeColor="text1"/>
          <w:highlight w:val="none"/>
          <w:lang w:val="en-US" w:eastAsia="zh-CN"/>
          <w14:textFill>
            <w14:solidFill>
              <w14:schemeClr w14:val="tx1"/>
            </w14:solidFill>
          </w14:textFill>
        </w:rPr>
        <w:t>以及</w:t>
      </w:r>
      <w:r>
        <w:rPr>
          <w:rFonts w:hint="default" w:ascii="Times New Roman" w:hAnsi="Times New Roman" w:cs="Times New Roman"/>
          <w:color w:val="000000" w:themeColor="text1"/>
          <w:highlight w:val="none"/>
          <w:lang w:eastAsia="zh-CN"/>
          <w14:textFill>
            <w14:solidFill>
              <w14:schemeClr w14:val="tx1"/>
            </w14:solidFill>
          </w14:textFill>
        </w:rPr>
        <w:t>“一心、两轴、多组团”的空间格局，</w:t>
      </w:r>
      <w:r>
        <w:rPr>
          <w:rFonts w:hint="default" w:ascii="Times New Roman" w:hAnsi="Times New Roman" w:cs="Times New Roman"/>
          <w:color w:val="000000" w:themeColor="text1"/>
          <w:highlight w:val="none"/>
          <w:lang w:val="en-US" w:eastAsia="zh-CN"/>
          <w14:textFill>
            <w14:solidFill>
              <w14:schemeClr w14:val="tx1"/>
            </w14:solidFill>
          </w14:textFill>
        </w:rPr>
        <w:t>其中，一心：服务经开区、职教园区的综合服务核心。两轴：杨林经开区产业发展主轴和嵩昆大道综合发展轴。多组团：战略性新兴产业培育组团、绿色食品组团、先进装备制造组团、中心服务组团等。</w:t>
      </w:r>
    </w:p>
    <w:p w14:paraId="1FDB6CA7">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29" w:lineRule="auto"/>
        <w:ind w:firstLine="640" w:firstLineChars="200"/>
        <w:textAlignment w:val="auto"/>
        <w:rPr>
          <w:rFonts w:hint="eastAsia" w:ascii="Times New Roman" w:hAnsi="Times New Roman" w:cs="Times New Roman"/>
          <w:color w:val="auto"/>
          <w:lang w:val="en-US" w:eastAsia="zh-CN"/>
        </w:rPr>
      </w:pPr>
      <w:r>
        <w:rPr>
          <w:rFonts w:hint="default" w:ascii="Times New Roman" w:hAnsi="Times New Roman" w:cs="Times New Roman"/>
          <w:color w:val="000000" w:themeColor="text1"/>
          <w:highlight w:val="none"/>
          <w:lang w:eastAsia="zh-CN"/>
          <w14:textFill>
            <w14:solidFill>
              <w14:schemeClr w14:val="tx1"/>
            </w14:solidFill>
          </w14:textFill>
        </w:rPr>
        <w:t>根据国务院253号文《建设项目环境影响保护条例》《中华人民共和国环境影响评价法》及其它法律法规的要求</w:t>
      </w:r>
      <w:r>
        <w:rPr>
          <w:rFonts w:hint="eastAsia" w:ascii="Times New Roman" w:hAnsi="Times New Roman" w:cs="Times New Roman"/>
          <w:color w:val="auto"/>
          <w:lang w:val="en-US" w:eastAsia="zh-CN"/>
        </w:rPr>
        <w:t>，</w:t>
      </w:r>
      <w:r>
        <w:rPr>
          <w:rFonts w:hint="eastAsia" w:ascii="Times New Roman" w:hAnsi="Times New Roman" w:cs="Times New Roman"/>
          <w:color w:val="auto"/>
          <w:lang w:val="en-US" w:eastAsia="zh-CN"/>
        </w:rPr>
        <w:t>需开展</w:t>
      </w:r>
      <w:r>
        <w:rPr>
          <w:rFonts w:hint="default" w:ascii="Times New Roman" w:hAnsi="Times New Roman" w:cs="Times New Roman"/>
          <w:color w:val="000000" w:themeColor="text1"/>
          <w:highlight w:val="none"/>
          <w:lang w:eastAsia="zh-CN"/>
          <w14:textFill>
            <w14:solidFill>
              <w14:schemeClr w14:val="tx1"/>
            </w14:solidFill>
          </w14:textFill>
        </w:rPr>
        <w:t>编制《</w:t>
      </w:r>
      <w:r>
        <w:rPr>
          <w:rFonts w:hint="default" w:ascii="Times New Roman" w:hAnsi="Times New Roman" w:cs="Times New Roman"/>
          <w:color w:val="000000" w:themeColor="text1"/>
          <w:highlight w:val="none"/>
          <w:lang w:val="en-US" w:eastAsia="zh-CN"/>
          <w14:textFill>
            <w14:solidFill>
              <w14:schemeClr w14:val="tx1"/>
            </w14:solidFill>
          </w14:textFill>
        </w:rPr>
        <w:t>嵩明杨林经济技术开发区总体规划修编（2023-2035年）</w:t>
      </w:r>
      <w:r>
        <w:rPr>
          <w:rFonts w:hint="default" w:ascii="Times New Roman" w:hAnsi="Times New Roman" w:cs="Times New Roman"/>
          <w:color w:val="000000" w:themeColor="text1"/>
          <w:highlight w:val="none"/>
          <w:lang w:eastAsia="zh-CN"/>
          <w14:textFill>
            <w14:solidFill>
              <w14:schemeClr w14:val="tx1"/>
            </w14:solidFill>
          </w14:textFill>
        </w:rPr>
        <w:t>》环境影响</w:t>
      </w:r>
      <w:r>
        <w:rPr>
          <w:rFonts w:hint="eastAsia" w:ascii="Times New Roman" w:hAnsi="Times New Roman" w:cs="Times New Roman"/>
          <w:color w:val="000000" w:themeColor="text1"/>
          <w:highlight w:val="none"/>
          <w:lang w:val="en-US" w:eastAsia="zh-CN"/>
          <w14:textFill>
            <w14:solidFill>
              <w14:schemeClr w14:val="tx1"/>
            </w14:solidFill>
          </w14:textFill>
        </w:rPr>
        <w:t>评价</w:t>
      </w:r>
      <w:r>
        <w:rPr>
          <w:rFonts w:hint="eastAsia" w:ascii="Times New Roman" w:hAnsi="Times New Roman" w:cs="Times New Roman"/>
          <w:color w:val="000000" w:themeColor="text1"/>
          <w:highlight w:val="none"/>
          <w:lang w:eastAsia="zh-CN"/>
          <w14:textFill>
            <w14:solidFill>
              <w14:schemeClr w14:val="tx1"/>
            </w14:solidFill>
          </w14:textFill>
        </w:rPr>
        <w:t>工作。</w:t>
      </w:r>
    </w:p>
    <w:p w14:paraId="0781D535">
      <w:pPr>
        <w:rPr>
          <w:rFonts w:hint="eastAsia" w:ascii="Times New Roman" w:hAnsi="Times New Roman" w:eastAsia="黑体" w:cs="黑体"/>
          <w:color w:val="auto"/>
          <w:kern w:val="0"/>
          <w:sz w:val="32"/>
          <w:szCs w:val="24"/>
          <w:lang w:val="en-US" w:eastAsia="zh-Hans" w:bidi="ar-SA"/>
        </w:rPr>
      </w:pPr>
      <w:r>
        <w:rPr>
          <w:rFonts w:hint="eastAsia" w:ascii="Times New Roman" w:hAnsi="Times New Roman" w:eastAsia="黑体" w:cs="黑体"/>
          <w:color w:val="auto"/>
          <w:kern w:val="0"/>
          <w:sz w:val="32"/>
          <w:szCs w:val="24"/>
          <w:lang w:val="en-US" w:eastAsia="zh-CN" w:bidi="ar-SA"/>
        </w:rPr>
        <w:t>二、</w:t>
      </w:r>
      <w:r>
        <w:rPr>
          <w:rFonts w:hint="eastAsia" w:ascii="Times New Roman" w:hAnsi="Times New Roman" w:eastAsia="黑体" w:cs="黑体"/>
          <w:color w:val="auto"/>
          <w:kern w:val="0"/>
          <w:sz w:val="32"/>
          <w:szCs w:val="24"/>
          <w:lang w:val="en-US" w:eastAsia="zh-Hans" w:bidi="ar-SA"/>
        </w:rPr>
        <w:t>《</w:t>
      </w:r>
      <w:r>
        <w:rPr>
          <w:rFonts w:hint="eastAsia" w:ascii="Times New Roman" w:hAnsi="Times New Roman" w:eastAsia="黑体" w:cs="黑体"/>
          <w:color w:val="auto"/>
          <w:kern w:val="0"/>
          <w:sz w:val="32"/>
          <w:szCs w:val="24"/>
          <w:lang w:val="en-US" w:eastAsia="zh-CN" w:bidi="ar-SA"/>
        </w:rPr>
        <w:t>环评报告书</w:t>
      </w:r>
      <w:r>
        <w:rPr>
          <w:rFonts w:hint="eastAsia" w:ascii="Times New Roman" w:hAnsi="Times New Roman" w:eastAsia="黑体" w:cs="黑体"/>
          <w:color w:val="auto"/>
          <w:kern w:val="0"/>
          <w:sz w:val="32"/>
          <w:szCs w:val="24"/>
          <w:lang w:val="en-US" w:eastAsia="zh-Hans" w:bidi="ar-SA"/>
        </w:rPr>
        <w:t>》</w:t>
      </w:r>
      <w:r>
        <w:rPr>
          <w:rFonts w:hint="eastAsia" w:ascii="Times New Roman" w:hAnsi="Times New Roman" w:eastAsia="黑体" w:cs="黑体"/>
          <w:color w:val="auto"/>
          <w:kern w:val="0"/>
          <w:sz w:val="32"/>
          <w:szCs w:val="24"/>
          <w:lang w:val="en-US" w:eastAsia="zh-CN" w:bidi="ar-SA"/>
        </w:rPr>
        <w:t>编制</w:t>
      </w:r>
      <w:r>
        <w:rPr>
          <w:rFonts w:hint="eastAsia" w:ascii="Times New Roman" w:hAnsi="Times New Roman" w:eastAsia="黑体" w:cs="黑体"/>
          <w:color w:val="auto"/>
          <w:kern w:val="0"/>
          <w:sz w:val="32"/>
          <w:szCs w:val="24"/>
          <w:lang w:val="en-US" w:eastAsia="zh-Hans" w:bidi="ar-SA"/>
        </w:rPr>
        <w:t>过程</w:t>
      </w:r>
    </w:p>
    <w:p w14:paraId="140C1583">
      <w:pPr>
        <w:overflowPunct w:val="0"/>
        <w:rPr>
          <w:rFonts w:ascii="Times New Roman" w:hAnsi="Times New Roman"/>
          <w:szCs w:val="32"/>
        </w:rPr>
      </w:pPr>
      <w:r>
        <w:rPr>
          <w:rFonts w:hint="default" w:ascii="Times New Roman" w:hAnsi="Times New Roman" w:cs="Times New Roman"/>
          <w:color w:val="000000" w:themeColor="text1"/>
          <w:highlight w:val="none"/>
          <w:lang w:eastAsia="zh-CN"/>
          <w14:textFill>
            <w14:solidFill>
              <w14:schemeClr w14:val="tx1"/>
            </w14:solidFill>
          </w14:textFill>
        </w:rPr>
        <w:t>202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eastAsia="zh-CN"/>
          <w14:textFill>
            <w14:solidFill>
              <w14:schemeClr w14:val="tx1"/>
            </w14:solidFill>
          </w14:textFill>
        </w:rPr>
        <w:t>年</w:t>
      </w:r>
      <w:r>
        <w:rPr>
          <w:rFonts w:hint="default" w:ascii="Times New Roman" w:hAns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lang w:eastAsia="zh-CN"/>
          <w14:textFill>
            <w14:solidFill>
              <w14:schemeClr w14:val="tx1"/>
            </w14:solidFill>
          </w14:textFill>
        </w:rPr>
        <w:t>月，园区管委会委托</w:t>
      </w:r>
      <w:r>
        <w:rPr>
          <w:rFonts w:hint="default" w:ascii="Times New Roman" w:hAnsi="Times New Roman" w:cs="Times New Roman"/>
          <w:color w:val="000000" w:themeColor="text1"/>
          <w:highlight w:val="none"/>
          <w:lang w:val="en-US" w:eastAsia="zh-CN"/>
          <w14:textFill>
            <w14:solidFill>
              <w14:schemeClr w14:val="tx1"/>
            </w14:solidFill>
          </w14:textFill>
        </w:rPr>
        <w:t>云南保兴环境科技咨询有限公司</w:t>
      </w:r>
      <w:r>
        <w:rPr>
          <w:rFonts w:hint="default" w:ascii="Times New Roman" w:hAnsi="Times New Roman" w:cs="Times New Roman"/>
          <w:color w:val="000000" w:themeColor="text1"/>
          <w:highlight w:val="none"/>
          <w:lang w:eastAsia="zh-CN"/>
          <w14:textFill>
            <w14:solidFill>
              <w14:schemeClr w14:val="tx1"/>
            </w14:solidFill>
          </w14:textFill>
        </w:rPr>
        <w:t>对《</w:t>
      </w:r>
      <w:r>
        <w:rPr>
          <w:rFonts w:hint="default" w:ascii="Times New Roman" w:hAnsi="Times New Roman" w:cs="Times New Roman"/>
          <w:color w:val="000000" w:themeColor="text1"/>
          <w:highlight w:val="none"/>
          <w:lang w:val="en-US" w:eastAsia="zh-CN"/>
          <w14:textFill>
            <w14:solidFill>
              <w14:schemeClr w14:val="tx1"/>
            </w14:solidFill>
          </w14:textFill>
        </w:rPr>
        <w:t>嵩明杨林经济技术开发区总体规划修编（2023-2035年</w:t>
      </w:r>
      <w:r>
        <w:rPr>
          <w:rFonts w:hint="default" w:ascii="Times New Roman" w:hAnsi="Times New Roman" w:cs="Times New Roman"/>
          <w:color w:val="000000" w:themeColor="text1"/>
          <w:highlight w:val="none"/>
          <w:lang w:eastAsia="zh-CN"/>
          <w14:textFill>
            <w14:solidFill>
              <w14:schemeClr w14:val="tx1"/>
            </w14:solidFill>
          </w14:textFill>
        </w:rPr>
        <w:t>》进行环境影响评价工作</w:t>
      </w:r>
      <w:r>
        <w:rPr>
          <w:rFonts w:hint="eastAsia" w:ascii="Times New Roman" w:hAnsi="Times New Roman"/>
          <w:szCs w:val="32"/>
          <w:lang w:eastAsia="zh-CN"/>
        </w:rPr>
        <w:t>，</w:t>
      </w:r>
      <w:r>
        <w:rPr>
          <w:rFonts w:hint="default" w:ascii="Times New Roman" w:hAnsi="Times New Roman" w:cs="Times New Roman"/>
          <w:color w:val="000000" w:themeColor="text1"/>
          <w:highlight w:val="none"/>
          <w:lang w:eastAsia="zh-CN"/>
          <w14:textFill>
            <w14:solidFill>
              <w14:schemeClr w14:val="tx1"/>
            </w14:solidFill>
          </w14:textFill>
        </w:rPr>
        <w:t>通过现场踏勘、资料收集、环境现状调查，以资源利用上线、环境质量底线、生态保护红线和产业准入负面清单为手段，在对</w:t>
      </w:r>
      <w:r>
        <w:rPr>
          <w:rFonts w:hint="default" w:ascii="Times New Roman" w:hAnsi="Times New Roman" w:cs="Times New Roman"/>
          <w:color w:val="000000" w:themeColor="text1"/>
          <w:highlight w:val="none"/>
          <w:lang w:val="en-US" w:eastAsia="zh-CN"/>
          <w14:textFill>
            <w14:solidFill>
              <w14:schemeClr w14:val="tx1"/>
            </w14:solidFill>
          </w14:textFill>
        </w:rPr>
        <w:t>嵩明杨林经济技术开发区</w:t>
      </w:r>
      <w:r>
        <w:rPr>
          <w:rFonts w:hint="default" w:ascii="Times New Roman" w:hAnsi="Times New Roman" w:cs="Times New Roman"/>
          <w:color w:val="000000" w:themeColor="text1"/>
          <w:highlight w:val="none"/>
          <w:lang w:eastAsia="zh-CN"/>
          <w14:textFill>
            <w14:solidFill>
              <w14:schemeClr w14:val="tx1"/>
            </w14:solidFill>
          </w14:textFill>
        </w:rPr>
        <w:t>发展历程、环境影响进行回顾的基础上，一方面对本轮规划进行方案影响识别与分析，预测规划实施可能产生的环境影响，综合论证规划方案的环境合理性；另一方面强化空间、总量、准入环境管理，在优化</w:t>
      </w:r>
      <w:r>
        <w:rPr>
          <w:rFonts w:hint="default" w:ascii="Times New Roman" w:hAnsi="Times New Roman" w:cs="Times New Roman"/>
          <w:color w:val="000000" w:themeColor="text1"/>
          <w:highlight w:val="none"/>
          <w:lang w:val="en-US" w:eastAsia="zh-CN"/>
          <w14:textFill>
            <w14:solidFill>
              <w14:schemeClr w14:val="tx1"/>
            </w14:solidFill>
          </w14:textFill>
        </w:rPr>
        <w:t>嵩明杨林经济技术开发区</w:t>
      </w:r>
      <w:r>
        <w:rPr>
          <w:rFonts w:hint="default" w:ascii="Times New Roman" w:hAnsi="Times New Roman" w:cs="Times New Roman"/>
          <w:color w:val="000000" w:themeColor="text1"/>
          <w:highlight w:val="none"/>
          <w:lang w:eastAsia="zh-CN"/>
          <w14:textFill>
            <w14:solidFill>
              <w14:schemeClr w14:val="tx1"/>
            </w14:solidFill>
          </w14:textFill>
        </w:rPr>
        <w:t>定位、发展规模和空间布局、产业结构和资源利用的基础上，制定规划环评的结论清单，明确生态空间、环境质量底线、资源利用上线、污染物排放总量和环境准入等具体要求，结合有关规范、环评技术导则、开发区区域环境影响评价导则和规划环境影响评价技术导则有关要求以及区域环境特点，</w:t>
      </w:r>
      <w:r>
        <w:rPr>
          <w:rFonts w:hint="eastAsia" w:ascii="Times New Roman" w:hAnsi="Times New Roman" w:cs="Times New Roman"/>
          <w:color w:val="000000" w:themeColor="text1"/>
          <w:highlight w:val="none"/>
          <w:lang w:val="en-US" w:eastAsia="zh-CN"/>
          <w14:textFill>
            <w14:solidFill>
              <w14:schemeClr w14:val="tx1"/>
            </w14:solidFill>
          </w14:textFill>
        </w:rPr>
        <w:t>2025年6月</w:t>
      </w:r>
      <w:r>
        <w:rPr>
          <w:rFonts w:hint="default" w:ascii="Times New Roman" w:hAnsi="Times New Roman" w:cs="Times New Roman"/>
          <w:color w:val="000000" w:themeColor="text1"/>
          <w:highlight w:val="none"/>
          <w:lang w:eastAsia="zh-CN"/>
          <w14:textFill>
            <w14:solidFill>
              <w14:schemeClr w14:val="tx1"/>
            </w14:solidFill>
          </w14:textFill>
        </w:rPr>
        <w:t>编制完成《</w:t>
      </w:r>
      <w:r>
        <w:rPr>
          <w:rFonts w:hint="default" w:ascii="Times New Roman" w:hAnsi="Times New Roman" w:cs="Times New Roman"/>
          <w:color w:val="000000" w:themeColor="text1"/>
          <w:highlight w:val="none"/>
          <w:lang w:val="en-US" w:eastAsia="zh-CN"/>
          <w14:textFill>
            <w14:solidFill>
              <w14:schemeClr w14:val="tx1"/>
            </w14:solidFill>
          </w14:textFill>
        </w:rPr>
        <w:t>嵩明杨林经济技术开发区总体规划修编（2023-2035年）</w:t>
      </w:r>
      <w:r>
        <w:rPr>
          <w:rFonts w:hint="default" w:ascii="Times New Roman" w:hAnsi="Times New Roman" w:cs="Times New Roman"/>
          <w:color w:val="000000" w:themeColor="text1"/>
          <w:highlight w:val="none"/>
          <w:lang w:eastAsia="zh-CN"/>
          <w14:textFill>
            <w14:solidFill>
              <w14:schemeClr w14:val="tx1"/>
            </w14:solidFill>
          </w14:textFill>
        </w:rPr>
        <w:t>环境影响报告书》</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报批</w:t>
      </w:r>
      <w:r>
        <w:rPr>
          <w:rFonts w:hint="eastAsia" w:ascii="Times New Roman" w:hAnsi="Times New Roman" w:cs="Times New Roman"/>
          <w:color w:val="000000" w:themeColor="text1"/>
          <w:highlight w:val="none"/>
          <w:lang w:eastAsia="zh-CN"/>
          <w14:textFill>
            <w14:solidFill>
              <w14:schemeClr w14:val="tx1"/>
            </w14:solidFill>
          </w14:textFill>
        </w:rPr>
        <w:t>稿）。</w:t>
      </w:r>
    </w:p>
    <w:p w14:paraId="1684E2A5">
      <w:pPr>
        <w:numPr>
          <w:ilvl w:val="0"/>
          <w:numId w:val="1"/>
        </w:numPr>
        <w:rPr>
          <w:rFonts w:ascii="Times New Roman" w:hAnsi="Times New Roman" w:eastAsia="黑体"/>
          <w:lang w:eastAsia="zh-Hans"/>
        </w:rPr>
      </w:pPr>
      <w:r>
        <w:rPr>
          <w:rFonts w:ascii="Times New Roman" w:hAnsi="Times New Roman" w:eastAsia="黑体"/>
          <w:lang w:eastAsia="zh-Hans"/>
        </w:rPr>
        <w:t>《</w:t>
      </w:r>
      <w:r>
        <w:rPr>
          <w:rFonts w:hint="eastAsia" w:ascii="Times New Roman" w:hAnsi="Times New Roman" w:eastAsia="黑体"/>
          <w:lang w:eastAsia="zh-CN"/>
        </w:rPr>
        <w:t>环评报告书</w:t>
      </w:r>
      <w:r>
        <w:rPr>
          <w:rFonts w:ascii="Times New Roman" w:hAnsi="Times New Roman" w:eastAsia="黑体"/>
          <w:lang w:eastAsia="zh-Hans"/>
        </w:rPr>
        <w:t>》</w:t>
      </w:r>
      <w:r>
        <w:rPr>
          <w:rFonts w:hint="eastAsia" w:ascii="Times New Roman" w:hAnsi="Times New Roman" w:eastAsia="黑体"/>
          <w:lang w:eastAsia="zh-CN"/>
        </w:rPr>
        <w:t>编制</w:t>
      </w:r>
      <w:r>
        <w:rPr>
          <w:rFonts w:ascii="Times New Roman" w:hAnsi="Times New Roman" w:eastAsia="黑体"/>
          <w:lang w:eastAsia="zh-Hans"/>
        </w:rPr>
        <w:t>主要依据</w:t>
      </w:r>
    </w:p>
    <w:p w14:paraId="122E0646">
      <w:pPr>
        <w:pStyle w:val="7"/>
        <w:numPr>
          <w:ilvl w:val="0"/>
          <w:numId w:val="0"/>
        </w:numPr>
        <w:ind w:firstLine="640" w:firstLineChars="200"/>
        <w:rPr>
          <w:rFonts w:hint="default" w:ascii="Times New Roman" w:hAnsi="Times New Roman" w:eastAsia="仿宋_GB2312" w:cs="Times New Roman"/>
          <w:color w:val="000000" w:themeColor="text1"/>
          <w:kern w:val="2"/>
          <w:sz w:val="32"/>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24"/>
          <w:highlight w:val="none"/>
          <w:lang w:val="en-US" w:eastAsia="zh-CN" w:bidi="ar-SA"/>
          <w14:textFill>
            <w14:solidFill>
              <w14:schemeClr w14:val="tx1"/>
            </w14:solidFill>
          </w14:textFill>
        </w:rPr>
        <w:t>2023年，嵩明杨林经济技术开发区管理委员会（以下简称“园区管委会”）委托昆明市规划设计研究院有限公司编制了《嵩明杨林经济技术开发区总体规划修编（2023-2035年》，根据《中华人民共和国环境影响评价法》《建设项目环境影响保护条例》（国务院253号令）及其他法律法规的要求，编制《嵩明杨林经济技术开发区总体规划修编（2023-2035年）环境影响报告书》，供规划编制单位上报审查。</w:t>
      </w:r>
    </w:p>
    <w:p w14:paraId="5D68D91C">
      <w:pPr>
        <w:rPr>
          <w:rFonts w:ascii="Times New Roman" w:hAnsi="Times New Roman" w:eastAsia="黑体"/>
          <w:highlight w:val="none"/>
          <w:lang w:eastAsia="zh-Hans"/>
        </w:rPr>
      </w:pPr>
      <w:r>
        <w:rPr>
          <w:rFonts w:ascii="Times New Roman" w:hAnsi="Times New Roman" w:eastAsia="黑体"/>
          <w:highlight w:val="none"/>
          <w:lang w:eastAsia="zh-Hans"/>
        </w:rPr>
        <w:t>四、《</w:t>
      </w:r>
      <w:r>
        <w:rPr>
          <w:rFonts w:hint="eastAsia" w:ascii="Times New Roman" w:hAnsi="Times New Roman" w:eastAsia="黑体"/>
          <w:highlight w:val="none"/>
          <w:lang w:eastAsia="zh-CN"/>
        </w:rPr>
        <w:t>环评报告书</w:t>
      </w:r>
      <w:r>
        <w:rPr>
          <w:rFonts w:ascii="Times New Roman" w:hAnsi="Times New Roman" w:eastAsia="黑体"/>
          <w:highlight w:val="none"/>
          <w:lang w:eastAsia="zh-Hans"/>
        </w:rPr>
        <w:t>》主要内容</w:t>
      </w:r>
    </w:p>
    <w:p w14:paraId="7C12AB7F">
      <w:pPr>
        <w:rPr>
          <w:rFonts w:hint="default" w:ascii="Times New Roman" w:hAnsi="Times New Roman" w:eastAsia="仿宋_GB2312" w:cs="Times New Roman"/>
          <w:bCs w:val="0"/>
          <w:szCs w:val="24"/>
          <w:lang w:val="en-US" w:eastAsia="zh-CN"/>
        </w:rPr>
      </w:pPr>
      <w:r>
        <w:rPr>
          <w:rFonts w:hint="eastAsia" w:ascii="Times New Roman" w:hAnsi="Times New Roman" w:cs="Times New Roman"/>
          <w:bCs w:val="0"/>
          <w:szCs w:val="24"/>
          <w:lang w:val="en-US" w:eastAsia="zh-CN"/>
        </w:rPr>
        <w:t>《环评报告书》主要包含11个部分，涵盖了</w:t>
      </w:r>
      <w:r>
        <w:rPr>
          <w:rFonts w:hint="default" w:ascii="Times New Roman" w:hAnsi="Times New Roman" w:cs="Times New Roman"/>
          <w:color w:val="000000" w:themeColor="text1"/>
          <w:highlight w:val="none"/>
          <w:lang w:val="en-US" w:eastAsia="zh-CN"/>
          <w14:textFill>
            <w14:solidFill>
              <w14:schemeClr w14:val="tx1"/>
            </w14:solidFill>
          </w14:textFill>
        </w:rPr>
        <w:t>嵩明杨林经济技术开发区</w:t>
      </w:r>
      <w:r>
        <w:rPr>
          <w:rFonts w:hint="default" w:ascii="Times New Roman" w:hAnsi="Times New Roman" w:cs="Times New Roman"/>
          <w:color w:val="000000" w:themeColor="text1"/>
          <w:highlight w:val="none"/>
          <w14:textFill>
            <w14:solidFill>
              <w14:schemeClr w14:val="tx1"/>
            </w14:solidFill>
          </w14:textFill>
        </w:rPr>
        <w:t>发展情况与区域生态环境现状调查、生态环境影响回顾性评价，规划实施主要生态、环境、资源制约因素分析</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规划实施主要生态环境影响和风险因子识别，规划实施生态环境压力、污染物减排和节能降碳潜力分析，规划实施环境影响和潜在风险预测与评价，资源与环境承载状态分析</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规划产业定位、发展规模、产业结构、布局、建设时序及环境基础设施等的环境合理性论证，</w:t>
      </w:r>
      <w:r>
        <w:rPr>
          <w:rFonts w:hint="eastAsia" w:ascii="Times New Roman" w:hAnsi="Times New Roman" w:cs="Times New Roman"/>
          <w:color w:val="000000" w:themeColor="text1"/>
          <w:highlight w:val="none"/>
          <w:lang w:val="en-US" w:eastAsia="zh-CN"/>
          <w14:textFill>
            <w14:solidFill>
              <w14:schemeClr w14:val="tx1"/>
            </w14:solidFill>
          </w14:textFill>
        </w:rPr>
        <w:t>以及相关</w:t>
      </w:r>
      <w:r>
        <w:rPr>
          <w:rFonts w:hint="default" w:ascii="Times New Roman" w:hAnsi="Times New Roman" w:cs="Times New Roman"/>
          <w:color w:val="000000" w:themeColor="text1"/>
          <w:highlight w:val="none"/>
          <w14:textFill>
            <w14:solidFill>
              <w14:schemeClr w14:val="tx1"/>
            </w14:solidFill>
          </w14:textFill>
        </w:rPr>
        <w:t>优化调整建议</w:t>
      </w:r>
      <w:r>
        <w:rPr>
          <w:rFonts w:hint="eastAsia" w:ascii="Times New Roman" w:hAnsi="Times New Roman" w:cs="Times New Roman"/>
          <w:color w:val="000000" w:themeColor="text1"/>
          <w:highlight w:val="none"/>
          <w:lang w:val="en-US" w:eastAsia="zh-CN"/>
          <w14:textFill>
            <w14:solidFill>
              <w14:schemeClr w14:val="tx1"/>
            </w14:solidFill>
          </w14:textFill>
        </w:rPr>
        <w:t>的提出</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既有环境问题及不良环境影响的减缓对策、措施，规划实施环境影响跟踪监测与评价要求、规划所含建设项目的环境影响评价重点，园区环境准入及园区环境管理要求，评价结论与建议</w:t>
      </w:r>
      <w:r>
        <w:rPr>
          <w:rFonts w:hint="eastAsia" w:ascii="Times New Roman" w:hAnsi="Times New Roman" w:cs="Times New Roman"/>
          <w:color w:val="000000" w:themeColor="text1"/>
          <w:highlight w:val="none"/>
          <w:lang w:val="en-US" w:eastAsia="zh-CN"/>
          <w14:textFill>
            <w14:solidFill>
              <w14:schemeClr w14:val="tx1"/>
            </w14:solidFill>
          </w14:textFill>
        </w:rPr>
        <w:t>等步骤及情形</w:t>
      </w:r>
      <w:r>
        <w:rPr>
          <w:rFonts w:hint="default" w:ascii="Times New Roman" w:hAnsi="Times New Roman" w:cs="Times New Roman"/>
          <w:color w:val="000000" w:themeColor="text1"/>
          <w:highlight w:val="none"/>
          <w:lang w:eastAsia="zh-CN"/>
          <w14:textFill>
            <w14:solidFill>
              <w14:schemeClr w14:val="tx1"/>
            </w14:solidFill>
          </w14:textFill>
        </w:rPr>
        <w:t>。</w:t>
      </w:r>
    </w:p>
    <w:p w14:paraId="0290AB86">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根据《环境影响评价公众参与办法》（生态环境部部令第4号）的相关要求，现对《嵩明杨林经济技术开发区总体规划修编（2023-2035年）环境影响报告书》进行全本公开</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eastAsia="zh-CN"/>
          <w14:textFill>
            <w14:solidFill>
              <w14:schemeClr w14:val="tx1"/>
            </w14:solidFill>
          </w14:textFill>
        </w:rPr>
        <w:t>并</w:t>
      </w:r>
      <w:r>
        <w:rPr>
          <w:rFonts w:hint="eastAsia" w:ascii="Times New Roman" w:hAnsi="Times New Roman" w:cs="Times New Roman"/>
          <w:color w:val="000000" w:themeColor="text1"/>
          <w:highlight w:val="none"/>
          <w14:textFill>
            <w14:solidFill>
              <w14:schemeClr w14:val="tx1"/>
            </w14:solidFill>
          </w14:textFill>
        </w:rPr>
        <w:t>按</w:t>
      </w:r>
      <w:r>
        <w:rPr>
          <w:rFonts w:hint="eastAsia" w:ascii="Times New Roman" w:hAnsi="Times New Roman" w:cs="Times New Roman"/>
          <w:color w:val="000000" w:themeColor="text1"/>
          <w:highlight w:val="none"/>
          <w:lang w:eastAsia="zh-CN"/>
          <w14:textFill>
            <w14:solidFill>
              <w14:schemeClr w14:val="tx1"/>
            </w14:solidFill>
          </w14:textFill>
        </w:rPr>
        <w:t>相关</w:t>
      </w:r>
      <w:r>
        <w:rPr>
          <w:rFonts w:hint="eastAsia" w:ascii="Times New Roman" w:hAnsi="Times New Roman" w:cs="Times New Roman"/>
          <w:color w:val="000000" w:themeColor="text1"/>
          <w:highlight w:val="none"/>
          <w14:textFill>
            <w14:solidFill>
              <w14:schemeClr w14:val="tx1"/>
            </w14:solidFill>
          </w14:textFill>
        </w:rPr>
        <w:t>程序提请</w:t>
      </w:r>
      <w:r>
        <w:rPr>
          <w:rFonts w:hint="eastAsia" w:ascii="Times New Roman" w:hAnsi="Times New Roman" w:cs="Times New Roman"/>
          <w:color w:val="000000" w:themeColor="text1"/>
          <w:highlight w:val="none"/>
          <w:lang w:eastAsia="zh-CN"/>
          <w14:textFill>
            <w14:solidFill>
              <w14:schemeClr w14:val="tx1"/>
            </w14:solidFill>
          </w14:textFill>
        </w:rPr>
        <w:t>上级部门审核</w:t>
      </w:r>
      <w:r>
        <w:rPr>
          <w:rFonts w:hint="eastAsia" w:ascii="Times New Roman" w:hAnsi="Times New Roman" w:cs="Times New Roman"/>
          <w:color w:val="000000" w:themeColor="text1"/>
          <w:highlight w:val="none"/>
          <w14:textFill>
            <w14:solidFill>
              <w14:schemeClr w14:val="tx1"/>
            </w14:solidFill>
          </w14:textFill>
        </w:rPr>
        <w:t>。</w:t>
      </w:r>
    </w:p>
    <w:p w14:paraId="4DBE0999">
      <w:pPr>
        <w:rPr>
          <w:rFonts w:ascii="Times New Roman" w:hAnsi="Times New Roma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00" w:usb3="00000000" w:csb0="0016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F559">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876D4">
                          <w:pPr>
                            <w:pStyle w:val="9"/>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7876D4">
                    <w:pPr>
                      <w:pStyle w:val="9"/>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2AA9E">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6E17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50B6D">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2CAF">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D184">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BF700"/>
    <w:multiLevelType w:val="singleLevel"/>
    <w:tmpl w:val="6C0BF7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0ODdiNzU4ODkyYmYwMTc1ZjNhODBkNDc4MDVjNjEifQ=="/>
  </w:docVars>
  <w:rsids>
    <w:rsidRoot w:val="E9B67E64"/>
    <w:rsid w:val="000634E8"/>
    <w:rsid w:val="00063BEC"/>
    <w:rsid w:val="00110B08"/>
    <w:rsid w:val="00146B19"/>
    <w:rsid w:val="00164A0C"/>
    <w:rsid w:val="00195CE9"/>
    <w:rsid w:val="001A364C"/>
    <w:rsid w:val="001B4C21"/>
    <w:rsid w:val="001F4696"/>
    <w:rsid w:val="00221B20"/>
    <w:rsid w:val="00285DD5"/>
    <w:rsid w:val="002C3608"/>
    <w:rsid w:val="002F029C"/>
    <w:rsid w:val="002F5D66"/>
    <w:rsid w:val="003001E6"/>
    <w:rsid w:val="00353FC1"/>
    <w:rsid w:val="003B355F"/>
    <w:rsid w:val="003B551A"/>
    <w:rsid w:val="003C74F6"/>
    <w:rsid w:val="003F7B53"/>
    <w:rsid w:val="00427FD1"/>
    <w:rsid w:val="00430D38"/>
    <w:rsid w:val="004A773C"/>
    <w:rsid w:val="004E2E1C"/>
    <w:rsid w:val="004E3418"/>
    <w:rsid w:val="0050705B"/>
    <w:rsid w:val="005559F7"/>
    <w:rsid w:val="005B1E70"/>
    <w:rsid w:val="005B30F6"/>
    <w:rsid w:val="005F02CC"/>
    <w:rsid w:val="00602015"/>
    <w:rsid w:val="006119C7"/>
    <w:rsid w:val="006379A3"/>
    <w:rsid w:val="00657F4F"/>
    <w:rsid w:val="00666FC9"/>
    <w:rsid w:val="0068420A"/>
    <w:rsid w:val="006B399C"/>
    <w:rsid w:val="006D0349"/>
    <w:rsid w:val="00720720"/>
    <w:rsid w:val="007B4CDC"/>
    <w:rsid w:val="007D053B"/>
    <w:rsid w:val="00803217"/>
    <w:rsid w:val="00803580"/>
    <w:rsid w:val="008639F3"/>
    <w:rsid w:val="008A11C7"/>
    <w:rsid w:val="008B434C"/>
    <w:rsid w:val="008B5BBE"/>
    <w:rsid w:val="008C7390"/>
    <w:rsid w:val="00905DE2"/>
    <w:rsid w:val="0092306A"/>
    <w:rsid w:val="00971823"/>
    <w:rsid w:val="009A5977"/>
    <w:rsid w:val="009B0221"/>
    <w:rsid w:val="009E5B9A"/>
    <w:rsid w:val="009E6CCF"/>
    <w:rsid w:val="00A06172"/>
    <w:rsid w:val="00A34CD3"/>
    <w:rsid w:val="00AC1611"/>
    <w:rsid w:val="00AF7D85"/>
    <w:rsid w:val="00B03825"/>
    <w:rsid w:val="00B541BC"/>
    <w:rsid w:val="00B75306"/>
    <w:rsid w:val="00C13570"/>
    <w:rsid w:val="00C2562E"/>
    <w:rsid w:val="00C3333D"/>
    <w:rsid w:val="00C44724"/>
    <w:rsid w:val="00C460BB"/>
    <w:rsid w:val="00C70EA0"/>
    <w:rsid w:val="00CB36F1"/>
    <w:rsid w:val="00CF00CC"/>
    <w:rsid w:val="00D132E7"/>
    <w:rsid w:val="00D25A48"/>
    <w:rsid w:val="00D52CE1"/>
    <w:rsid w:val="00D57870"/>
    <w:rsid w:val="00D93D0C"/>
    <w:rsid w:val="00D94D32"/>
    <w:rsid w:val="00D96014"/>
    <w:rsid w:val="00DB71BB"/>
    <w:rsid w:val="00E01E3A"/>
    <w:rsid w:val="00EA5B15"/>
    <w:rsid w:val="00EA6FAB"/>
    <w:rsid w:val="00EB012A"/>
    <w:rsid w:val="00EE66D4"/>
    <w:rsid w:val="00F3105C"/>
    <w:rsid w:val="00F544CD"/>
    <w:rsid w:val="00F6321F"/>
    <w:rsid w:val="00F6769C"/>
    <w:rsid w:val="00F939E2"/>
    <w:rsid w:val="01431A4A"/>
    <w:rsid w:val="02075BF9"/>
    <w:rsid w:val="03E30DBA"/>
    <w:rsid w:val="05C84C14"/>
    <w:rsid w:val="0787390A"/>
    <w:rsid w:val="07E056AE"/>
    <w:rsid w:val="09905920"/>
    <w:rsid w:val="0BBC48D3"/>
    <w:rsid w:val="0CAC4948"/>
    <w:rsid w:val="0F7F4EEC"/>
    <w:rsid w:val="10A65B52"/>
    <w:rsid w:val="17222C66"/>
    <w:rsid w:val="19A05834"/>
    <w:rsid w:val="1A583CD4"/>
    <w:rsid w:val="1D7FCAA9"/>
    <w:rsid w:val="1D7FEB7C"/>
    <w:rsid w:val="1DA05B37"/>
    <w:rsid w:val="220821C8"/>
    <w:rsid w:val="27EE1E60"/>
    <w:rsid w:val="2A972B4F"/>
    <w:rsid w:val="2ABC4498"/>
    <w:rsid w:val="2BEE41C3"/>
    <w:rsid w:val="2EFC4202"/>
    <w:rsid w:val="2FFFA2C0"/>
    <w:rsid w:val="31A45E1B"/>
    <w:rsid w:val="320261C4"/>
    <w:rsid w:val="32CC7242"/>
    <w:rsid w:val="32F2764A"/>
    <w:rsid w:val="36062F75"/>
    <w:rsid w:val="36E7464B"/>
    <w:rsid w:val="38AD5420"/>
    <w:rsid w:val="3B283FEC"/>
    <w:rsid w:val="3BC63110"/>
    <w:rsid w:val="3CB925E5"/>
    <w:rsid w:val="3DCC00F6"/>
    <w:rsid w:val="3FEE7AC4"/>
    <w:rsid w:val="41B15F81"/>
    <w:rsid w:val="44594BE0"/>
    <w:rsid w:val="45B778DE"/>
    <w:rsid w:val="46756952"/>
    <w:rsid w:val="49F70BF1"/>
    <w:rsid w:val="4D1BC46C"/>
    <w:rsid w:val="4FE20A36"/>
    <w:rsid w:val="50497E62"/>
    <w:rsid w:val="5411663E"/>
    <w:rsid w:val="54775750"/>
    <w:rsid w:val="54A8018B"/>
    <w:rsid w:val="54A83213"/>
    <w:rsid w:val="58DC7D9A"/>
    <w:rsid w:val="58E07B7D"/>
    <w:rsid w:val="59FE667F"/>
    <w:rsid w:val="62B337E3"/>
    <w:rsid w:val="63424833"/>
    <w:rsid w:val="63BE042F"/>
    <w:rsid w:val="642637B8"/>
    <w:rsid w:val="65453DB0"/>
    <w:rsid w:val="68077DF9"/>
    <w:rsid w:val="689E3355"/>
    <w:rsid w:val="69771B72"/>
    <w:rsid w:val="6B55217C"/>
    <w:rsid w:val="6B715CB5"/>
    <w:rsid w:val="6C36BD37"/>
    <w:rsid w:val="6CDF1345"/>
    <w:rsid w:val="6D853C9A"/>
    <w:rsid w:val="6F872A36"/>
    <w:rsid w:val="73FB113A"/>
    <w:rsid w:val="77E5A922"/>
    <w:rsid w:val="77FDA8F0"/>
    <w:rsid w:val="78A771BA"/>
    <w:rsid w:val="79132552"/>
    <w:rsid w:val="79CA197C"/>
    <w:rsid w:val="7A775DC6"/>
    <w:rsid w:val="7CE32770"/>
    <w:rsid w:val="7E003B55"/>
    <w:rsid w:val="7E0923F7"/>
    <w:rsid w:val="7F7EFD79"/>
    <w:rsid w:val="7F9AECD7"/>
    <w:rsid w:val="7FD917FB"/>
    <w:rsid w:val="7FDFA704"/>
    <w:rsid w:val="7FEF86F5"/>
    <w:rsid w:val="9FFD9CC2"/>
    <w:rsid w:val="C55EF2B4"/>
    <w:rsid w:val="C79F677B"/>
    <w:rsid w:val="CFFB3D3A"/>
    <w:rsid w:val="DBB9EC48"/>
    <w:rsid w:val="DED732F9"/>
    <w:rsid w:val="E2BA287B"/>
    <w:rsid w:val="E9B67E64"/>
    <w:rsid w:val="EAF774D9"/>
    <w:rsid w:val="EDE79740"/>
    <w:rsid w:val="F6FE93E0"/>
    <w:rsid w:val="F7F7FBE2"/>
    <w:rsid w:val="FB3B85BE"/>
    <w:rsid w:val="FBAE75A5"/>
    <w:rsid w:val="FBF97BD8"/>
    <w:rsid w:val="FBFD05E0"/>
    <w:rsid w:val="FEF280CF"/>
    <w:rsid w:val="FFD1D1B8"/>
    <w:rsid w:val="FFFFA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4"/>
    <w:qFormat/>
    <w:uiPriority w:val="0"/>
    <w:pPr>
      <w:keepNext/>
      <w:keepLines/>
      <w:outlineLvl w:val="0"/>
    </w:pPr>
    <w:rPr>
      <w:rFonts w:eastAsia="黑体" w:cstheme="minorBidi"/>
      <w:bCs/>
      <w:kern w:val="44"/>
      <w:szCs w:val="44"/>
    </w:rPr>
  </w:style>
  <w:style w:type="paragraph" w:styleId="4">
    <w:name w:val="heading 2"/>
    <w:basedOn w:val="1"/>
    <w:next w:val="1"/>
    <w:unhideWhenUsed/>
    <w:qFormat/>
    <w:uiPriority w:val="0"/>
    <w:pPr>
      <w:keepNext/>
      <w:keepLines/>
      <w:outlineLvl w:val="1"/>
    </w:pPr>
    <w:rPr>
      <w:rFonts w:eastAsia="楷体_GB2312"/>
      <w:bCs/>
      <w:szCs w:val="32"/>
    </w:rPr>
  </w:style>
  <w:style w:type="paragraph" w:styleId="5">
    <w:name w:val="heading 3"/>
    <w:basedOn w:val="1"/>
    <w:next w:val="1"/>
    <w:unhideWhenUsed/>
    <w:qFormat/>
    <w:uiPriority w:val="0"/>
    <w:pPr>
      <w:keepNext/>
      <w:keepLines/>
      <w:spacing w:line="360" w:lineRule="auto"/>
      <w:ind w:firstLine="562" w:firstLineChars="200"/>
      <w:jc w:val="left"/>
      <w:outlineLvl w:val="2"/>
    </w:pPr>
    <w:rPr>
      <w:rFonts w:ascii="Times New Roman" w:hAnsi="Times New Roman" w:eastAsia="宋体"/>
      <w:b/>
      <w:bCs/>
      <w:sz w:val="24"/>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rPr>
  </w:style>
  <w:style w:type="paragraph" w:styleId="6">
    <w:name w:val="Body Text"/>
    <w:basedOn w:val="1"/>
    <w:qFormat/>
    <w:uiPriority w:val="0"/>
    <w:pPr>
      <w:adjustRightInd w:val="0"/>
      <w:snapToGrid w:val="0"/>
      <w:spacing w:line="329" w:lineRule="auto"/>
    </w:pPr>
    <w:rPr>
      <w:rFonts w:ascii="仿宋_GB2312" w:hAnsi="Times New Roman" w:eastAsia="仿宋_GB2312" w:cs="Times New Roman"/>
      <w:kern w:val="0"/>
      <w:sz w:val="32"/>
      <w:szCs w:val="24"/>
    </w:rPr>
  </w:style>
  <w:style w:type="paragraph" w:styleId="7">
    <w:name w:val="Plain Text"/>
    <w:basedOn w:val="1"/>
    <w:unhideWhenUsed/>
    <w:qFormat/>
    <w:uiPriority w:val="0"/>
    <w:rPr>
      <w:rFonts w:ascii="宋体" w:hAnsi="Courier New" w:cs="Courier New"/>
      <w:sz w:val="21"/>
      <w:szCs w:val="21"/>
    </w:rPr>
  </w:style>
  <w:style w:type="paragraph" w:styleId="8">
    <w:name w:val="Balloon Text"/>
    <w:basedOn w:val="1"/>
    <w:link w:val="16"/>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0"/>
    <w:rPr>
      <w:rFonts w:eastAsia="Songti SC"/>
      <w:sz w:val="24"/>
    </w:rPr>
  </w:style>
  <w:style w:type="character" w:customStyle="1" w:styleId="14">
    <w:name w:val="标题 1 Char"/>
    <w:basedOn w:val="13"/>
    <w:link w:val="3"/>
    <w:qFormat/>
    <w:uiPriority w:val="9"/>
    <w:rPr>
      <w:rFonts w:ascii="Times New Roman" w:hAnsi="Times New Roman" w:eastAsia="黑体" w:cstheme="minorBidi"/>
      <w:bCs/>
      <w:kern w:val="44"/>
      <w:sz w:val="32"/>
      <w:szCs w:val="44"/>
    </w:rPr>
  </w:style>
  <w:style w:type="paragraph" w:customStyle="1" w:styleId="15">
    <w:name w:val="题目"/>
    <w:basedOn w:val="1"/>
    <w:next w:val="1"/>
    <w:qFormat/>
    <w:uiPriority w:val="0"/>
    <w:pPr>
      <w:spacing w:line="640" w:lineRule="exact"/>
      <w:ind w:firstLine="0" w:firstLineChars="0"/>
    </w:pPr>
    <w:rPr>
      <w:rFonts w:eastAsia="方正小标宋_GBK"/>
      <w:sz w:val="44"/>
      <w:lang w:eastAsia="zh-Hans"/>
    </w:rPr>
  </w:style>
  <w:style w:type="character" w:customStyle="1" w:styleId="16">
    <w:name w:val="批注框文本 Char"/>
    <w:basedOn w:val="13"/>
    <w:link w:val="8"/>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1731</Words>
  <Characters>1883</Characters>
  <Lines>9</Lines>
  <Paragraphs>2</Paragraphs>
  <TotalTime>1</TotalTime>
  <ScaleCrop>false</ScaleCrop>
  <LinksUpToDate>false</LinksUpToDate>
  <CharactersWithSpaces>1883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2023-09-02T05:44:00Z</dcterms:created>
  <dc:creator>杨    敏</dc:creator>
  <cp:lastModifiedBy>鹿屿生°</cp:lastModifiedBy>
  <cp:lastPrinted>2024-12-13T02:49:00Z</cp:lastPrinted>
  <dcterms:modified xsi:type="dcterms:W3CDTF">2025-06-19T07:13:14Z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AEEE28671CC04618B5B621FA75747C1C_13</vt:lpwstr>
  </property>
  <property fmtid="{D5CDD505-2E9C-101B-9397-08002B2CF9AE}" pid="4" name="KSOTemplateDocerSaveRecord">
    <vt:lpwstr>eyJoZGlkIjoiNzQyZmVjODE1YTY2N2U2ZTM5MmM3MDg2NDgzNDg5MWQiLCJ1c2VySWQiOiIzNTI2OTc3MTcifQ==</vt:lpwstr>
  </property>
</Properties>
</file>