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outlineLvl w:val="1"/>
        <w:rPr>
          <w:rFonts w:ascii="Times New Roman" w:hAnsi="Times New Roman" w:eastAsia="方正小标宋简体"/>
          <w:color w:val="000000"/>
          <w:kern w:val="36"/>
          <w:sz w:val="36"/>
          <w:szCs w:val="36"/>
        </w:rPr>
      </w:pPr>
      <w:r>
        <w:rPr>
          <w:rFonts w:ascii="Times New Roman" w:hAnsi="Times New Roman" w:eastAsia="方正小标宋简体"/>
          <w:color w:val="000000"/>
          <w:kern w:val="36"/>
          <w:sz w:val="36"/>
          <w:szCs w:val="36"/>
        </w:rPr>
        <w:t>昆明市生态环境局</w:t>
      </w:r>
      <w:r>
        <w:rPr>
          <w:rFonts w:ascii="Times New Roman" w:hAnsi="Times New Roman" w:eastAsia="方正小标宋简体"/>
          <w:kern w:val="36"/>
          <w:sz w:val="36"/>
          <w:szCs w:val="36"/>
        </w:rPr>
        <w:t>嵩明分局</w:t>
      </w:r>
      <w:r>
        <w:rPr>
          <w:rFonts w:ascii="Times New Roman" w:hAnsi="Times New Roman" w:eastAsia="方正小标宋简体"/>
          <w:color w:val="000000"/>
          <w:kern w:val="36"/>
          <w:sz w:val="36"/>
          <w:szCs w:val="36"/>
        </w:rPr>
        <w:t>关于202</w:t>
      </w:r>
      <w:r>
        <w:rPr>
          <w:rFonts w:hint="eastAsia" w:ascii="Times New Roman" w:hAnsi="Times New Roman" w:eastAsia="方正小标宋简体"/>
          <w:color w:val="000000"/>
          <w:kern w:val="36"/>
          <w:sz w:val="36"/>
          <w:szCs w:val="36"/>
          <w:lang w:val="en-US" w:eastAsia="zh-CN"/>
        </w:rPr>
        <w:t>5</w:t>
      </w:r>
      <w:r>
        <w:rPr>
          <w:rFonts w:ascii="Times New Roman" w:hAnsi="Times New Roman" w:eastAsia="方正小标宋简体"/>
          <w:color w:val="000000"/>
          <w:kern w:val="36"/>
          <w:sz w:val="36"/>
          <w:szCs w:val="36"/>
        </w:rPr>
        <w:t>年</w:t>
      </w:r>
      <w:r>
        <w:rPr>
          <w:rFonts w:hint="eastAsia" w:ascii="Times New Roman" w:hAnsi="Times New Roman" w:eastAsia="方正小标宋简体"/>
          <w:color w:val="000000"/>
          <w:kern w:val="36"/>
          <w:sz w:val="36"/>
          <w:szCs w:val="36"/>
          <w:lang w:val="en-US" w:eastAsia="zh-CN"/>
        </w:rPr>
        <w:t>5</w:t>
      </w:r>
      <w:r>
        <w:rPr>
          <w:rFonts w:ascii="Times New Roman" w:hAnsi="Times New Roman" w:eastAsia="方正小标宋简体"/>
          <w:color w:val="000000"/>
          <w:kern w:val="36"/>
          <w:sz w:val="36"/>
          <w:szCs w:val="36"/>
        </w:rPr>
        <w:t>月</w:t>
      </w:r>
      <w:r>
        <w:rPr>
          <w:rFonts w:hint="eastAsia" w:ascii="Times New Roman" w:hAnsi="Times New Roman" w:eastAsia="方正小标宋简体"/>
          <w:color w:val="000000"/>
          <w:kern w:val="36"/>
          <w:sz w:val="36"/>
          <w:szCs w:val="36"/>
          <w:lang w:val="en-US" w:eastAsia="zh-CN"/>
        </w:rPr>
        <w:t>14</w:t>
      </w:r>
      <w:r>
        <w:rPr>
          <w:rFonts w:ascii="Times New Roman" w:hAnsi="Times New Roman" w:eastAsia="方正小标宋简体"/>
          <w:color w:val="000000"/>
          <w:kern w:val="36"/>
          <w:sz w:val="36"/>
          <w:szCs w:val="36"/>
        </w:rPr>
        <w:t>日</w:t>
      </w:r>
    </w:p>
    <w:p>
      <w:pPr>
        <w:widowControl/>
        <w:spacing w:line="560" w:lineRule="exact"/>
        <w:jc w:val="center"/>
        <w:outlineLvl w:val="1"/>
        <w:rPr>
          <w:rFonts w:ascii="Times New Roman" w:hAnsi="Times New Roman" w:eastAsia="方正小标宋简体"/>
          <w:color w:val="000000"/>
          <w:kern w:val="36"/>
          <w:sz w:val="36"/>
          <w:szCs w:val="36"/>
        </w:rPr>
      </w:pPr>
      <w:r>
        <w:rPr>
          <w:rFonts w:ascii="Times New Roman" w:hAnsi="Times New Roman" w:eastAsia="方正小标宋简体"/>
          <w:color w:val="000000"/>
          <w:kern w:val="36"/>
          <w:sz w:val="36"/>
          <w:szCs w:val="36"/>
        </w:rPr>
        <w:t>建设项目环境影响评价文件受理情况的公示</w:t>
      </w:r>
    </w:p>
    <w:p>
      <w:pPr>
        <w:widowControl/>
        <w:spacing w:line="560" w:lineRule="exact"/>
        <w:ind w:firstLine="640" w:firstLineChars="200"/>
        <w:jc w:val="center"/>
        <w:outlineLvl w:val="1"/>
        <w:rPr>
          <w:rFonts w:ascii="Times New Roman" w:hAnsi="Times New Roman" w:eastAsia="仿宋_GB2312"/>
          <w:color w:val="000000"/>
          <w:kern w:val="36"/>
          <w:sz w:val="32"/>
          <w:szCs w:val="32"/>
        </w:rPr>
      </w:pPr>
    </w:p>
    <w:p>
      <w:pPr>
        <w:widowControl/>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根据建设项目环境影响评价审批程序的有关规定，202</w:t>
      </w:r>
      <w:r>
        <w:rPr>
          <w:rFonts w:hint="eastAsia" w:ascii="Times New Roman" w:hAnsi="Times New Roman" w:eastAsia="仿宋_GB2312"/>
          <w:color w:val="000000"/>
          <w:kern w:val="0"/>
          <w:sz w:val="32"/>
          <w:szCs w:val="32"/>
          <w:lang w:val="en-US" w:eastAsia="zh-CN"/>
        </w:rPr>
        <w:t>5</w:t>
      </w:r>
      <w:r>
        <w:rPr>
          <w:rFonts w:ascii="Times New Roman" w:hAnsi="Times New Roman" w:eastAsia="仿宋_GB2312"/>
          <w:color w:val="000000"/>
          <w:kern w:val="0"/>
          <w:sz w:val="32"/>
          <w:szCs w:val="32"/>
        </w:rPr>
        <w:t>年</w:t>
      </w:r>
      <w:r>
        <w:rPr>
          <w:rFonts w:hint="eastAsia" w:ascii="Times New Roman" w:hAnsi="Times New Roman" w:eastAsia="仿宋_GB2312"/>
          <w:color w:val="000000"/>
          <w:kern w:val="0"/>
          <w:sz w:val="32"/>
          <w:szCs w:val="32"/>
          <w:lang w:val="en-US" w:eastAsia="zh-CN"/>
        </w:rPr>
        <w:t>5</w:t>
      </w:r>
      <w:r>
        <w:rPr>
          <w:rFonts w:ascii="Times New Roman" w:hAnsi="Times New Roman" w:eastAsia="仿宋_GB2312"/>
          <w:color w:val="000000"/>
          <w:kern w:val="0"/>
          <w:sz w:val="32"/>
          <w:szCs w:val="32"/>
        </w:rPr>
        <w:t>月</w:t>
      </w:r>
      <w:r>
        <w:rPr>
          <w:rFonts w:hint="eastAsia" w:ascii="Times New Roman" w:hAnsi="Times New Roman" w:eastAsia="仿宋_GB2312"/>
          <w:color w:val="000000"/>
          <w:kern w:val="0"/>
          <w:sz w:val="32"/>
          <w:szCs w:val="32"/>
          <w:lang w:val="en-US" w:eastAsia="zh-CN"/>
        </w:rPr>
        <w:t>14日</w:t>
      </w:r>
      <w:r>
        <w:rPr>
          <w:rFonts w:ascii="Times New Roman" w:hAnsi="Times New Roman" w:eastAsia="仿宋_GB2312"/>
          <w:color w:val="000000"/>
          <w:kern w:val="0"/>
          <w:sz w:val="32"/>
          <w:szCs w:val="32"/>
        </w:rPr>
        <w:t>，我局同意受理</w:t>
      </w:r>
      <w:r>
        <w:rPr>
          <w:rFonts w:hint="eastAsia" w:ascii="Times New Roman" w:hAnsi="Times New Roman" w:eastAsia="仿宋_GB2312"/>
          <w:color w:val="000000"/>
          <w:kern w:val="0"/>
          <w:sz w:val="32"/>
          <w:szCs w:val="32"/>
          <w:lang w:val="en-US" w:eastAsia="zh-CN"/>
        </w:rPr>
        <w:t>6</w:t>
      </w:r>
      <w:r>
        <w:rPr>
          <w:rFonts w:ascii="Times New Roman" w:hAnsi="Times New Roman" w:eastAsia="仿宋_GB2312"/>
          <w:color w:val="000000"/>
          <w:kern w:val="0"/>
          <w:sz w:val="32"/>
          <w:szCs w:val="32"/>
        </w:rPr>
        <w:t>个建设项目环境影响评价文件，现将受理情况予以公告，公示期为202</w:t>
      </w:r>
      <w:r>
        <w:rPr>
          <w:rFonts w:hint="eastAsia" w:ascii="Times New Roman" w:hAnsi="Times New Roman" w:eastAsia="仿宋_GB2312"/>
          <w:color w:val="000000"/>
          <w:kern w:val="0"/>
          <w:sz w:val="32"/>
          <w:szCs w:val="32"/>
          <w:lang w:val="en-US" w:eastAsia="zh-CN"/>
        </w:rPr>
        <w:t>5</w:t>
      </w:r>
      <w:r>
        <w:rPr>
          <w:rFonts w:ascii="Times New Roman" w:hAnsi="Times New Roman" w:eastAsia="仿宋_GB2312"/>
          <w:color w:val="000000"/>
          <w:kern w:val="0"/>
          <w:sz w:val="32"/>
          <w:szCs w:val="32"/>
        </w:rPr>
        <w:t>年</w:t>
      </w:r>
      <w:r>
        <w:rPr>
          <w:rFonts w:hint="eastAsia" w:ascii="Times New Roman" w:hAnsi="Times New Roman" w:eastAsia="仿宋_GB2312"/>
          <w:color w:val="000000"/>
          <w:kern w:val="0"/>
          <w:sz w:val="32"/>
          <w:szCs w:val="32"/>
          <w:lang w:val="en-US" w:eastAsia="zh-CN"/>
        </w:rPr>
        <w:t>5</w:t>
      </w:r>
      <w:r>
        <w:rPr>
          <w:rFonts w:ascii="Times New Roman" w:hAnsi="Times New Roman" w:eastAsia="仿宋_GB2312"/>
          <w:color w:val="000000"/>
          <w:kern w:val="0"/>
          <w:sz w:val="32"/>
          <w:szCs w:val="32"/>
        </w:rPr>
        <w:t>月</w:t>
      </w:r>
      <w:r>
        <w:rPr>
          <w:rFonts w:hint="eastAsia" w:ascii="Times New Roman" w:hAnsi="Times New Roman" w:eastAsia="仿宋_GB2312"/>
          <w:color w:val="000000"/>
          <w:kern w:val="0"/>
          <w:sz w:val="32"/>
          <w:szCs w:val="32"/>
          <w:lang w:val="en-US" w:eastAsia="zh-CN"/>
        </w:rPr>
        <w:t>14</w:t>
      </w:r>
      <w:r>
        <w:rPr>
          <w:rFonts w:ascii="Times New Roman" w:hAnsi="Times New Roman" w:eastAsia="仿宋_GB2312"/>
          <w:color w:val="000000"/>
          <w:kern w:val="0"/>
          <w:sz w:val="32"/>
          <w:szCs w:val="32"/>
        </w:rPr>
        <w:t>日至202</w:t>
      </w:r>
      <w:r>
        <w:rPr>
          <w:rFonts w:hint="eastAsia" w:ascii="Times New Roman" w:hAnsi="Times New Roman" w:eastAsia="仿宋_GB2312"/>
          <w:color w:val="000000"/>
          <w:kern w:val="0"/>
          <w:sz w:val="32"/>
          <w:szCs w:val="32"/>
          <w:lang w:val="en-US" w:eastAsia="zh-CN"/>
        </w:rPr>
        <w:t>5</w:t>
      </w:r>
      <w:r>
        <w:rPr>
          <w:rFonts w:ascii="Times New Roman" w:hAnsi="Times New Roman" w:eastAsia="仿宋_GB2312"/>
          <w:color w:val="000000"/>
          <w:kern w:val="0"/>
          <w:sz w:val="32"/>
          <w:szCs w:val="32"/>
        </w:rPr>
        <w:t>年</w:t>
      </w:r>
      <w:r>
        <w:rPr>
          <w:rFonts w:hint="eastAsia" w:ascii="Times New Roman" w:hAnsi="Times New Roman" w:eastAsia="仿宋_GB2312"/>
          <w:color w:val="000000"/>
          <w:kern w:val="0"/>
          <w:sz w:val="32"/>
          <w:szCs w:val="32"/>
          <w:lang w:val="en-US" w:eastAsia="zh-CN"/>
        </w:rPr>
        <w:t>5</w:t>
      </w:r>
      <w:r>
        <w:rPr>
          <w:rFonts w:ascii="Times New Roman" w:hAnsi="Times New Roman" w:eastAsia="仿宋_GB2312"/>
          <w:color w:val="000000"/>
          <w:kern w:val="0"/>
          <w:sz w:val="32"/>
          <w:szCs w:val="32"/>
        </w:rPr>
        <w:t>月</w:t>
      </w:r>
      <w:r>
        <w:rPr>
          <w:rFonts w:hint="eastAsia" w:ascii="Times New Roman" w:hAnsi="Times New Roman" w:eastAsia="仿宋_GB2312"/>
          <w:color w:val="000000"/>
          <w:kern w:val="0"/>
          <w:sz w:val="32"/>
          <w:szCs w:val="32"/>
          <w:lang w:val="en-US" w:eastAsia="zh-CN"/>
        </w:rPr>
        <w:t>20</w:t>
      </w:r>
      <w:r>
        <w:rPr>
          <w:rFonts w:ascii="Times New Roman" w:hAnsi="Times New Roman" w:eastAsia="仿宋_GB2312"/>
          <w:color w:val="000000"/>
          <w:kern w:val="0"/>
          <w:sz w:val="32"/>
          <w:szCs w:val="32"/>
        </w:rPr>
        <w:t>日（</w:t>
      </w:r>
      <w:r>
        <w:rPr>
          <w:rFonts w:hint="eastAsia" w:ascii="Times New Roman" w:hAnsi="Times New Roman" w:eastAsia="仿宋_GB2312"/>
          <w:color w:val="000000"/>
          <w:kern w:val="0"/>
          <w:sz w:val="32"/>
          <w:szCs w:val="32"/>
          <w:lang w:val="en-US" w:eastAsia="zh-CN"/>
        </w:rPr>
        <w:t>5</w:t>
      </w:r>
      <w:r>
        <w:rPr>
          <w:rFonts w:ascii="Times New Roman" w:hAnsi="Times New Roman" w:eastAsia="仿宋_GB2312"/>
          <w:color w:val="000000"/>
          <w:kern w:val="0"/>
          <w:sz w:val="32"/>
          <w:szCs w:val="32"/>
        </w:rPr>
        <w:t>个工作日）。</w:t>
      </w:r>
    </w:p>
    <w:p>
      <w:pPr>
        <w:widowControl/>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color w:val="000000"/>
          <w:kern w:val="0"/>
          <w:sz w:val="32"/>
          <w:szCs w:val="32"/>
        </w:rPr>
        <w:t>联系方式：</w:t>
      </w:r>
      <w:r>
        <w:rPr>
          <w:rFonts w:ascii="Times New Roman" w:hAnsi="Times New Roman" w:eastAsia="仿宋_GB2312"/>
          <w:kern w:val="0"/>
          <w:sz w:val="32"/>
          <w:szCs w:val="32"/>
        </w:rPr>
        <w:t>电话/传真：0871-67911933  0871-67910097</w:t>
      </w:r>
    </w:p>
    <w:p>
      <w:pPr>
        <w:widowControl/>
        <w:spacing w:line="560" w:lineRule="exact"/>
        <w:ind w:firstLine="640" w:firstLineChars="200"/>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eastAsia="zh-CN"/>
        </w:rPr>
        <w:t>电子版与纸质版存放地点</w:t>
      </w:r>
      <w:r>
        <w:rPr>
          <w:rFonts w:ascii="Times New Roman" w:hAnsi="Times New Roman" w:eastAsia="仿宋_GB2312"/>
          <w:kern w:val="0"/>
          <w:sz w:val="32"/>
          <w:szCs w:val="32"/>
        </w:rPr>
        <w:t>：嵩明县北部行政办公区昆明市生态环境局嵩明分局</w:t>
      </w:r>
      <w:r>
        <w:rPr>
          <w:rFonts w:hint="eastAsia" w:ascii="Times New Roman" w:hAnsi="Times New Roman" w:eastAsia="仿宋_GB2312"/>
          <w:kern w:val="0"/>
          <w:sz w:val="32"/>
          <w:szCs w:val="32"/>
          <w:lang w:val="en-US" w:eastAsia="zh-CN"/>
        </w:rPr>
        <w:t>208室</w:t>
      </w:r>
    </w:p>
    <w:p>
      <w:pPr>
        <w:widowControl/>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邮编：651700</w:t>
      </w:r>
    </w:p>
    <w:p>
      <w:pPr>
        <w:pStyle w:val="12"/>
      </w:pPr>
    </w:p>
    <w:tbl>
      <w:tblPr>
        <w:tblStyle w:val="10"/>
        <w:tblpPr w:leftFromText="180" w:rightFromText="180" w:vertAnchor="text" w:horzAnchor="page" w:tblpX="781" w:tblpY="348"/>
        <w:tblOverlap w:val="never"/>
        <w:tblW w:w="105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3126"/>
        <w:gridCol w:w="2160"/>
        <w:gridCol w:w="1740"/>
        <w:gridCol w:w="1530"/>
        <w:gridCol w:w="13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noWrap w:val="0"/>
            <w:vAlign w:val="top"/>
          </w:tcPr>
          <w:p>
            <w:pPr>
              <w:widowControl/>
              <w:spacing w:line="5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序号</w:t>
            </w:r>
          </w:p>
        </w:tc>
        <w:tc>
          <w:tcPr>
            <w:tcW w:w="3126" w:type="dxa"/>
            <w:noWrap w:val="0"/>
            <w:vAlign w:val="top"/>
          </w:tcPr>
          <w:p>
            <w:pPr>
              <w:widowControl/>
              <w:spacing w:line="5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文件名称</w:t>
            </w:r>
          </w:p>
        </w:tc>
        <w:tc>
          <w:tcPr>
            <w:tcW w:w="2160" w:type="dxa"/>
            <w:noWrap w:val="0"/>
            <w:vAlign w:val="top"/>
          </w:tcPr>
          <w:p>
            <w:pPr>
              <w:widowControl/>
              <w:spacing w:line="5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建设地点</w:t>
            </w:r>
          </w:p>
        </w:tc>
        <w:tc>
          <w:tcPr>
            <w:tcW w:w="1740" w:type="dxa"/>
            <w:noWrap w:val="0"/>
            <w:vAlign w:val="top"/>
          </w:tcPr>
          <w:p>
            <w:pPr>
              <w:widowControl/>
              <w:spacing w:line="5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建设单位</w:t>
            </w:r>
          </w:p>
        </w:tc>
        <w:tc>
          <w:tcPr>
            <w:tcW w:w="1530" w:type="dxa"/>
            <w:noWrap w:val="0"/>
            <w:vAlign w:val="top"/>
          </w:tcPr>
          <w:p>
            <w:pPr>
              <w:widowControl/>
              <w:spacing w:line="5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环评单位</w:t>
            </w:r>
          </w:p>
        </w:tc>
        <w:tc>
          <w:tcPr>
            <w:tcW w:w="1315" w:type="dxa"/>
            <w:noWrap w:val="0"/>
            <w:vAlign w:val="top"/>
          </w:tcPr>
          <w:p>
            <w:pPr>
              <w:widowControl/>
              <w:spacing w:line="5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受理时间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trPr>
        <w:tc>
          <w:tcPr>
            <w:tcW w:w="708" w:type="dxa"/>
            <w:noWrap w:val="0"/>
            <w:vAlign w:val="center"/>
          </w:tcPr>
          <w:p>
            <w:pPr>
              <w:widowControl/>
              <w:spacing w:line="560" w:lineRule="exact"/>
              <w:jc w:val="center"/>
              <w:rPr>
                <w:rFonts w:hint="default"/>
                <w:lang w:val="en-US" w:eastAsia="zh-CN"/>
              </w:rPr>
            </w:pPr>
            <w:r>
              <w:rPr>
                <w:rFonts w:hint="eastAsia" w:ascii="Times New Roman" w:hAnsi="Times New Roman" w:eastAsia="仿宋_GB2312"/>
                <w:bCs/>
                <w:color w:val="000000"/>
                <w:kern w:val="0"/>
                <w:sz w:val="24"/>
                <w:szCs w:val="24"/>
                <w:lang w:val="en-US" w:eastAsia="zh-CN"/>
              </w:rPr>
              <w:t>1</w:t>
            </w:r>
          </w:p>
        </w:tc>
        <w:tc>
          <w:tcPr>
            <w:tcW w:w="3126" w:type="dxa"/>
            <w:noWrap w:val="0"/>
            <w:vAlign w:val="top"/>
          </w:tcPr>
          <w:p>
            <w:pPr>
              <w:widowControl/>
              <w:spacing w:line="560" w:lineRule="exact"/>
              <w:jc w:val="both"/>
              <w:rPr>
                <w:rFonts w:hint="eastAsia" w:ascii="Times New Roman" w:hAnsi="Times New Roman" w:eastAsia="仿宋_GB2312" w:cs="Times New Roman"/>
                <w:bCs/>
                <w:color w:val="auto"/>
                <w:kern w:val="0"/>
                <w:sz w:val="24"/>
                <w:szCs w:val="24"/>
                <w:lang w:val="en" w:eastAsia="zh-CN"/>
              </w:rPr>
            </w:pPr>
            <w:r>
              <w:rPr>
                <w:rFonts w:hint="eastAsia" w:ascii="Times New Roman" w:hAnsi="Times New Roman" w:eastAsia="仿宋_GB2312" w:cs="Times New Roman"/>
                <w:bCs/>
                <w:color w:val="auto"/>
                <w:kern w:val="0"/>
                <w:sz w:val="24"/>
                <w:szCs w:val="24"/>
                <w:lang w:val="en-US" w:eastAsia="zh-CN"/>
              </w:rPr>
              <w:t>云南安博包装有限责任公司编织袋生产建设项目环境影响报告表</w:t>
            </w:r>
          </w:p>
        </w:tc>
        <w:tc>
          <w:tcPr>
            <w:tcW w:w="2160" w:type="dxa"/>
            <w:noWrap w:val="0"/>
            <w:vAlign w:val="top"/>
          </w:tcPr>
          <w:p>
            <w:pPr>
              <w:widowControl/>
              <w:spacing w:line="560" w:lineRule="exact"/>
              <w:jc w:val="both"/>
              <w:rPr>
                <w:rFonts w:hint="eastAsia"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嵩明县杨林经济技术开发区嘉丽泽农场六分厂内A1-A2厂房</w:t>
            </w:r>
          </w:p>
        </w:tc>
        <w:tc>
          <w:tcPr>
            <w:tcW w:w="1740" w:type="dxa"/>
            <w:noWrap w:val="0"/>
            <w:vAlign w:val="top"/>
          </w:tcPr>
          <w:p>
            <w:pPr>
              <w:widowControl/>
              <w:spacing w:line="560" w:lineRule="exact"/>
              <w:jc w:val="both"/>
              <w:rPr>
                <w:rFonts w:hint="eastAsia" w:ascii="Times New Roman" w:hAnsi="Times New Roman" w:eastAsia="仿宋_GB2312" w:cs="Times New Roman"/>
                <w:bCs/>
                <w:color w:val="auto"/>
                <w:kern w:val="0"/>
                <w:sz w:val="24"/>
                <w:szCs w:val="24"/>
                <w:lang w:val="en" w:eastAsia="zh-CN"/>
              </w:rPr>
            </w:pPr>
            <w:r>
              <w:rPr>
                <w:rFonts w:hint="eastAsia" w:ascii="Times New Roman" w:hAnsi="Times New Roman" w:eastAsia="仿宋_GB2312" w:cs="Times New Roman"/>
                <w:bCs/>
                <w:color w:val="auto"/>
                <w:kern w:val="0"/>
                <w:sz w:val="24"/>
                <w:szCs w:val="24"/>
                <w:lang w:val="en-US" w:eastAsia="zh-CN"/>
              </w:rPr>
              <w:t>云南安博包装有限责任公司</w:t>
            </w:r>
          </w:p>
        </w:tc>
        <w:tc>
          <w:tcPr>
            <w:tcW w:w="1530" w:type="dxa"/>
            <w:noWrap w:val="0"/>
            <w:vAlign w:val="top"/>
          </w:tcPr>
          <w:p>
            <w:pPr>
              <w:widowControl/>
              <w:spacing w:line="560" w:lineRule="exact"/>
              <w:jc w:val="both"/>
              <w:rPr>
                <w:rFonts w:hint="eastAsia"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云南十诚环保科技有限公司</w:t>
            </w:r>
          </w:p>
        </w:tc>
        <w:tc>
          <w:tcPr>
            <w:tcW w:w="1315" w:type="dxa"/>
            <w:noWrap w:val="0"/>
            <w:vAlign w:val="top"/>
          </w:tcPr>
          <w:p>
            <w:pPr>
              <w:widowControl/>
              <w:spacing w:line="560" w:lineRule="exact"/>
              <w:jc w:val="both"/>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olor w:val="000000"/>
                <w:kern w:val="0"/>
                <w:sz w:val="24"/>
                <w:szCs w:val="24"/>
              </w:rPr>
              <w:t>20</w:t>
            </w:r>
            <w:r>
              <w:rPr>
                <w:rFonts w:hint="eastAsia" w:ascii="Times New Roman" w:hAnsi="Times New Roman" w:eastAsia="仿宋_GB2312"/>
                <w:color w:val="000000"/>
                <w:kern w:val="0"/>
                <w:sz w:val="24"/>
                <w:szCs w:val="24"/>
                <w:lang w:val="en-US" w:eastAsia="zh-CN"/>
              </w:rPr>
              <w:t>25</w:t>
            </w:r>
            <w:r>
              <w:rPr>
                <w:rFonts w:hint="eastAsia" w:ascii="Times New Roman" w:hAnsi="Times New Roman" w:eastAsia="仿宋_GB2312"/>
                <w:color w:val="000000"/>
                <w:kern w:val="0"/>
                <w:sz w:val="24"/>
                <w:szCs w:val="24"/>
              </w:rPr>
              <w:t>年</w:t>
            </w:r>
            <w:r>
              <w:rPr>
                <w:rFonts w:hint="eastAsia" w:ascii="Times New Roman" w:hAnsi="Times New Roman" w:eastAsia="仿宋_GB2312"/>
                <w:color w:val="000000"/>
                <w:kern w:val="0"/>
                <w:sz w:val="24"/>
                <w:szCs w:val="24"/>
                <w:lang w:val="en-US" w:eastAsia="zh-CN"/>
              </w:rPr>
              <w:t>5</w:t>
            </w:r>
            <w:r>
              <w:rPr>
                <w:rFonts w:hint="eastAsia" w:ascii="Times New Roman" w:hAnsi="Times New Roman" w:eastAsia="仿宋_GB2312"/>
                <w:color w:val="000000"/>
                <w:kern w:val="0"/>
                <w:sz w:val="24"/>
                <w:szCs w:val="24"/>
              </w:rPr>
              <w:t>月</w:t>
            </w:r>
            <w:r>
              <w:rPr>
                <w:rFonts w:hint="eastAsia" w:ascii="Times New Roman" w:hAnsi="Times New Roman" w:eastAsia="仿宋_GB2312"/>
                <w:color w:val="000000"/>
                <w:kern w:val="0"/>
                <w:sz w:val="24"/>
                <w:szCs w:val="24"/>
                <w:lang w:val="en-US" w:eastAsia="zh-CN"/>
              </w:rPr>
              <w:t>14</w:t>
            </w:r>
            <w:r>
              <w:rPr>
                <w:rFonts w:hint="eastAsia" w:ascii="Times New Roman" w:hAnsi="Times New Roman" w:eastAsia="仿宋_GB2312"/>
                <w:color w:val="000000"/>
                <w:kern w:val="0"/>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trPr>
        <w:tc>
          <w:tcPr>
            <w:tcW w:w="708" w:type="dxa"/>
            <w:noWrap w:val="0"/>
            <w:vAlign w:val="center"/>
          </w:tcPr>
          <w:p>
            <w:pPr>
              <w:widowControl/>
              <w:spacing w:line="560" w:lineRule="exact"/>
              <w:jc w:val="center"/>
              <w:rPr>
                <w:rFonts w:hint="default" w:ascii="Times New Roman" w:hAnsi="Times New Roman" w:eastAsia="仿宋_GB2312"/>
                <w:bCs/>
                <w:color w:val="000000"/>
                <w:kern w:val="0"/>
                <w:sz w:val="24"/>
                <w:szCs w:val="24"/>
                <w:lang w:val="en-US" w:eastAsia="zh-CN"/>
              </w:rPr>
            </w:pPr>
            <w:r>
              <w:rPr>
                <w:rFonts w:hint="eastAsia" w:ascii="Times New Roman" w:hAnsi="Times New Roman" w:eastAsia="仿宋_GB2312"/>
                <w:bCs/>
                <w:color w:val="000000"/>
                <w:kern w:val="0"/>
                <w:sz w:val="24"/>
                <w:szCs w:val="24"/>
                <w:lang w:val="en-US" w:eastAsia="zh-CN"/>
              </w:rPr>
              <w:t>2</w:t>
            </w:r>
          </w:p>
        </w:tc>
        <w:tc>
          <w:tcPr>
            <w:tcW w:w="3126" w:type="dxa"/>
            <w:noWrap w:val="0"/>
            <w:vAlign w:val="top"/>
          </w:tcPr>
          <w:p>
            <w:pPr>
              <w:widowControl/>
              <w:spacing w:line="560" w:lineRule="exact"/>
              <w:jc w:val="both"/>
              <w:rPr>
                <w:rFonts w:hint="eastAsia" w:ascii="Times New Roman" w:hAnsi="Times New Roman" w:eastAsia="仿宋_GB2312" w:cs="Times New Roman"/>
                <w:bCs/>
                <w:color w:val="auto"/>
                <w:kern w:val="0"/>
                <w:sz w:val="24"/>
                <w:szCs w:val="24"/>
                <w:lang w:val="en" w:eastAsia="zh-CN"/>
              </w:rPr>
            </w:pPr>
            <w:r>
              <w:rPr>
                <w:rFonts w:hint="eastAsia" w:ascii="Times New Roman" w:hAnsi="Times New Roman" w:eastAsia="仿宋_GB2312" w:cs="Times New Roman"/>
                <w:bCs/>
                <w:color w:val="auto"/>
                <w:kern w:val="0"/>
                <w:sz w:val="24"/>
                <w:szCs w:val="24"/>
                <w:lang w:val="en-US" w:eastAsia="zh-CN"/>
              </w:rPr>
              <w:t>腾盛建材云南有限公司全屋板材加工生产线建设项目环境影响报告表</w:t>
            </w:r>
          </w:p>
        </w:tc>
        <w:tc>
          <w:tcPr>
            <w:tcW w:w="2160" w:type="dxa"/>
            <w:noWrap w:val="0"/>
            <w:vAlign w:val="top"/>
          </w:tcPr>
          <w:p>
            <w:pPr>
              <w:widowControl/>
              <w:spacing w:line="560" w:lineRule="exact"/>
              <w:jc w:val="both"/>
              <w:rPr>
                <w:rFonts w:hint="eastAsia"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嵩明县杨林镇嘉丽泽农场C4厂房</w:t>
            </w:r>
          </w:p>
        </w:tc>
        <w:tc>
          <w:tcPr>
            <w:tcW w:w="1740" w:type="dxa"/>
            <w:noWrap w:val="0"/>
            <w:vAlign w:val="top"/>
          </w:tcPr>
          <w:p>
            <w:pPr>
              <w:widowControl/>
              <w:spacing w:line="560" w:lineRule="exact"/>
              <w:jc w:val="both"/>
              <w:rPr>
                <w:rFonts w:hint="eastAsia" w:ascii="Times New Roman" w:hAnsi="Times New Roman" w:eastAsia="仿宋_GB2312" w:cs="Times New Roman"/>
                <w:bCs/>
                <w:color w:val="auto"/>
                <w:kern w:val="0"/>
                <w:sz w:val="24"/>
                <w:szCs w:val="24"/>
                <w:lang w:val="en" w:eastAsia="zh-CN"/>
              </w:rPr>
            </w:pPr>
            <w:r>
              <w:rPr>
                <w:rFonts w:hint="eastAsia" w:ascii="Times New Roman" w:hAnsi="Times New Roman" w:eastAsia="仿宋_GB2312" w:cs="Times New Roman"/>
                <w:bCs/>
                <w:color w:val="auto"/>
                <w:kern w:val="0"/>
                <w:sz w:val="24"/>
                <w:szCs w:val="24"/>
                <w:lang w:val="en-US" w:eastAsia="zh-CN"/>
              </w:rPr>
              <w:t>腾盛建材云南有限公司</w:t>
            </w:r>
          </w:p>
        </w:tc>
        <w:tc>
          <w:tcPr>
            <w:tcW w:w="1530" w:type="dxa"/>
            <w:noWrap w:val="0"/>
            <w:vAlign w:val="top"/>
          </w:tcPr>
          <w:p>
            <w:pPr>
              <w:widowControl/>
              <w:spacing w:line="560" w:lineRule="exact"/>
              <w:jc w:val="both"/>
              <w:rPr>
                <w:rFonts w:hint="eastAsia"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云南十诚环保科技有限公司</w:t>
            </w:r>
          </w:p>
        </w:tc>
        <w:tc>
          <w:tcPr>
            <w:tcW w:w="1315" w:type="dxa"/>
            <w:noWrap w:val="0"/>
            <w:vAlign w:val="top"/>
          </w:tcPr>
          <w:p>
            <w:pPr>
              <w:widowControl/>
              <w:spacing w:line="560" w:lineRule="exact"/>
              <w:jc w:val="both"/>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20</w:t>
            </w:r>
            <w:r>
              <w:rPr>
                <w:rFonts w:hint="eastAsia" w:ascii="Times New Roman" w:hAnsi="Times New Roman" w:eastAsia="仿宋_GB2312"/>
                <w:color w:val="000000"/>
                <w:kern w:val="0"/>
                <w:sz w:val="24"/>
                <w:szCs w:val="24"/>
                <w:lang w:val="en-US" w:eastAsia="zh-CN"/>
              </w:rPr>
              <w:t>25</w:t>
            </w:r>
            <w:r>
              <w:rPr>
                <w:rFonts w:hint="eastAsia" w:ascii="Times New Roman" w:hAnsi="Times New Roman" w:eastAsia="仿宋_GB2312"/>
                <w:color w:val="000000"/>
                <w:kern w:val="0"/>
                <w:sz w:val="24"/>
                <w:szCs w:val="24"/>
              </w:rPr>
              <w:t>年</w:t>
            </w:r>
            <w:r>
              <w:rPr>
                <w:rFonts w:hint="eastAsia" w:ascii="Times New Roman" w:hAnsi="Times New Roman" w:eastAsia="仿宋_GB2312"/>
                <w:color w:val="000000"/>
                <w:kern w:val="0"/>
                <w:sz w:val="24"/>
                <w:szCs w:val="24"/>
                <w:lang w:val="en-US" w:eastAsia="zh-CN"/>
              </w:rPr>
              <w:t>5</w:t>
            </w:r>
            <w:r>
              <w:rPr>
                <w:rFonts w:hint="eastAsia" w:ascii="Times New Roman" w:hAnsi="Times New Roman" w:eastAsia="仿宋_GB2312"/>
                <w:color w:val="000000"/>
                <w:kern w:val="0"/>
                <w:sz w:val="24"/>
                <w:szCs w:val="24"/>
              </w:rPr>
              <w:t>月</w:t>
            </w:r>
            <w:r>
              <w:rPr>
                <w:rFonts w:hint="eastAsia" w:ascii="Times New Roman" w:hAnsi="Times New Roman" w:eastAsia="仿宋_GB2312"/>
                <w:color w:val="000000"/>
                <w:kern w:val="0"/>
                <w:sz w:val="24"/>
                <w:szCs w:val="24"/>
                <w:lang w:val="en-US" w:eastAsia="zh-CN"/>
              </w:rPr>
              <w:t>14</w:t>
            </w:r>
            <w:r>
              <w:rPr>
                <w:rFonts w:hint="eastAsia" w:ascii="Times New Roman" w:hAnsi="Times New Roman" w:eastAsia="仿宋_GB2312"/>
                <w:color w:val="000000"/>
                <w:kern w:val="0"/>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trPr>
        <w:tc>
          <w:tcPr>
            <w:tcW w:w="708" w:type="dxa"/>
            <w:noWrap w:val="0"/>
            <w:vAlign w:val="center"/>
          </w:tcPr>
          <w:p>
            <w:pPr>
              <w:widowControl/>
              <w:spacing w:line="560" w:lineRule="exact"/>
              <w:jc w:val="center"/>
              <w:rPr>
                <w:rFonts w:hint="default" w:ascii="Times New Roman" w:hAnsi="Times New Roman" w:eastAsia="仿宋_GB2312"/>
                <w:bCs/>
                <w:color w:val="000000"/>
                <w:kern w:val="0"/>
                <w:sz w:val="24"/>
                <w:szCs w:val="24"/>
                <w:lang w:val="en-US" w:eastAsia="zh-CN"/>
              </w:rPr>
            </w:pPr>
            <w:r>
              <w:rPr>
                <w:rFonts w:hint="eastAsia" w:ascii="Times New Roman" w:hAnsi="Times New Roman" w:eastAsia="仿宋_GB2312"/>
                <w:bCs/>
                <w:color w:val="000000"/>
                <w:kern w:val="0"/>
                <w:sz w:val="24"/>
                <w:szCs w:val="24"/>
                <w:lang w:val="en-US" w:eastAsia="zh-CN"/>
              </w:rPr>
              <w:t>3</w:t>
            </w:r>
          </w:p>
        </w:tc>
        <w:tc>
          <w:tcPr>
            <w:tcW w:w="3126" w:type="dxa"/>
            <w:noWrap w:val="0"/>
            <w:vAlign w:val="top"/>
          </w:tcPr>
          <w:p>
            <w:pPr>
              <w:widowControl/>
              <w:spacing w:line="560" w:lineRule="exact"/>
              <w:jc w:val="both"/>
              <w:rPr>
                <w:rFonts w:hint="eastAsia" w:ascii="Times New Roman" w:hAnsi="Times New Roman" w:eastAsia="仿宋_GB2312" w:cs="Times New Roman"/>
                <w:bCs/>
                <w:color w:val="auto"/>
                <w:kern w:val="0"/>
                <w:sz w:val="24"/>
                <w:szCs w:val="24"/>
                <w:lang w:val="en" w:eastAsia="zh-CN"/>
              </w:rPr>
            </w:pPr>
            <w:r>
              <w:rPr>
                <w:rFonts w:hint="eastAsia" w:ascii="Times New Roman" w:hAnsi="Times New Roman" w:eastAsia="仿宋_GB2312" w:cs="Times New Roman"/>
                <w:bCs/>
                <w:color w:val="auto"/>
                <w:kern w:val="0"/>
                <w:sz w:val="24"/>
                <w:szCs w:val="24"/>
                <w:lang w:val="en-US" w:eastAsia="zh-CN"/>
              </w:rPr>
              <w:t>云南冠佳木业有限责任公司全屋板材加工生产建设项目环境影响报告表</w:t>
            </w:r>
          </w:p>
        </w:tc>
        <w:tc>
          <w:tcPr>
            <w:tcW w:w="2160" w:type="dxa"/>
            <w:noWrap w:val="0"/>
            <w:vAlign w:val="top"/>
          </w:tcPr>
          <w:p>
            <w:pPr>
              <w:widowControl/>
              <w:spacing w:line="560" w:lineRule="exact"/>
              <w:jc w:val="both"/>
              <w:rPr>
                <w:rFonts w:hint="eastAsia"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嵩明县杨林镇嘉丽泽农场B4、C3厂房</w:t>
            </w:r>
          </w:p>
        </w:tc>
        <w:tc>
          <w:tcPr>
            <w:tcW w:w="1740" w:type="dxa"/>
            <w:noWrap w:val="0"/>
            <w:vAlign w:val="top"/>
          </w:tcPr>
          <w:p>
            <w:pPr>
              <w:widowControl/>
              <w:spacing w:line="560" w:lineRule="exact"/>
              <w:jc w:val="both"/>
              <w:rPr>
                <w:rFonts w:hint="eastAsia" w:ascii="Times New Roman" w:hAnsi="Times New Roman" w:eastAsia="仿宋_GB2312" w:cs="Times New Roman"/>
                <w:bCs/>
                <w:color w:val="auto"/>
                <w:kern w:val="0"/>
                <w:sz w:val="24"/>
                <w:szCs w:val="24"/>
                <w:lang w:val="en" w:eastAsia="zh-CN"/>
              </w:rPr>
            </w:pPr>
            <w:r>
              <w:rPr>
                <w:rFonts w:hint="eastAsia" w:ascii="Times New Roman" w:hAnsi="Times New Roman" w:eastAsia="仿宋_GB2312" w:cs="Times New Roman"/>
                <w:bCs/>
                <w:color w:val="auto"/>
                <w:kern w:val="0"/>
                <w:sz w:val="24"/>
                <w:szCs w:val="24"/>
                <w:lang w:val="en-US" w:eastAsia="zh-CN"/>
              </w:rPr>
              <w:t>云南冠佳木业有限责任公司</w:t>
            </w:r>
          </w:p>
        </w:tc>
        <w:tc>
          <w:tcPr>
            <w:tcW w:w="1530" w:type="dxa"/>
            <w:noWrap w:val="0"/>
            <w:vAlign w:val="top"/>
          </w:tcPr>
          <w:p>
            <w:pPr>
              <w:widowControl/>
              <w:spacing w:line="560" w:lineRule="exact"/>
              <w:jc w:val="both"/>
              <w:rPr>
                <w:rFonts w:hint="eastAsia"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云南十诚环保科技有限公司</w:t>
            </w:r>
          </w:p>
        </w:tc>
        <w:tc>
          <w:tcPr>
            <w:tcW w:w="1315" w:type="dxa"/>
            <w:noWrap w:val="0"/>
            <w:vAlign w:val="top"/>
          </w:tcPr>
          <w:p>
            <w:pPr>
              <w:widowControl/>
              <w:spacing w:line="560" w:lineRule="exact"/>
              <w:jc w:val="both"/>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20</w:t>
            </w:r>
            <w:r>
              <w:rPr>
                <w:rFonts w:hint="eastAsia" w:ascii="Times New Roman" w:hAnsi="Times New Roman" w:eastAsia="仿宋_GB2312"/>
                <w:color w:val="000000"/>
                <w:kern w:val="0"/>
                <w:sz w:val="24"/>
                <w:szCs w:val="24"/>
                <w:lang w:val="en-US" w:eastAsia="zh-CN"/>
              </w:rPr>
              <w:t>25</w:t>
            </w:r>
            <w:r>
              <w:rPr>
                <w:rFonts w:hint="eastAsia" w:ascii="Times New Roman" w:hAnsi="Times New Roman" w:eastAsia="仿宋_GB2312"/>
                <w:color w:val="000000"/>
                <w:kern w:val="0"/>
                <w:sz w:val="24"/>
                <w:szCs w:val="24"/>
              </w:rPr>
              <w:t>年</w:t>
            </w:r>
            <w:r>
              <w:rPr>
                <w:rFonts w:hint="eastAsia" w:ascii="Times New Roman" w:hAnsi="Times New Roman" w:eastAsia="仿宋_GB2312"/>
                <w:color w:val="000000"/>
                <w:kern w:val="0"/>
                <w:sz w:val="24"/>
                <w:szCs w:val="24"/>
                <w:lang w:val="en-US" w:eastAsia="zh-CN"/>
              </w:rPr>
              <w:t>5</w:t>
            </w:r>
            <w:r>
              <w:rPr>
                <w:rFonts w:hint="eastAsia" w:ascii="Times New Roman" w:hAnsi="Times New Roman" w:eastAsia="仿宋_GB2312"/>
                <w:color w:val="000000"/>
                <w:kern w:val="0"/>
                <w:sz w:val="24"/>
                <w:szCs w:val="24"/>
              </w:rPr>
              <w:t>月</w:t>
            </w:r>
            <w:r>
              <w:rPr>
                <w:rFonts w:hint="eastAsia" w:ascii="Times New Roman" w:hAnsi="Times New Roman" w:eastAsia="仿宋_GB2312"/>
                <w:color w:val="000000"/>
                <w:kern w:val="0"/>
                <w:sz w:val="24"/>
                <w:szCs w:val="24"/>
                <w:lang w:val="en-US" w:eastAsia="zh-CN"/>
              </w:rPr>
              <w:t>14</w:t>
            </w:r>
            <w:r>
              <w:rPr>
                <w:rFonts w:hint="eastAsia" w:ascii="Times New Roman" w:hAnsi="Times New Roman" w:eastAsia="仿宋_GB2312"/>
                <w:color w:val="000000"/>
                <w:kern w:val="0"/>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trPr>
        <w:tc>
          <w:tcPr>
            <w:tcW w:w="708" w:type="dxa"/>
            <w:noWrap w:val="0"/>
            <w:vAlign w:val="center"/>
          </w:tcPr>
          <w:p>
            <w:pPr>
              <w:widowControl/>
              <w:spacing w:line="560" w:lineRule="exact"/>
              <w:jc w:val="center"/>
              <w:rPr>
                <w:rFonts w:hint="default" w:ascii="Times New Roman" w:hAnsi="Times New Roman" w:eastAsia="仿宋_GB2312"/>
                <w:bCs/>
                <w:color w:val="000000"/>
                <w:kern w:val="0"/>
                <w:sz w:val="24"/>
                <w:szCs w:val="24"/>
                <w:lang w:val="en-US" w:eastAsia="zh-CN"/>
              </w:rPr>
            </w:pPr>
            <w:r>
              <w:rPr>
                <w:rFonts w:hint="eastAsia" w:ascii="Times New Roman" w:hAnsi="Times New Roman" w:eastAsia="仿宋_GB2312"/>
                <w:bCs/>
                <w:color w:val="000000"/>
                <w:kern w:val="0"/>
                <w:sz w:val="24"/>
                <w:szCs w:val="24"/>
                <w:lang w:val="en-US" w:eastAsia="zh-CN"/>
              </w:rPr>
              <w:t>4</w:t>
            </w:r>
          </w:p>
        </w:tc>
        <w:tc>
          <w:tcPr>
            <w:tcW w:w="3126" w:type="dxa"/>
            <w:noWrap w:val="0"/>
            <w:vAlign w:val="top"/>
          </w:tcPr>
          <w:p>
            <w:pPr>
              <w:widowControl/>
              <w:spacing w:line="560" w:lineRule="exact"/>
              <w:jc w:val="both"/>
              <w:rPr>
                <w:rFonts w:hint="eastAsia" w:ascii="Times New Roman" w:hAnsi="Times New Roman" w:eastAsia="仿宋_GB2312" w:cs="Times New Roman"/>
                <w:bCs/>
                <w:color w:val="auto"/>
                <w:kern w:val="0"/>
                <w:sz w:val="24"/>
                <w:szCs w:val="24"/>
                <w:lang w:val="en" w:eastAsia="zh-CN"/>
              </w:rPr>
            </w:pPr>
            <w:r>
              <w:rPr>
                <w:rFonts w:hint="eastAsia" w:ascii="Times New Roman" w:hAnsi="Times New Roman" w:eastAsia="仿宋_GB2312" w:cs="Times New Roman"/>
                <w:bCs/>
                <w:color w:val="auto"/>
                <w:kern w:val="0"/>
                <w:sz w:val="24"/>
                <w:szCs w:val="24"/>
                <w:lang w:val="en-US" w:eastAsia="zh-CN"/>
              </w:rPr>
              <w:t>云南正君家具装饰有限公司封边条生产建设项目环境影响报告表</w:t>
            </w:r>
          </w:p>
        </w:tc>
        <w:tc>
          <w:tcPr>
            <w:tcW w:w="2160" w:type="dxa"/>
            <w:noWrap w:val="0"/>
            <w:vAlign w:val="top"/>
          </w:tcPr>
          <w:p>
            <w:pPr>
              <w:widowControl/>
              <w:spacing w:line="560" w:lineRule="exact"/>
              <w:jc w:val="both"/>
              <w:rPr>
                <w:rFonts w:hint="eastAsia"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嵩明县杨林镇嘉丽泽农场C6-C8厂房</w:t>
            </w:r>
          </w:p>
        </w:tc>
        <w:tc>
          <w:tcPr>
            <w:tcW w:w="1740" w:type="dxa"/>
            <w:noWrap w:val="0"/>
            <w:vAlign w:val="top"/>
          </w:tcPr>
          <w:p>
            <w:pPr>
              <w:widowControl/>
              <w:spacing w:line="560" w:lineRule="exact"/>
              <w:jc w:val="both"/>
              <w:rPr>
                <w:rFonts w:hint="eastAsia" w:ascii="Times New Roman" w:hAnsi="Times New Roman" w:eastAsia="仿宋_GB2312" w:cs="Times New Roman"/>
                <w:bCs/>
                <w:color w:val="auto"/>
                <w:kern w:val="0"/>
                <w:sz w:val="24"/>
                <w:szCs w:val="24"/>
                <w:lang w:val="en" w:eastAsia="zh-CN"/>
              </w:rPr>
            </w:pPr>
            <w:r>
              <w:rPr>
                <w:rFonts w:hint="eastAsia" w:ascii="Times New Roman" w:hAnsi="Times New Roman" w:eastAsia="仿宋_GB2312" w:cs="Times New Roman"/>
                <w:bCs/>
                <w:color w:val="auto"/>
                <w:kern w:val="0"/>
                <w:sz w:val="24"/>
                <w:szCs w:val="24"/>
                <w:lang w:val="en-US" w:eastAsia="zh-CN"/>
              </w:rPr>
              <w:t>云南正君家具装饰有限公司</w:t>
            </w:r>
          </w:p>
        </w:tc>
        <w:tc>
          <w:tcPr>
            <w:tcW w:w="1530" w:type="dxa"/>
            <w:noWrap w:val="0"/>
            <w:vAlign w:val="top"/>
          </w:tcPr>
          <w:p>
            <w:pPr>
              <w:widowControl/>
              <w:spacing w:line="560" w:lineRule="exact"/>
              <w:jc w:val="both"/>
              <w:rPr>
                <w:rFonts w:hint="eastAsia"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云南十诚环保科技有限公司</w:t>
            </w:r>
          </w:p>
        </w:tc>
        <w:tc>
          <w:tcPr>
            <w:tcW w:w="1315" w:type="dxa"/>
            <w:noWrap w:val="0"/>
            <w:vAlign w:val="top"/>
          </w:tcPr>
          <w:p>
            <w:pPr>
              <w:widowControl/>
              <w:spacing w:line="560" w:lineRule="exact"/>
              <w:jc w:val="both"/>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20</w:t>
            </w:r>
            <w:r>
              <w:rPr>
                <w:rFonts w:hint="eastAsia" w:ascii="Times New Roman" w:hAnsi="Times New Roman" w:eastAsia="仿宋_GB2312"/>
                <w:color w:val="000000"/>
                <w:kern w:val="0"/>
                <w:sz w:val="24"/>
                <w:szCs w:val="24"/>
                <w:lang w:val="en-US" w:eastAsia="zh-CN"/>
              </w:rPr>
              <w:t>25</w:t>
            </w:r>
            <w:r>
              <w:rPr>
                <w:rFonts w:hint="eastAsia" w:ascii="Times New Roman" w:hAnsi="Times New Roman" w:eastAsia="仿宋_GB2312"/>
                <w:color w:val="000000"/>
                <w:kern w:val="0"/>
                <w:sz w:val="24"/>
                <w:szCs w:val="24"/>
              </w:rPr>
              <w:t>年</w:t>
            </w:r>
            <w:r>
              <w:rPr>
                <w:rFonts w:hint="eastAsia" w:ascii="Times New Roman" w:hAnsi="Times New Roman" w:eastAsia="仿宋_GB2312"/>
                <w:color w:val="000000"/>
                <w:kern w:val="0"/>
                <w:sz w:val="24"/>
                <w:szCs w:val="24"/>
                <w:lang w:val="en-US" w:eastAsia="zh-CN"/>
              </w:rPr>
              <w:t>5</w:t>
            </w:r>
            <w:r>
              <w:rPr>
                <w:rFonts w:hint="eastAsia" w:ascii="Times New Roman" w:hAnsi="Times New Roman" w:eastAsia="仿宋_GB2312"/>
                <w:color w:val="000000"/>
                <w:kern w:val="0"/>
                <w:sz w:val="24"/>
                <w:szCs w:val="24"/>
              </w:rPr>
              <w:t>月</w:t>
            </w:r>
            <w:r>
              <w:rPr>
                <w:rFonts w:hint="eastAsia" w:ascii="Times New Roman" w:hAnsi="Times New Roman" w:eastAsia="仿宋_GB2312"/>
                <w:color w:val="000000"/>
                <w:kern w:val="0"/>
                <w:sz w:val="24"/>
                <w:szCs w:val="24"/>
                <w:lang w:val="en-US" w:eastAsia="zh-CN"/>
              </w:rPr>
              <w:t>14</w:t>
            </w:r>
            <w:r>
              <w:rPr>
                <w:rFonts w:hint="eastAsia" w:ascii="Times New Roman" w:hAnsi="Times New Roman" w:eastAsia="仿宋_GB2312"/>
                <w:color w:val="000000"/>
                <w:kern w:val="0"/>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trPr>
        <w:tc>
          <w:tcPr>
            <w:tcW w:w="708" w:type="dxa"/>
            <w:noWrap w:val="0"/>
            <w:vAlign w:val="center"/>
          </w:tcPr>
          <w:p>
            <w:pPr>
              <w:widowControl/>
              <w:spacing w:line="560" w:lineRule="exact"/>
              <w:jc w:val="center"/>
              <w:rPr>
                <w:rFonts w:hint="default" w:ascii="Times New Roman" w:hAnsi="Times New Roman" w:eastAsia="仿宋_GB2312"/>
                <w:bCs/>
                <w:color w:val="000000"/>
                <w:kern w:val="0"/>
                <w:sz w:val="24"/>
                <w:szCs w:val="24"/>
                <w:lang w:val="en-US" w:eastAsia="zh-CN"/>
              </w:rPr>
            </w:pPr>
            <w:r>
              <w:rPr>
                <w:rFonts w:hint="eastAsia" w:ascii="Times New Roman" w:hAnsi="Times New Roman" w:eastAsia="仿宋_GB2312"/>
                <w:bCs/>
                <w:color w:val="000000"/>
                <w:kern w:val="0"/>
                <w:sz w:val="24"/>
                <w:szCs w:val="24"/>
                <w:lang w:val="en-US" w:eastAsia="zh-CN"/>
              </w:rPr>
              <w:t>5</w:t>
            </w:r>
          </w:p>
        </w:tc>
        <w:tc>
          <w:tcPr>
            <w:tcW w:w="3126" w:type="dxa"/>
            <w:noWrap w:val="0"/>
            <w:vAlign w:val="top"/>
          </w:tcPr>
          <w:p>
            <w:pPr>
              <w:widowControl/>
              <w:spacing w:line="560" w:lineRule="exact"/>
              <w:jc w:val="both"/>
              <w:rPr>
                <w:rFonts w:hint="eastAsia" w:ascii="Times New Roman" w:hAnsi="Times New Roman" w:eastAsia="仿宋_GB2312" w:cs="Times New Roman"/>
                <w:bCs/>
                <w:color w:val="auto"/>
                <w:kern w:val="0"/>
                <w:sz w:val="24"/>
                <w:szCs w:val="24"/>
                <w:lang w:val="en" w:eastAsia="zh-CN"/>
              </w:rPr>
            </w:pPr>
            <w:r>
              <w:rPr>
                <w:rFonts w:hint="eastAsia" w:ascii="Times New Roman" w:hAnsi="Times New Roman" w:eastAsia="仿宋_GB2312" w:cs="Times New Roman"/>
                <w:bCs/>
                <w:color w:val="auto"/>
                <w:kern w:val="0"/>
                <w:sz w:val="24"/>
                <w:szCs w:val="24"/>
                <w:lang w:val="en-US" w:eastAsia="zh-CN"/>
              </w:rPr>
              <w:t>云南泽立新能源科技有限公司年产1万吨光伏支架、3万套太阳能光伏路灯建设项目环境影响报告表</w:t>
            </w:r>
          </w:p>
        </w:tc>
        <w:tc>
          <w:tcPr>
            <w:tcW w:w="2160" w:type="dxa"/>
            <w:noWrap w:val="0"/>
            <w:vAlign w:val="top"/>
          </w:tcPr>
          <w:p>
            <w:pPr>
              <w:widowControl/>
              <w:spacing w:line="560" w:lineRule="exact"/>
              <w:jc w:val="both"/>
              <w:rPr>
                <w:rFonts w:hint="eastAsia"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嵩明杨林经济技术开发区天创路8号</w:t>
            </w:r>
          </w:p>
        </w:tc>
        <w:tc>
          <w:tcPr>
            <w:tcW w:w="1740" w:type="dxa"/>
            <w:noWrap w:val="0"/>
            <w:vAlign w:val="top"/>
          </w:tcPr>
          <w:p>
            <w:pPr>
              <w:widowControl/>
              <w:spacing w:line="560" w:lineRule="exact"/>
              <w:jc w:val="both"/>
              <w:rPr>
                <w:rFonts w:hint="eastAsia" w:ascii="Times New Roman" w:hAnsi="Times New Roman" w:eastAsia="仿宋_GB2312" w:cs="Times New Roman"/>
                <w:bCs/>
                <w:color w:val="auto"/>
                <w:kern w:val="0"/>
                <w:sz w:val="24"/>
                <w:szCs w:val="24"/>
                <w:lang w:val="en" w:eastAsia="zh-CN"/>
              </w:rPr>
            </w:pPr>
            <w:r>
              <w:rPr>
                <w:rFonts w:hint="eastAsia" w:ascii="Times New Roman" w:hAnsi="Times New Roman" w:eastAsia="仿宋_GB2312" w:cs="Times New Roman"/>
                <w:bCs/>
                <w:color w:val="auto"/>
                <w:kern w:val="0"/>
                <w:sz w:val="24"/>
                <w:szCs w:val="24"/>
                <w:lang w:val="en-US" w:eastAsia="zh-CN"/>
              </w:rPr>
              <w:t>云南泽立新能源科技有限公司</w:t>
            </w:r>
          </w:p>
        </w:tc>
        <w:tc>
          <w:tcPr>
            <w:tcW w:w="1530" w:type="dxa"/>
            <w:noWrap w:val="0"/>
            <w:vAlign w:val="top"/>
          </w:tcPr>
          <w:p>
            <w:pPr>
              <w:widowControl/>
              <w:spacing w:line="560" w:lineRule="exact"/>
              <w:jc w:val="both"/>
              <w:rPr>
                <w:rFonts w:hint="eastAsia"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云南明洲环境科技有限公司</w:t>
            </w:r>
          </w:p>
        </w:tc>
        <w:tc>
          <w:tcPr>
            <w:tcW w:w="1315" w:type="dxa"/>
            <w:noWrap w:val="0"/>
            <w:vAlign w:val="top"/>
          </w:tcPr>
          <w:p>
            <w:pPr>
              <w:widowControl/>
              <w:spacing w:line="560" w:lineRule="exact"/>
              <w:jc w:val="both"/>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20</w:t>
            </w:r>
            <w:r>
              <w:rPr>
                <w:rFonts w:hint="eastAsia" w:ascii="Times New Roman" w:hAnsi="Times New Roman" w:eastAsia="仿宋_GB2312"/>
                <w:color w:val="000000"/>
                <w:kern w:val="0"/>
                <w:sz w:val="24"/>
                <w:szCs w:val="24"/>
                <w:lang w:val="en-US" w:eastAsia="zh-CN"/>
              </w:rPr>
              <w:t>25</w:t>
            </w:r>
            <w:r>
              <w:rPr>
                <w:rFonts w:hint="eastAsia" w:ascii="Times New Roman" w:hAnsi="Times New Roman" w:eastAsia="仿宋_GB2312"/>
                <w:color w:val="000000"/>
                <w:kern w:val="0"/>
                <w:sz w:val="24"/>
                <w:szCs w:val="24"/>
              </w:rPr>
              <w:t>年</w:t>
            </w:r>
            <w:r>
              <w:rPr>
                <w:rFonts w:hint="eastAsia" w:ascii="Times New Roman" w:hAnsi="Times New Roman" w:eastAsia="仿宋_GB2312"/>
                <w:color w:val="000000"/>
                <w:kern w:val="0"/>
                <w:sz w:val="24"/>
                <w:szCs w:val="24"/>
                <w:lang w:val="en-US" w:eastAsia="zh-CN"/>
              </w:rPr>
              <w:t>5</w:t>
            </w:r>
            <w:r>
              <w:rPr>
                <w:rFonts w:hint="eastAsia" w:ascii="Times New Roman" w:hAnsi="Times New Roman" w:eastAsia="仿宋_GB2312"/>
                <w:color w:val="000000"/>
                <w:kern w:val="0"/>
                <w:sz w:val="24"/>
                <w:szCs w:val="24"/>
              </w:rPr>
              <w:t>月</w:t>
            </w:r>
            <w:r>
              <w:rPr>
                <w:rFonts w:hint="eastAsia" w:ascii="Times New Roman" w:hAnsi="Times New Roman" w:eastAsia="仿宋_GB2312"/>
                <w:color w:val="000000"/>
                <w:kern w:val="0"/>
                <w:sz w:val="24"/>
                <w:szCs w:val="24"/>
                <w:lang w:val="en-US" w:eastAsia="zh-CN"/>
              </w:rPr>
              <w:t>14</w:t>
            </w:r>
            <w:r>
              <w:rPr>
                <w:rFonts w:hint="eastAsia" w:ascii="Times New Roman" w:hAnsi="Times New Roman" w:eastAsia="仿宋_GB2312"/>
                <w:color w:val="000000"/>
                <w:kern w:val="0"/>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trPr>
        <w:tc>
          <w:tcPr>
            <w:tcW w:w="708" w:type="dxa"/>
            <w:noWrap w:val="0"/>
            <w:vAlign w:val="center"/>
          </w:tcPr>
          <w:p>
            <w:pPr>
              <w:widowControl/>
              <w:spacing w:line="560" w:lineRule="exact"/>
              <w:jc w:val="center"/>
              <w:rPr>
                <w:rFonts w:hint="default" w:ascii="Times New Roman" w:hAnsi="Times New Roman" w:eastAsia="仿宋_GB2312"/>
                <w:bCs/>
                <w:color w:val="000000"/>
                <w:kern w:val="0"/>
                <w:sz w:val="24"/>
                <w:szCs w:val="24"/>
                <w:lang w:val="en-US" w:eastAsia="zh-CN"/>
              </w:rPr>
            </w:pPr>
            <w:r>
              <w:rPr>
                <w:rFonts w:hint="eastAsia" w:ascii="Times New Roman" w:hAnsi="Times New Roman" w:eastAsia="仿宋_GB2312"/>
                <w:bCs/>
                <w:color w:val="000000"/>
                <w:kern w:val="0"/>
                <w:sz w:val="24"/>
                <w:szCs w:val="24"/>
                <w:lang w:val="en-US" w:eastAsia="zh-CN"/>
              </w:rPr>
              <w:t>6</w:t>
            </w:r>
          </w:p>
        </w:tc>
        <w:tc>
          <w:tcPr>
            <w:tcW w:w="3126" w:type="dxa"/>
            <w:noWrap w:val="0"/>
            <w:vAlign w:val="top"/>
          </w:tcPr>
          <w:p>
            <w:pPr>
              <w:widowControl/>
              <w:spacing w:line="560" w:lineRule="exact"/>
              <w:jc w:val="both"/>
              <w:rPr>
                <w:rFonts w:hint="eastAsia" w:ascii="Times New Roman" w:hAnsi="Times New Roman" w:eastAsia="仿宋_GB2312" w:cs="Times New Roman"/>
                <w:bCs/>
                <w:color w:val="auto"/>
                <w:kern w:val="0"/>
                <w:sz w:val="24"/>
                <w:szCs w:val="24"/>
                <w:lang w:val="en" w:eastAsia="zh-CN"/>
              </w:rPr>
            </w:pPr>
            <w:r>
              <w:rPr>
                <w:rFonts w:hint="eastAsia" w:ascii="Times New Roman" w:hAnsi="Times New Roman" w:eastAsia="仿宋_GB2312" w:cs="Times New Roman"/>
                <w:bCs/>
                <w:color w:val="auto"/>
                <w:kern w:val="0"/>
                <w:sz w:val="24"/>
                <w:szCs w:val="24"/>
                <w:lang w:val="en-US" w:eastAsia="zh-CN"/>
              </w:rPr>
              <w:t>云南鑫得发包装科技有限公司工业产品外包装智能生产线建设项目（重大变动重新报批）环境影响报告表</w:t>
            </w:r>
          </w:p>
        </w:tc>
        <w:tc>
          <w:tcPr>
            <w:tcW w:w="2160" w:type="dxa"/>
            <w:noWrap w:val="0"/>
            <w:vAlign w:val="top"/>
          </w:tcPr>
          <w:p>
            <w:pPr>
              <w:widowControl/>
              <w:spacing w:line="560" w:lineRule="exact"/>
              <w:jc w:val="both"/>
              <w:rPr>
                <w:rFonts w:hint="eastAsia"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嵩明杨林经济技术开发区粤商（滇中）科技产业城SMY2023-13-3号地块</w:t>
            </w:r>
          </w:p>
        </w:tc>
        <w:tc>
          <w:tcPr>
            <w:tcW w:w="1740" w:type="dxa"/>
            <w:noWrap w:val="0"/>
            <w:vAlign w:val="top"/>
          </w:tcPr>
          <w:p>
            <w:pPr>
              <w:widowControl/>
              <w:spacing w:line="560" w:lineRule="exact"/>
              <w:jc w:val="both"/>
              <w:rPr>
                <w:rFonts w:hint="eastAsia" w:ascii="Times New Roman" w:hAnsi="Times New Roman" w:eastAsia="仿宋_GB2312" w:cs="Times New Roman"/>
                <w:bCs/>
                <w:color w:val="auto"/>
                <w:kern w:val="0"/>
                <w:sz w:val="24"/>
                <w:szCs w:val="24"/>
                <w:lang w:val="en" w:eastAsia="zh-CN"/>
              </w:rPr>
            </w:pPr>
            <w:r>
              <w:rPr>
                <w:rFonts w:hint="eastAsia" w:ascii="Times New Roman" w:hAnsi="Times New Roman" w:eastAsia="仿宋_GB2312" w:cs="Times New Roman"/>
                <w:bCs/>
                <w:color w:val="auto"/>
                <w:kern w:val="0"/>
                <w:sz w:val="24"/>
                <w:szCs w:val="24"/>
                <w:lang w:val="en-US" w:eastAsia="zh-CN"/>
              </w:rPr>
              <w:t>云南鑫得发包装科技有限公司</w:t>
            </w:r>
          </w:p>
        </w:tc>
        <w:tc>
          <w:tcPr>
            <w:tcW w:w="1530" w:type="dxa"/>
            <w:noWrap w:val="0"/>
            <w:vAlign w:val="top"/>
          </w:tcPr>
          <w:p>
            <w:pPr>
              <w:widowControl/>
              <w:spacing w:line="560" w:lineRule="exact"/>
              <w:jc w:val="both"/>
              <w:rPr>
                <w:rFonts w:hint="eastAsia" w:ascii="Times New Roman" w:hAnsi="Times New Roman" w:eastAsia="仿宋_GB2312" w:cs="Times New Roman"/>
                <w:bCs/>
                <w:color w:val="auto"/>
                <w:kern w:val="0"/>
                <w:sz w:val="24"/>
                <w:szCs w:val="24"/>
                <w:lang w:val="en-US" w:eastAsia="zh-CN"/>
              </w:rPr>
            </w:pPr>
            <w:r>
              <w:rPr>
                <w:rFonts w:hint="eastAsia" w:ascii="Times New Roman" w:hAnsi="Times New Roman" w:eastAsia="仿宋_GB2312" w:cs="Times New Roman"/>
                <w:bCs/>
                <w:color w:val="auto"/>
                <w:kern w:val="0"/>
                <w:sz w:val="24"/>
                <w:szCs w:val="24"/>
                <w:lang w:val="en-US" w:eastAsia="zh-CN"/>
              </w:rPr>
              <w:t>云南明洲环境科技有限公司</w:t>
            </w:r>
          </w:p>
        </w:tc>
        <w:tc>
          <w:tcPr>
            <w:tcW w:w="1315" w:type="dxa"/>
            <w:noWrap w:val="0"/>
            <w:vAlign w:val="top"/>
          </w:tcPr>
          <w:p>
            <w:pPr>
              <w:widowControl/>
              <w:spacing w:line="560" w:lineRule="exact"/>
              <w:jc w:val="both"/>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20</w:t>
            </w:r>
            <w:r>
              <w:rPr>
                <w:rFonts w:hint="eastAsia" w:ascii="Times New Roman" w:hAnsi="Times New Roman" w:eastAsia="仿宋_GB2312"/>
                <w:color w:val="000000"/>
                <w:kern w:val="0"/>
                <w:sz w:val="24"/>
                <w:szCs w:val="24"/>
                <w:lang w:val="en-US" w:eastAsia="zh-CN"/>
              </w:rPr>
              <w:t>25</w:t>
            </w:r>
            <w:r>
              <w:rPr>
                <w:rFonts w:hint="eastAsia" w:ascii="Times New Roman" w:hAnsi="Times New Roman" w:eastAsia="仿宋_GB2312"/>
                <w:color w:val="000000"/>
                <w:kern w:val="0"/>
                <w:sz w:val="24"/>
                <w:szCs w:val="24"/>
              </w:rPr>
              <w:t>年</w:t>
            </w:r>
            <w:r>
              <w:rPr>
                <w:rFonts w:hint="eastAsia" w:ascii="Times New Roman" w:hAnsi="Times New Roman" w:eastAsia="仿宋_GB2312"/>
                <w:color w:val="000000"/>
                <w:kern w:val="0"/>
                <w:sz w:val="24"/>
                <w:szCs w:val="24"/>
                <w:lang w:val="en-US" w:eastAsia="zh-CN"/>
              </w:rPr>
              <w:t>5</w:t>
            </w:r>
            <w:r>
              <w:rPr>
                <w:rFonts w:hint="eastAsia" w:ascii="Times New Roman" w:hAnsi="Times New Roman" w:eastAsia="仿宋_GB2312"/>
                <w:color w:val="000000"/>
                <w:kern w:val="0"/>
                <w:sz w:val="24"/>
                <w:szCs w:val="24"/>
              </w:rPr>
              <w:t>月</w:t>
            </w:r>
            <w:r>
              <w:rPr>
                <w:rFonts w:hint="eastAsia" w:ascii="Times New Roman" w:hAnsi="Times New Roman" w:eastAsia="仿宋_GB2312"/>
                <w:color w:val="000000"/>
                <w:kern w:val="0"/>
                <w:sz w:val="24"/>
                <w:szCs w:val="24"/>
                <w:lang w:val="en-US" w:eastAsia="zh-CN"/>
              </w:rPr>
              <w:t>14</w:t>
            </w:r>
            <w:bookmarkStart w:id="0" w:name="_GoBack"/>
            <w:bookmarkEnd w:id="0"/>
            <w:r>
              <w:rPr>
                <w:rFonts w:hint="eastAsia" w:ascii="Times New Roman" w:hAnsi="Times New Roman" w:eastAsia="仿宋_GB2312"/>
                <w:color w:val="000000"/>
                <w:kern w:val="0"/>
                <w:sz w:val="24"/>
                <w:szCs w:val="24"/>
              </w:rPr>
              <w:t>日</w:t>
            </w:r>
          </w:p>
        </w:tc>
      </w:tr>
    </w:tbl>
    <w:p>
      <w:pPr>
        <w:widowControl/>
        <w:spacing w:line="560" w:lineRule="exact"/>
        <w:ind w:firstLine="640" w:firstLineChars="200"/>
        <w:rPr>
          <w:rFonts w:ascii="Times New Roman" w:hAnsi="Times New Roman" w:eastAsia="仿宋_GB2312"/>
          <w:color w:val="000000"/>
          <w:kern w:val="0"/>
          <w:sz w:val="32"/>
          <w:szCs w:val="32"/>
        </w:rPr>
      </w:pPr>
    </w:p>
    <w:p>
      <w:pPr>
        <w:widowControl/>
        <w:spacing w:line="560" w:lineRule="exact"/>
        <w:ind w:firstLine="640" w:firstLineChars="200"/>
        <w:rPr>
          <w:rFonts w:hint="eastAsia" w:ascii="Times New Roman" w:hAnsi="Times New Roman" w:eastAsia="仿宋_GB2312"/>
          <w:color w:val="000000"/>
          <w:kern w:val="0"/>
          <w:sz w:val="32"/>
          <w:szCs w:val="32"/>
          <w:lang w:eastAsia="zh-CN"/>
        </w:rPr>
      </w:pPr>
      <w:r>
        <w:rPr>
          <w:rFonts w:ascii="Times New Roman" w:hAnsi="Times New Roman" w:eastAsia="仿宋_GB2312"/>
          <w:color w:val="000000"/>
          <w:kern w:val="0"/>
          <w:sz w:val="32"/>
          <w:szCs w:val="32"/>
        </w:rPr>
        <w:t>注：根据《建设项目环境影响评价政府信息公开指南（试行）》有关规定，上述环境影响报告书、表不涉及国家秘密、商业秘密、个人隐私以及涉及国家安全、公共安全、经济安全和社会稳定的内容</w:t>
      </w:r>
      <w:r>
        <w:rPr>
          <w:rFonts w:hint="eastAsia" w:ascii="Times New Roman" w:hAnsi="Times New Roman" w:eastAsia="仿宋_GB2312"/>
          <w:color w:val="000000"/>
          <w:kern w:val="0"/>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5DD575"/>
    <w:multiLevelType w:val="singleLevel"/>
    <w:tmpl w:val="715DD575"/>
    <w:lvl w:ilvl="0" w:tentative="0">
      <w:start w:val="1"/>
      <w:numFmt w:val="bullet"/>
      <w:pStyle w:val="9"/>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4E878B"/>
    <w:rsid w:val="0FDF5FF0"/>
    <w:rsid w:val="1CF32821"/>
    <w:rsid w:val="297D59BE"/>
    <w:rsid w:val="2CBA7706"/>
    <w:rsid w:val="347DC5B0"/>
    <w:rsid w:val="39177445"/>
    <w:rsid w:val="3BCD5C22"/>
    <w:rsid w:val="3C5AEF48"/>
    <w:rsid w:val="3D7FABFE"/>
    <w:rsid w:val="3EFD756E"/>
    <w:rsid w:val="3FE73240"/>
    <w:rsid w:val="3FFF3223"/>
    <w:rsid w:val="4FF5C476"/>
    <w:rsid w:val="5DBED3D3"/>
    <w:rsid w:val="5FDCCE60"/>
    <w:rsid w:val="6FFC9ADD"/>
    <w:rsid w:val="6FFF3408"/>
    <w:rsid w:val="707EE0F9"/>
    <w:rsid w:val="749FA4C0"/>
    <w:rsid w:val="77BFA6F2"/>
    <w:rsid w:val="77EB99EE"/>
    <w:rsid w:val="79BD12CA"/>
    <w:rsid w:val="7BE4C893"/>
    <w:rsid w:val="7BFF6CE2"/>
    <w:rsid w:val="7CED4D25"/>
    <w:rsid w:val="7DD79125"/>
    <w:rsid w:val="7EBB7224"/>
    <w:rsid w:val="7EDF785C"/>
    <w:rsid w:val="7EDF9D14"/>
    <w:rsid w:val="7F7FC3AC"/>
    <w:rsid w:val="7FAFEFEE"/>
    <w:rsid w:val="7FDF9072"/>
    <w:rsid w:val="7FEFA5F6"/>
    <w:rsid w:val="7FF8DD4F"/>
    <w:rsid w:val="7FFF8D38"/>
    <w:rsid w:val="7FFF9C1C"/>
    <w:rsid w:val="99DDFF06"/>
    <w:rsid w:val="9FDD07C6"/>
    <w:rsid w:val="9FF202F8"/>
    <w:rsid w:val="9FF7D9B5"/>
    <w:rsid w:val="ABBF5BAF"/>
    <w:rsid w:val="AF7F4CEC"/>
    <w:rsid w:val="AFFEAA8A"/>
    <w:rsid w:val="B67F41E5"/>
    <w:rsid w:val="B7F694BC"/>
    <w:rsid w:val="B7FE7EFD"/>
    <w:rsid w:val="BD9B68BE"/>
    <w:rsid w:val="BDFF80BF"/>
    <w:rsid w:val="BE7E2ADB"/>
    <w:rsid w:val="BEBCB5CF"/>
    <w:rsid w:val="BF7D4B03"/>
    <w:rsid w:val="C7FB2BB9"/>
    <w:rsid w:val="CB6E638C"/>
    <w:rsid w:val="CF3D3C1B"/>
    <w:rsid w:val="D23FCFF7"/>
    <w:rsid w:val="D3F9DAE5"/>
    <w:rsid w:val="DADECECF"/>
    <w:rsid w:val="DB9B66A6"/>
    <w:rsid w:val="DBA2CC25"/>
    <w:rsid w:val="DBDFAA1D"/>
    <w:rsid w:val="DCAF67E8"/>
    <w:rsid w:val="DDEBC96B"/>
    <w:rsid w:val="DEFA9590"/>
    <w:rsid w:val="DEFC88EA"/>
    <w:rsid w:val="DFCEC786"/>
    <w:rsid w:val="E39FAAFB"/>
    <w:rsid w:val="E6D61861"/>
    <w:rsid w:val="E6EB1E3A"/>
    <w:rsid w:val="E7F32C47"/>
    <w:rsid w:val="E7FE71B6"/>
    <w:rsid w:val="E93E12D7"/>
    <w:rsid w:val="EAD07B3B"/>
    <w:rsid w:val="EDFDEB8A"/>
    <w:rsid w:val="EE7771CB"/>
    <w:rsid w:val="EFACE289"/>
    <w:rsid w:val="EFF9FD3B"/>
    <w:rsid w:val="EFFA2399"/>
    <w:rsid w:val="F0DAEA1D"/>
    <w:rsid w:val="F36FF7DC"/>
    <w:rsid w:val="F37415E1"/>
    <w:rsid w:val="F37A0ADE"/>
    <w:rsid w:val="F4A92E9A"/>
    <w:rsid w:val="F6FFDB7F"/>
    <w:rsid w:val="F76F228C"/>
    <w:rsid w:val="F7BFBC89"/>
    <w:rsid w:val="F977F87C"/>
    <w:rsid w:val="F9E755E7"/>
    <w:rsid w:val="F9EFC8BD"/>
    <w:rsid w:val="FA3F0969"/>
    <w:rsid w:val="FA4B2E68"/>
    <w:rsid w:val="FB4E878B"/>
    <w:rsid w:val="FB5E5A4F"/>
    <w:rsid w:val="FB766B9D"/>
    <w:rsid w:val="FBD9DCC7"/>
    <w:rsid w:val="FBED446C"/>
    <w:rsid w:val="FCFEB91B"/>
    <w:rsid w:val="FD6FFC8B"/>
    <w:rsid w:val="FD7BEC45"/>
    <w:rsid w:val="FD9D9844"/>
    <w:rsid w:val="FE4C7C2C"/>
    <w:rsid w:val="FFDE7FB0"/>
    <w:rsid w:val="FFDF232E"/>
    <w:rsid w:val="FFDFF6D8"/>
    <w:rsid w:val="FFF336BD"/>
    <w:rsid w:val="FFF792E8"/>
    <w:rsid w:val="FFFBAD42"/>
    <w:rsid w:val="FFFE7F5A"/>
    <w:rsid w:val="FFFF0779"/>
    <w:rsid w:val="FFFF1C2C"/>
    <w:rsid w:val="FFFF791E"/>
    <w:rsid w:val="FFFFE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3"/>
    <w:qFormat/>
    <w:uiPriority w:val="0"/>
    <w:pPr>
      <w:ind w:firstLine="420"/>
    </w:pPr>
    <w:rPr>
      <w:sz w:val="21"/>
      <w:szCs w:val="24"/>
    </w:rPr>
  </w:style>
  <w:style w:type="paragraph" w:styleId="3">
    <w:name w:val="Body Text First Indent"/>
    <w:basedOn w:val="4"/>
    <w:next w:val="1"/>
    <w:unhideWhenUsed/>
    <w:qFormat/>
    <w:uiPriority w:val="0"/>
    <w:pPr>
      <w:ind w:firstLine="420" w:firstLineChars="100"/>
    </w:pPr>
    <w:rPr>
      <w:sz w:val="21"/>
      <w:szCs w:val="24"/>
    </w:rPr>
  </w:style>
  <w:style w:type="paragraph" w:styleId="4">
    <w:name w:val="Body Text"/>
    <w:basedOn w:val="1"/>
    <w:next w:val="1"/>
    <w:qFormat/>
    <w:uiPriority w:val="0"/>
    <w:pPr>
      <w:widowControl/>
      <w:spacing w:before="60" w:after="160" w:line="259" w:lineRule="auto"/>
      <w:ind w:right="113"/>
    </w:pPr>
    <w:rPr>
      <w:kern w:val="0"/>
      <w:sz w:val="18"/>
      <w:szCs w:val="20"/>
    </w:rPr>
  </w:style>
  <w:style w:type="paragraph" w:styleId="5">
    <w:name w:val="Normal Indent"/>
    <w:basedOn w:val="1"/>
    <w:next w:val="1"/>
    <w:qFormat/>
    <w:uiPriority w:val="0"/>
    <w:pPr>
      <w:ind w:firstLine="420" w:firstLineChars="200"/>
    </w:pPr>
  </w:style>
  <w:style w:type="paragraph" w:styleId="6">
    <w:name w:val="Body Text Indent"/>
    <w:basedOn w:val="1"/>
    <w:next w:val="7"/>
    <w:qFormat/>
    <w:uiPriority w:val="0"/>
    <w:pPr>
      <w:spacing w:after="120"/>
      <w:ind w:left="420" w:leftChars="200"/>
    </w:pPr>
    <w:rPr>
      <w:kern w:val="0"/>
      <w:sz w:val="24"/>
      <w:szCs w:val="20"/>
    </w:rPr>
  </w:style>
  <w:style w:type="paragraph" w:styleId="7">
    <w:name w:val="header"/>
    <w:basedOn w:val="1"/>
    <w:next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List Bullet 5"/>
    <w:basedOn w:val="1"/>
    <w:qFormat/>
    <w:uiPriority w:val="0"/>
    <w:pPr>
      <w:numPr>
        <w:ilvl w:val="0"/>
        <w:numId w:val="1"/>
      </w:numPr>
    </w:pPr>
  </w:style>
  <w:style w:type="paragraph" w:customStyle="1" w:styleId="12">
    <w:name w:val="样式 正文缩进正文缩进2正文缩进 Char Char正文缩进 Char Char Char Char正文缩进 Char ..."/>
    <w:basedOn w:val="5"/>
    <w:qFormat/>
    <w:uiPriority w:val="0"/>
    <w:pPr>
      <w:spacing w:line="360" w:lineRule="auto"/>
      <w:ind w:firstLine="200" w:firstLineChars="0"/>
    </w:pPr>
    <w:rPr>
      <w:rFonts w:cs="宋体"/>
      <w:sz w:val="24"/>
      <w:szCs w:val="20"/>
    </w:rPr>
  </w:style>
  <w:style w:type="paragraph" w:customStyle="1" w:styleId="13">
    <w:name w:val="样式 正文文本缩进 + 行距: 1.5 倍行距"/>
    <w:basedOn w:val="6"/>
    <w:qFormat/>
    <w:uiPriority w:val="0"/>
    <w:pPr>
      <w:spacing w:line="360" w:lineRule="auto"/>
      <w:ind w:left="0" w:leftChars="0" w:firstLine="560" w:firstLineChars="200"/>
    </w:pPr>
    <w:rPr>
      <w:b/>
      <w:bCs/>
      <w:sz w:val="28"/>
    </w:rPr>
  </w:style>
  <w:style w:type="paragraph" w:customStyle="1" w:styleId="14">
    <w:name w:val="样式5"/>
    <w:basedOn w:val="15"/>
    <w:qFormat/>
    <w:uiPriority w:val="0"/>
    <w:pPr>
      <w:tabs>
        <w:tab w:val="left" w:pos="420"/>
        <w:tab w:val="left" w:pos="1589"/>
      </w:tabs>
      <w:adjustRightInd w:val="0"/>
      <w:snapToGrid w:val="0"/>
      <w:spacing w:before="0" w:after="0" w:line="480" w:lineRule="exact"/>
      <w:ind w:firstLine="480" w:firstLineChars="200"/>
      <w:jc w:val="left"/>
      <w:outlineLvl w:val="9"/>
    </w:pPr>
    <w:rPr>
      <w:rFonts w:ascii="宋体" w:hAnsi="宋体"/>
      <w:b/>
      <w:snapToGrid w:val="0"/>
      <w:sz w:val="24"/>
      <w:szCs w:val="24"/>
    </w:rPr>
  </w:style>
  <w:style w:type="paragraph" w:customStyle="1" w:styleId="15">
    <w:name w:val="正文1"/>
    <w:basedOn w:val="1"/>
    <w:next w:val="1"/>
    <w:qFormat/>
    <w:uiPriority w:val="0"/>
    <w:pPr>
      <w:adjustRightInd w:val="0"/>
      <w:snapToGrid w:val="0"/>
      <w:spacing w:line="480" w:lineRule="exact"/>
      <w:ind w:firstLine="200" w:firstLineChars="200"/>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5099</Words>
  <Characters>5710</Characters>
  <Lines>0</Lines>
  <Paragraphs>0</Paragraphs>
  <TotalTime>2</TotalTime>
  <ScaleCrop>false</ScaleCrop>
  <LinksUpToDate>false</LinksUpToDate>
  <CharactersWithSpaces>5749</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2023-04-11T17:58:00Z</dcterms:created>
  <dc:creator>user</dc:creator>
  <cp:lastModifiedBy>user</cp:lastModifiedBy>
  <dcterms:modified xsi:type="dcterms:W3CDTF">2025-05-14T09:45:04Z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