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云南华赢新</w:t>
      </w:r>
      <w:bookmarkEnd w:id="0"/>
      <w:r>
        <w:rPr>
          <w:rFonts w:hint="eastAsia" w:ascii="Times New Roman" w:hAnsi="Times New Roman" w:eastAsia="方正小标宋简体" w:cs="Times New Roman"/>
          <w:kern w:val="36"/>
          <w:sz w:val="44"/>
          <w:szCs w:val="44"/>
          <w:lang w:val="en" w:eastAsia="zh-CN"/>
        </w:rPr>
        <w:t>材料科技有限公司生态艺术板材智能生产线建设项目环境影响报告表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云南华赢新材料科技有限公司生态艺术板材智能生产线建设项目环境影响报告表</w:t>
      </w:r>
      <w:r>
        <w:rPr>
          <w:rFonts w:hint="default" w:ascii="Times New Roman" w:hAnsi="Times New Roman" w:eastAsia="仿宋_GB2312" w:cs="Times New Roman"/>
          <w:kern w:val="0"/>
          <w:sz w:val="32"/>
          <w:szCs w:val="32"/>
        </w:rPr>
        <w:t>》基本情况予以公示。</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建设项目概况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云南华赢新材料科技有限公司生态艺术板材智能生产线建设项目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b w:val="0"/>
          <w:bCs w:val="0"/>
          <w:kern w:val="0"/>
          <w:sz w:val="32"/>
          <w:szCs w:val="32"/>
          <w:lang w:val="en" w:eastAsia="zh-CN"/>
        </w:rPr>
        <w:t>：</w:t>
      </w:r>
      <w:r>
        <w:rPr>
          <w:rFonts w:hint="default" w:ascii="Times New Roman" w:hAnsi="Times New Roman" w:eastAsia="仿宋_GB2312" w:cs="Times New Roman"/>
          <w:color w:val="auto"/>
          <w:sz w:val="32"/>
          <w:szCs w:val="32"/>
          <w:lang w:val="en-US" w:eastAsia="zh-CN"/>
        </w:rPr>
        <w:t>云南省昆明市嵩明县杨林镇杨林智慧科技产业园规划2号路东侧、规划10号路南侧</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云南华赢新材料科技有限公司</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云南爱迪信生态科技有限公司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0"/>
          <w:sz w:val="32"/>
          <w:szCs w:val="32"/>
        </w:rPr>
        <w:t>建设内容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sz w:val="32"/>
          <w:szCs w:val="32"/>
          <w:lang w:val="en-US" w:eastAsia="zh-CN"/>
        </w:rPr>
        <w:t>项目占地面积11132.21m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，总建筑面积6758.35m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项目总投资5500万元，其中环保投资36.1万元。项目主要建设两栋厂房、配料和混料区、堆放区、办公楼、地下消防水池及泵房等配套基础设施；项目内共设置8条挤出生产线（PVC生态艺术板和配套装饰线产品共用生产线，生产时更换模具即可）；新建废气、废水、固废收集处理等环保设施。项目建成后年产PVC生态艺术板300万平方米（10500t）、配套装饰线100万米（500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环评文件审批部门</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项目公示地点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嵩明县人民政府网站</w:t>
      </w:r>
      <w:r>
        <w:rPr>
          <w:rFonts w:hint="default" w:ascii="Times New Roman" w:hAnsi="Times New Roman" w:eastAsia="仿宋_GB2312" w:cs="Times New Roman"/>
          <w:b w:val="0"/>
          <w:bCs w:val="0"/>
          <w:kern w:val="0"/>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31</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云南华赢新材料科技有限公司生态艺术板材智能生产线建设项目环境影响报告表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E4B9"/>
    <w:multiLevelType w:val="singleLevel"/>
    <w:tmpl w:val="9F64E4B9"/>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2ADE"/>
    <w:rsid w:val="6AF7C64D"/>
    <w:rsid w:val="6DDF641F"/>
    <w:rsid w:val="7EF65F5A"/>
    <w:rsid w:val="FEF4E5DB"/>
    <w:rsid w:val="FFFE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Plain Text"/>
    <w:basedOn w:val="1"/>
    <w:next w:val="1"/>
    <w:qFormat/>
    <w:uiPriority w:val="0"/>
    <w:pPr>
      <w:ind w:firstLine="200" w:firstLineChars="200"/>
    </w:pPr>
    <w:rPr>
      <w:rFonts w:hAnsi="Courier New"/>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2025-02-20T07:06:00Z</dcterms:created>
  <dc:creator>user</dc:creator>
  <cp:lastModifiedBy>user</cp:lastModifiedBy>
  <dcterms:modified xsi:type="dcterms:W3CDTF">2025-04-01T16:25:56Z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