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outlineLvl w:val="0"/>
        <w:rPr>
          <w:rFonts w:ascii="宋体" w:hAnsi="宋体" w:eastAsia="黑体" w:cs="黑体"/>
          <w:sz w:val="32"/>
          <w:szCs w:val="32"/>
        </w:rPr>
      </w:pPr>
      <w:r>
        <w:rPr>
          <w:rFonts w:hint="eastAsia" w:ascii="宋体" w:hAnsi="宋体" w:eastAsia="黑体" w:cs="黑体"/>
          <w:sz w:val="32"/>
          <w:szCs w:val="32"/>
        </w:rPr>
        <w:t>附件</w:t>
      </w:r>
    </w:p>
    <w:p>
      <w:pPr>
        <w:widowControl/>
        <w:spacing w:line="520" w:lineRule="exact"/>
        <w:jc w:val="left"/>
        <w:outlineLvl w:val="0"/>
        <w:rPr>
          <w:rFonts w:ascii="宋体" w:hAnsi="宋体" w:eastAsia="黑体" w:cs="黑体"/>
          <w:sz w:val="32"/>
          <w:szCs w:val="32"/>
        </w:rPr>
      </w:pPr>
    </w:p>
    <w:p>
      <w:pPr>
        <w:jc w:val="center"/>
        <w:rPr>
          <w:rFonts w:ascii="黑体" w:hAnsi="黑体" w:eastAsia="黑体"/>
          <w:color w:val="FF0000"/>
          <w:sz w:val="32"/>
        </w:rPr>
      </w:pPr>
      <w:r>
        <w:rPr>
          <w:rFonts w:hint="eastAsia" w:ascii="黑体" w:hAnsi="黑体" w:eastAsia="黑体"/>
          <w:sz w:val="32"/>
        </w:rPr>
        <w:t>招商引资项目策划标准体例表</w:t>
      </w:r>
    </w:p>
    <w:p>
      <w:pPr>
        <w:jc w:val="center"/>
        <w:rPr>
          <w:rFonts w:ascii="黑体" w:hAnsi="黑体" w:eastAsia="黑体"/>
          <w:color w:val="FF0000"/>
          <w:sz w:val="32"/>
        </w:rPr>
      </w:pPr>
    </w:p>
    <w:tbl>
      <w:tblPr>
        <w:tblStyle w:val="6"/>
        <w:tblW w:w="9260" w:type="dxa"/>
        <w:tblInd w:w="0" w:type="dxa"/>
        <w:tblLayout w:type="autofit"/>
        <w:tblCellMar>
          <w:top w:w="0" w:type="dxa"/>
          <w:left w:w="108" w:type="dxa"/>
          <w:bottom w:w="0" w:type="dxa"/>
          <w:right w:w="108" w:type="dxa"/>
        </w:tblCellMar>
      </w:tblPr>
      <w:tblGrid>
        <w:gridCol w:w="1945"/>
        <w:gridCol w:w="7315"/>
      </w:tblGrid>
      <w:tr>
        <w:tblPrEx>
          <w:tblCellMar>
            <w:top w:w="0" w:type="dxa"/>
            <w:left w:w="108" w:type="dxa"/>
            <w:bottom w:w="0" w:type="dxa"/>
            <w:right w:w="108" w:type="dxa"/>
          </w:tblCellMar>
        </w:tblPrEx>
        <w:trPr>
          <w:trHeight w:val="673" w:hRule="atLeast"/>
        </w:trPr>
        <w:tc>
          <w:tcPr>
            <w:tcW w:w="9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黑体" w:cs="宋体"/>
                <w:bCs/>
                <w:color w:val="FF0000"/>
                <w:kern w:val="0"/>
                <w:sz w:val="24"/>
                <w:lang w:eastAsia="zh-CN"/>
              </w:rPr>
            </w:pPr>
            <w:r>
              <w:rPr>
                <w:rFonts w:hint="eastAsia" w:ascii="黑体" w:hAnsi="黑体" w:eastAsia="黑体" w:cs="宋体"/>
                <w:bCs/>
                <w:kern w:val="0"/>
                <w:sz w:val="28"/>
              </w:rPr>
              <w:t>项目名称：</w:t>
            </w:r>
            <w:r>
              <w:rPr>
                <w:rFonts w:hint="eastAsia" w:ascii="黑体" w:hAnsi="黑体" w:eastAsia="黑体" w:cs="宋体"/>
                <w:bCs/>
                <w:kern w:val="0"/>
                <w:sz w:val="28"/>
                <w:lang w:eastAsia="zh-CN"/>
              </w:rPr>
              <w:t>云南省花卉示范园区永生花产业园招商项目</w:t>
            </w:r>
          </w:p>
        </w:tc>
      </w:tr>
      <w:tr>
        <w:tblPrEx>
          <w:tblCellMar>
            <w:top w:w="0" w:type="dxa"/>
            <w:left w:w="108" w:type="dxa"/>
            <w:bottom w:w="0" w:type="dxa"/>
            <w:right w:w="108" w:type="dxa"/>
          </w:tblCellMar>
        </w:tblPrEx>
        <w:trPr>
          <w:trHeight w:val="312" w:hRule="atLeast"/>
        </w:trPr>
        <w:tc>
          <w:tcPr>
            <w:tcW w:w="9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color w:val="FF0000"/>
                <w:kern w:val="0"/>
                <w:sz w:val="24"/>
              </w:rPr>
            </w:pPr>
          </w:p>
        </w:tc>
      </w:tr>
      <w:tr>
        <w:tblPrEx>
          <w:tblCellMar>
            <w:top w:w="0" w:type="dxa"/>
            <w:left w:w="108" w:type="dxa"/>
            <w:bottom w:w="0" w:type="dxa"/>
            <w:right w:w="108" w:type="dxa"/>
          </w:tblCellMar>
        </w:tblPrEx>
        <w:trPr>
          <w:trHeight w:val="544" w:hRule="atLeast"/>
        </w:trPr>
        <w:tc>
          <w:tcPr>
            <w:tcW w:w="1945" w:type="dxa"/>
            <w:vMerge w:val="restart"/>
            <w:tcBorders>
              <w:top w:val="nil"/>
              <w:left w:val="single" w:color="auto" w:sz="4" w:space="0"/>
              <w:right w:val="single" w:color="auto" w:sz="4" w:space="0"/>
            </w:tcBorders>
            <w:vAlign w:val="center"/>
          </w:tcPr>
          <w:p>
            <w:pPr>
              <w:widowControl/>
              <w:jc w:val="center"/>
              <w:rPr>
                <w:rFonts w:ascii="仿宋_GB2312" w:hAnsi="等线" w:eastAsia="黑体" w:cs="宋体"/>
                <w:b/>
                <w:bCs/>
                <w:color w:val="FF0000"/>
                <w:kern w:val="0"/>
                <w:sz w:val="24"/>
              </w:rPr>
            </w:pPr>
            <w:r>
              <w:rPr>
                <w:rFonts w:hint="eastAsia" w:ascii="黑体" w:hAnsi="黑体" w:eastAsia="黑体" w:cs="宋体"/>
                <w:bCs/>
                <w:kern w:val="0"/>
                <w:sz w:val="28"/>
              </w:rPr>
              <w:t>项目概况</w:t>
            </w:r>
          </w:p>
        </w:tc>
        <w:tc>
          <w:tcPr>
            <w:tcW w:w="73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等线" w:eastAsia="仿宋_GB2312" w:cs="宋体"/>
                <w:color w:val="000000"/>
                <w:kern w:val="0"/>
                <w:sz w:val="24"/>
                <w:lang w:val="en-US" w:eastAsia="zh-CN"/>
              </w:rPr>
            </w:pPr>
            <w:r>
              <w:rPr>
                <w:rFonts w:hint="eastAsia" w:ascii="仿宋_GB2312" w:hAnsi="等线" w:eastAsia="仿宋_GB2312" w:cs="宋体"/>
                <w:b/>
                <w:bCs/>
                <w:color w:val="FF0000"/>
                <w:kern w:val="0"/>
                <w:sz w:val="24"/>
              </w:rPr>
              <w:t>投资估算：</w:t>
            </w:r>
            <w:r>
              <w:rPr>
                <w:rFonts w:hint="eastAsia" w:ascii="仿宋_GB2312" w:hAnsi="等线" w:eastAsia="仿宋_GB2312" w:cs="宋体"/>
                <w:b w:val="0"/>
                <w:bCs w:val="0"/>
                <w:color w:val="auto"/>
                <w:kern w:val="0"/>
                <w:sz w:val="24"/>
                <w:lang w:val="en-US" w:eastAsia="zh-CN"/>
              </w:rPr>
              <w:t>4.5亿元</w:t>
            </w:r>
          </w:p>
        </w:tc>
      </w:tr>
      <w:tr>
        <w:tblPrEx>
          <w:tblCellMar>
            <w:top w:w="0" w:type="dxa"/>
            <w:left w:w="108" w:type="dxa"/>
            <w:bottom w:w="0" w:type="dxa"/>
            <w:right w:w="108" w:type="dxa"/>
          </w:tblCellMar>
        </w:tblPrEx>
        <w:trPr>
          <w:trHeight w:val="2022" w:hRule="atLeast"/>
        </w:trPr>
        <w:tc>
          <w:tcPr>
            <w:tcW w:w="194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color w:val="FF0000"/>
                <w:kern w:val="0"/>
                <w:sz w:val="24"/>
              </w:rPr>
            </w:pPr>
          </w:p>
        </w:tc>
        <w:tc>
          <w:tcPr>
            <w:tcW w:w="73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等线" w:eastAsia="仿宋_GB2312" w:cs="宋体"/>
                <w:color w:val="000000"/>
                <w:kern w:val="0"/>
                <w:sz w:val="24"/>
              </w:rPr>
            </w:pPr>
            <w:r>
              <w:rPr>
                <w:rFonts w:hint="eastAsia" w:ascii="仿宋_GB2312" w:hAnsi="等线" w:eastAsia="仿宋_GB2312" w:cs="宋体"/>
                <w:b/>
                <w:bCs/>
                <w:color w:val="FF0000"/>
                <w:kern w:val="0"/>
                <w:sz w:val="24"/>
              </w:rPr>
              <w:t>建设内容：</w:t>
            </w:r>
            <w:r>
              <w:rPr>
                <w:rFonts w:hint="eastAsia" w:ascii="仿宋_GB2312" w:hAnsi="等线" w:eastAsia="仿宋_GB2312" w:cs="宋体"/>
                <w:b w:val="0"/>
                <w:bCs w:val="0"/>
                <w:color w:val="auto"/>
                <w:kern w:val="0"/>
                <w:sz w:val="24"/>
                <w:lang w:val="en-US" w:eastAsia="zh-CN"/>
              </w:rPr>
              <w:t>计划以社会资本投资或政企合作的方式，通过行业引领、标准厂房建设、产业园管理运营等企业，建设永生花研发、加工项目，共同打造集原料生产、初加工、设计、精深加工、品牌营销、批发和零售为一体的永生花产业园。</w:t>
            </w:r>
          </w:p>
        </w:tc>
      </w:tr>
      <w:tr>
        <w:tblPrEx>
          <w:tblCellMar>
            <w:top w:w="0" w:type="dxa"/>
            <w:left w:w="108" w:type="dxa"/>
            <w:bottom w:w="0" w:type="dxa"/>
            <w:right w:w="108" w:type="dxa"/>
          </w:tblCellMar>
        </w:tblPrEx>
        <w:trPr>
          <w:trHeight w:val="810" w:hRule="atLeast"/>
        </w:trPr>
        <w:tc>
          <w:tcPr>
            <w:tcW w:w="194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color w:val="FF0000"/>
                <w:kern w:val="0"/>
                <w:sz w:val="24"/>
              </w:rPr>
            </w:pPr>
          </w:p>
        </w:tc>
        <w:tc>
          <w:tcPr>
            <w:tcW w:w="73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等线" w:eastAsia="仿宋_GB2312" w:cs="宋体"/>
                <w:b/>
                <w:bCs/>
                <w:color w:val="FF0000"/>
                <w:kern w:val="0"/>
                <w:sz w:val="24"/>
              </w:rPr>
            </w:pPr>
            <w:r>
              <w:rPr>
                <w:rFonts w:hint="eastAsia" w:ascii="仿宋_GB2312" w:hAnsi="等线" w:eastAsia="仿宋_GB2312" w:cs="宋体"/>
                <w:b/>
                <w:bCs/>
                <w:color w:val="FF0000"/>
                <w:kern w:val="0"/>
                <w:sz w:val="24"/>
              </w:rPr>
              <w:t>项目选址：</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等线" w:eastAsia="仿宋_GB2312" w:cs="宋体"/>
                <w:b w:val="0"/>
                <w:bCs w:val="0"/>
                <w:color w:val="auto"/>
                <w:kern w:val="0"/>
                <w:sz w:val="24"/>
                <w:lang w:val="en-US" w:eastAsia="zh-CN"/>
              </w:rPr>
            </w:pPr>
            <w:r>
              <w:rPr>
                <w:rFonts w:hint="eastAsia" w:ascii="仿宋_GB2312" w:hAnsi="等线" w:eastAsia="仿宋_GB2312" w:cs="宋体"/>
                <w:b/>
                <w:bCs/>
                <w:color w:val="FF0000"/>
                <w:kern w:val="0"/>
                <w:sz w:val="24"/>
              </w:rPr>
              <w:t>地块编号</w:t>
            </w:r>
            <w:r>
              <w:rPr>
                <w:rFonts w:hint="eastAsia" w:ascii="仿宋_GB2312" w:hAnsi="等线" w:eastAsia="仿宋_GB2312" w:cs="宋体"/>
                <w:b/>
                <w:bCs/>
                <w:color w:val="FF0000"/>
                <w:kern w:val="0"/>
                <w:sz w:val="24"/>
                <w:lang w:eastAsia="zh-CN"/>
              </w:rPr>
              <w:t>：</w:t>
            </w:r>
            <w:r>
              <w:rPr>
                <w:rFonts w:hint="eastAsia" w:ascii="仿宋_GB2312" w:hAnsi="等线" w:eastAsia="仿宋_GB2312" w:cs="宋体"/>
                <w:b w:val="0"/>
                <w:bCs w:val="0"/>
                <w:color w:val="auto"/>
                <w:kern w:val="0"/>
                <w:sz w:val="24"/>
                <w:lang w:val="en-US" w:eastAsia="zh-CN"/>
              </w:rPr>
              <w:t>滇中管复【2019】22号</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default" w:ascii="仿宋_GB2312" w:hAnsi="等线" w:eastAsia="仿宋_GB2312" w:cs="宋体"/>
                <w:b w:val="0"/>
                <w:bCs w:val="0"/>
                <w:color w:val="auto"/>
                <w:kern w:val="0"/>
                <w:sz w:val="24"/>
                <w:lang w:val="en-US" w:eastAsia="zh-CN"/>
              </w:rPr>
            </w:pPr>
            <w:r>
              <w:rPr>
                <w:rFonts w:hint="eastAsia" w:ascii="仿宋_GB2312" w:hAnsi="等线" w:eastAsia="仿宋_GB2312" w:cs="宋体"/>
                <w:b/>
                <w:bCs/>
                <w:color w:val="FF0000"/>
                <w:kern w:val="0"/>
                <w:sz w:val="24"/>
                <w:lang w:val="en-US" w:eastAsia="zh-CN"/>
              </w:rPr>
              <w:t>2.</w:t>
            </w:r>
            <w:r>
              <w:rPr>
                <w:rFonts w:hint="eastAsia" w:ascii="仿宋_GB2312" w:hAnsi="等线" w:eastAsia="仿宋_GB2312" w:cs="宋体"/>
                <w:b/>
                <w:bCs/>
                <w:color w:val="FF0000"/>
                <w:kern w:val="0"/>
                <w:sz w:val="24"/>
              </w:rPr>
              <w:t>四至范围</w:t>
            </w:r>
            <w:r>
              <w:rPr>
                <w:rFonts w:hint="eastAsia" w:ascii="仿宋_GB2312" w:hAnsi="等线" w:eastAsia="仿宋_GB2312" w:cs="宋体"/>
                <w:b/>
                <w:bCs/>
                <w:color w:val="FF0000"/>
                <w:kern w:val="0"/>
                <w:sz w:val="24"/>
                <w:lang w:eastAsia="zh-CN"/>
              </w:rPr>
              <w:t>：</w:t>
            </w:r>
            <w:r>
              <w:rPr>
                <w:rFonts w:hint="eastAsia" w:ascii="仿宋_GB2312" w:hAnsi="等线" w:eastAsia="仿宋_GB2312" w:cs="宋体"/>
                <w:b w:val="0"/>
                <w:bCs w:val="0"/>
                <w:color w:val="auto"/>
                <w:kern w:val="0"/>
                <w:sz w:val="24"/>
                <w:lang w:val="en-US" w:eastAsia="zh-CN"/>
              </w:rPr>
              <w:t>云南省花卉示范园区三期地块1号地，</w:t>
            </w:r>
            <w:r>
              <w:rPr>
                <w:rFonts w:hint="eastAsia" w:ascii="仿宋_GB2312" w:hAnsi="仿宋_GB2312" w:eastAsia="仿宋_GB2312" w:cs="仿宋_GB2312"/>
                <w:i w:val="0"/>
                <w:iCs w:val="0"/>
                <w:caps w:val="0"/>
                <w:color w:val="auto"/>
                <w:spacing w:val="0"/>
                <w:sz w:val="24"/>
                <w:szCs w:val="24"/>
                <w:shd w:val="clear" w:fill="FFFFFF"/>
              </w:rPr>
              <w:t>东临</w:t>
            </w:r>
            <w:r>
              <w:rPr>
                <w:rFonts w:hint="eastAsia" w:ascii="仿宋_GB2312" w:hAnsi="仿宋_GB2312" w:eastAsia="仿宋_GB2312" w:cs="仿宋_GB2312"/>
                <w:i w:val="0"/>
                <w:iCs w:val="0"/>
                <w:caps w:val="0"/>
                <w:color w:val="auto"/>
                <w:spacing w:val="0"/>
                <w:sz w:val="24"/>
                <w:szCs w:val="24"/>
                <w:shd w:val="clear" w:fill="FFFFFF"/>
                <w:lang w:eastAsia="zh-CN"/>
              </w:rPr>
              <w:t>新村</w:t>
            </w:r>
            <w:r>
              <w:rPr>
                <w:rFonts w:hint="eastAsia" w:ascii="仿宋_GB2312" w:hAnsi="仿宋_GB2312" w:eastAsia="仿宋_GB2312" w:cs="仿宋_GB2312"/>
                <w:i w:val="0"/>
                <w:iCs w:val="0"/>
                <w:caps w:val="0"/>
                <w:color w:val="auto"/>
                <w:spacing w:val="0"/>
                <w:sz w:val="24"/>
                <w:szCs w:val="24"/>
                <w:shd w:val="clear" w:fill="FFFFFF"/>
              </w:rPr>
              <w:t>、西临</w:t>
            </w:r>
            <w:r>
              <w:rPr>
                <w:rFonts w:hint="eastAsia" w:ascii="仿宋_GB2312" w:hAnsi="仿宋_GB2312" w:eastAsia="仿宋_GB2312" w:cs="仿宋_GB2312"/>
                <w:i w:val="0"/>
                <w:iCs w:val="0"/>
                <w:caps w:val="0"/>
                <w:color w:val="auto"/>
                <w:spacing w:val="0"/>
                <w:sz w:val="24"/>
                <w:szCs w:val="24"/>
                <w:shd w:val="clear" w:fill="FFFFFF"/>
                <w:lang w:eastAsia="zh-CN"/>
              </w:rPr>
              <w:t>青龙街</w:t>
            </w:r>
            <w:r>
              <w:rPr>
                <w:rFonts w:hint="eastAsia" w:ascii="仿宋_GB2312" w:hAnsi="仿宋_GB2312" w:eastAsia="仿宋_GB2312" w:cs="仿宋_GB2312"/>
                <w:i w:val="0"/>
                <w:iCs w:val="0"/>
                <w:caps w:val="0"/>
                <w:color w:val="auto"/>
                <w:spacing w:val="0"/>
                <w:sz w:val="24"/>
                <w:szCs w:val="24"/>
                <w:shd w:val="clear" w:fill="FFFFFF"/>
              </w:rPr>
              <w:t>、南临</w:t>
            </w:r>
            <w:r>
              <w:rPr>
                <w:rFonts w:hint="eastAsia" w:ascii="仿宋_GB2312" w:hAnsi="仿宋_GB2312" w:eastAsia="仿宋_GB2312" w:cs="仿宋_GB2312"/>
                <w:i w:val="0"/>
                <w:iCs w:val="0"/>
                <w:caps w:val="0"/>
                <w:color w:val="auto"/>
                <w:spacing w:val="0"/>
                <w:sz w:val="24"/>
                <w:szCs w:val="24"/>
                <w:shd w:val="clear" w:fill="FFFFFF"/>
                <w:lang w:eastAsia="zh-CN"/>
              </w:rPr>
              <w:t>园区</w:t>
            </w:r>
            <w:r>
              <w:rPr>
                <w:rFonts w:hint="eastAsia" w:ascii="仿宋_GB2312" w:hAnsi="仿宋_GB2312" w:eastAsia="仿宋_GB2312" w:cs="仿宋_GB2312"/>
                <w:i w:val="0"/>
                <w:iCs w:val="0"/>
                <w:caps w:val="0"/>
                <w:color w:val="auto"/>
                <w:spacing w:val="0"/>
                <w:sz w:val="24"/>
                <w:szCs w:val="24"/>
                <w:shd w:val="clear" w:fill="FFFFFF"/>
                <w:lang w:val="en-US" w:eastAsia="zh-CN"/>
              </w:rPr>
              <w:t>2号路</w:t>
            </w:r>
            <w:r>
              <w:rPr>
                <w:rFonts w:hint="eastAsia" w:ascii="仿宋_GB2312" w:hAnsi="仿宋_GB2312" w:eastAsia="仿宋_GB2312" w:cs="仿宋_GB2312"/>
                <w:i w:val="0"/>
                <w:iCs w:val="0"/>
                <w:caps w:val="0"/>
                <w:color w:val="auto"/>
                <w:spacing w:val="0"/>
                <w:sz w:val="24"/>
                <w:szCs w:val="24"/>
                <w:shd w:val="clear" w:fill="FFFFFF"/>
              </w:rPr>
              <w:t>、北</w:t>
            </w:r>
            <w:r>
              <w:rPr>
                <w:rFonts w:hint="eastAsia" w:ascii="仿宋_GB2312" w:hAnsi="仿宋_GB2312" w:eastAsia="仿宋_GB2312" w:cs="仿宋_GB2312"/>
                <w:i w:val="0"/>
                <w:iCs w:val="0"/>
                <w:caps w:val="0"/>
                <w:color w:val="auto"/>
                <w:spacing w:val="0"/>
                <w:sz w:val="24"/>
                <w:szCs w:val="24"/>
                <w:shd w:val="clear" w:fill="FFFFFF"/>
                <w:lang w:eastAsia="zh-CN"/>
              </w:rPr>
              <w:t>临</w:t>
            </w:r>
            <w:r>
              <w:rPr>
                <w:rFonts w:hint="eastAsia" w:ascii="仿宋_GB2312" w:hAnsi="仿宋_GB2312" w:eastAsia="仿宋_GB2312" w:cs="仿宋_GB2312"/>
                <w:i w:val="0"/>
                <w:iCs w:val="0"/>
                <w:caps w:val="0"/>
                <w:color w:val="auto"/>
                <w:spacing w:val="0"/>
                <w:sz w:val="24"/>
                <w:szCs w:val="24"/>
                <w:shd w:val="clear" w:fill="FFFFFF"/>
                <w:lang w:val="en-US" w:eastAsia="zh-CN"/>
              </w:rPr>
              <w:t>092乡道</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ascii="仿宋_GB2312" w:hAnsi="等线" w:eastAsia="仿宋_GB2312" w:cs="宋体"/>
                <w:b w:val="0"/>
                <w:bCs w:val="0"/>
                <w:color w:val="auto"/>
                <w:kern w:val="0"/>
                <w:sz w:val="24"/>
                <w:lang w:val="en-US" w:eastAsia="zh-CN"/>
              </w:rPr>
            </w:pPr>
            <w:r>
              <w:rPr>
                <w:rFonts w:hint="eastAsia" w:ascii="仿宋_GB2312" w:hAnsi="等线" w:eastAsia="仿宋_GB2312" w:cs="宋体"/>
                <w:b/>
                <w:bCs/>
                <w:color w:val="FF0000"/>
                <w:kern w:val="0"/>
                <w:sz w:val="24"/>
                <w:lang w:val="en-US" w:eastAsia="zh-CN"/>
              </w:rPr>
              <w:t>3.占地面积</w:t>
            </w:r>
            <w:r>
              <w:rPr>
                <w:rFonts w:hint="eastAsia" w:ascii="仿宋_GB2312" w:hAnsi="等线" w:eastAsia="仿宋_GB2312" w:cs="宋体"/>
                <w:b/>
                <w:bCs/>
                <w:color w:val="FF0000"/>
                <w:kern w:val="0"/>
                <w:sz w:val="24"/>
                <w:lang w:eastAsia="zh-CN"/>
              </w:rPr>
              <w:t>：</w:t>
            </w:r>
            <w:r>
              <w:rPr>
                <w:rFonts w:hint="eastAsia" w:ascii="仿宋_GB2312" w:hAnsi="等线" w:eastAsia="仿宋_GB2312" w:cs="宋体"/>
                <w:b w:val="0"/>
                <w:bCs w:val="0"/>
                <w:color w:val="auto"/>
                <w:kern w:val="0"/>
                <w:sz w:val="24"/>
                <w:lang w:val="en-US" w:eastAsia="zh-CN"/>
              </w:rPr>
              <w:t>有建设指标150亩</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ascii="仿宋_GB2312" w:hAnsi="等线" w:eastAsia="仿宋_GB2312" w:cs="宋体"/>
                <w:b w:val="0"/>
                <w:bCs w:val="0"/>
                <w:color w:val="auto"/>
                <w:kern w:val="0"/>
                <w:sz w:val="24"/>
                <w:lang w:val="en-US" w:eastAsia="zh-CN"/>
              </w:rPr>
            </w:pPr>
            <w:r>
              <w:rPr>
                <w:rFonts w:hint="eastAsia" w:ascii="仿宋_GB2312" w:hAnsi="等线" w:eastAsia="仿宋_GB2312" w:cs="宋体"/>
                <w:b/>
                <w:bCs/>
                <w:color w:val="FF0000"/>
                <w:kern w:val="0"/>
                <w:sz w:val="24"/>
                <w:lang w:val="en-US" w:eastAsia="zh-CN"/>
              </w:rPr>
              <w:t>4.土地性质：</w:t>
            </w:r>
            <w:r>
              <w:rPr>
                <w:rFonts w:hint="eastAsia" w:ascii="仿宋_GB2312" w:hAnsi="等线" w:eastAsia="仿宋_GB2312" w:cs="宋体"/>
                <w:b w:val="0"/>
                <w:bCs w:val="0"/>
                <w:color w:val="auto"/>
                <w:kern w:val="0"/>
                <w:sz w:val="24"/>
                <w:lang w:val="en-US" w:eastAsia="zh-CN"/>
              </w:rPr>
              <w:t>工业用地</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等线" w:eastAsia="仿宋_GB2312" w:cs="宋体"/>
                <w:color w:val="000000"/>
                <w:kern w:val="0"/>
                <w:sz w:val="24"/>
              </w:rPr>
            </w:pPr>
            <w:r>
              <w:rPr>
                <w:rFonts w:hint="eastAsia" w:ascii="仿宋_GB2312" w:hAnsi="等线" w:eastAsia="仿宋_GB2312" w:cs="宋体"/>
                <w:b/>
                <w:bCs/>
                <w:color w:val="FF0000"/>
                <w:kern w:val="0"/>
                <w:sz w:val="24"/>
                <w:lang w:val="en-US" w:eastAsia="zh-CN"/>
              </w:rPr>
              <w:t>5.是否收储：</w:t>
            </w:r>
            <w:r>
              <w:rPr>
                <w:rFonts w:hint="eastAsia" w:ascii="仿宋_GB2312" w:hAnsi="等线" w:eastAsia="仿宋_GB2312" w:cs="宋体"/>
                <w:b w:val="0"/>
                <w:bCs w:val="0"/>
                <w:color w:val="auto"/>
                <w:kern w:val="0"/>
                <w:sz w:val="24"/>
                <w:lang w:val="en-US" w:eastAsia="zh-CN"/>
              </w:rPr>
              <w:t>是</w:t>
            </w:r>
          </w:p>
        </w:tc>
      </w:tr>
      <w:tr>
        <w:tblPrEx>
          <w:tblCellMar>
            <w:top w:w="0" w:type="dxa"/>
            <w:left w:w="108" w:type="dxa"/>
            <w:bottom w:w="0" w:type="dxa"/>
            <w:right w:w="108" w:type="dxa"/>
          </w:tblCellMar>
        </w:tblPrEx>
        <w:trPr>
          <w:trHeight w:val="2132" w:hRule="atLeast"/>
        </w:trPr>
        <w:tc>
          <w:tcPr>
            <w:tcW w:w="19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FF0000"/>
                <w:kern w:val="0"/>
                <w:sz w:val="24"/>
              </w:rPr>
            </w:pPr>
            <w:r>
              <w:rPr>
                <w:rFonts w:hint="eastAsia" w:ascii="黑体" w:hAnsi="黑体" w:eastAsia="黑体" w:cs="宋体"/>
                <w:bCs/>
                <w:kern w:val="0"/>
                <w:sz w:val="28"/>
              </w:rPr>
              <w:t>项目优势</w:t>
            </w:r>
          </w:p>
        </w:tc>
        <w:tc>
          <w:tcPr>
            <w:tcW w:w="73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numPr>
                <w:ilvl w:val="0"/>
                <w:numId w:val="2"/>
              </w:numPr>
              <w:shd w:val="clear"/>
              <w:kinsoku/>
              <w:wordWrap/>
              <w:overflowPunct/>
              <w:topLinePunct w:val="0"/>
              <w:autoSpaceDE/>
              <w:autoSpaceDN/>
              <w:bidi w:val="0"/>
              <w:adjustRightInd/>
              <w:snapToGrid/>
              <w:spacing w:beforeAutospacing="0" w:afterAutospacing="0" w:line="400" w:lineRule="exact"/>
              <w:ind w:firstLine="482" w:firstLineChars="200"/>
              <w:jc w:val="both"/>
              <w:textAlignment w:val="auto"/>
              <w:rPr>
                <w:rFonts w:hint="eastAsia" w:ascii="仿宋_GB2312" w:hAnsi="等线" w:eastAsia="仿宋_GB2312" w:cs="宋体"/>
                <w:b w:val="0"/>
                <w:bCs w:val="0"/>
                <w:color w:val="auto"/>
                <w:kern w:val="0"/>
                <w:sz w:val="24"/>
                <w:lang w:val="en-US" w:eastAsia="zh-CN"/>
              </w:rPr>
            </w:pPr>
            <w:r>
              <w:rPr>
                <w:rFonts w:hint="eastAsia" w:ascii="仿宋_GB2312" w:hAnsi="等线" w:eastAsia="仿宋_GB2312" w:cs="宋体"/>
                <w:b/>
                <w:bCs/>
                <w:color w:val="FF0000"/>
                <w:kern w:val="0"/>
                <w:sz w:val="24"/>
                <w:lang w:val="en-US" w:eastAsia="zh-CN"/>
              </w:rPr>
              <w:t>资源方面：</w:t>
            </w:r>
            <w:r>
              <w:rPr>
                <w:rFonts w:hint="eastAsia" w:ascii="仿宋_GB2312" w:hAnsi="等线" w:eastAsia="仿宋_GB2312" w:cs="宋体"/>
                <w:b w:val="0"/>
                <w:bCs w:val="0"/>
                <w:color w:val="auto"/>
                <w:kern w:val="0"/>
                <w:sz w:val="24"/>
                <w:lang w:val="en-US" w:eastAsia="zh-CN"/>
              </w:rPr>
              <w:t>原材料供应丰富，嵩明县鲜切花年产量稳定保持10亿枝以上，主要品种多为永生花原材料玫瑰（月季）、康乃馨、绣球等；物流体系完善，产业园毗邻晨农冷库，便于永生花企业鲜切花储存，另省花卉示范园区规划有冷链物流项目；嵩明杨林作为省内永生花发源地，相关小型企业存量丰富。</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400" w:lineRule="exact"/>
              <w:ind w:firstLine="482" w:firstLineChars="200"/>
              <w:jc w:val="both"/>
              <w:textAlignment w:val="auto"/>
              <w:rPr>
                <w:rFonts w:hint="eastAsia" w:ascii="仿宋_GB2312" w:hAnsi="等线" w:eastAsia="仿宋_GB2312" w:cs="宋体"/>
                <w:b w:val="0"/>
                <w:bCs w:val="0"/>
                <w:color w:val="auto"/>
                <w:kern w:val="0"/>
                <w:sz w:val="24"/>
                <w:lang w:val="en-US" w:eastAsia="zh-CN"/>
              </w:rPr>
            </w:pPr>
            <w:r>
              <w:rPr>
                <w:rFonts w:hint="eastAsia" w:ascii="仿宋_GB2312" w:hAnsi="等线" w:eastAsia="仿宋_GB2312" w:cs="宋体"/>
                <w:b/>
                <w:bCs/>
                <w:color w:val="FF0000"/>
                <w:kern w:val="0"/>
                <w:sz w:val="24"/>
                <w:lang w:val="en-US" w:eastAsia="zh-CN"/>
              </w:rPr>
              <w:t>2.市场前景：</w:t>
            </w:r>
            <w:r>
              <w:rPr>
                <w:rFonts w:hint="eastAsia" w:ascii="仿宋_GB2312" w:hAnsi="等线" w:eastAsia="仿宋_GB2312" w:cs="宋体"/>
                <w:b w:val="0"/>
                <w:bCs w:val="0"/>
                <w:color w:val="auto"/>
                <w:kern w:val="0"/>
                <w:sz w:val="24"/>
                <w:lang w:val="en-US" w:eastAsia="zh-CN"/>
              </w:rPr>
              <w:t>据《中国花卉报》报道，2020年以来缅甸、越南、泰国等东南亚国家的消费需求同比增长了47%。从贸易数据来看，鲜花贸易逐渐从鲜切花转向人工花卉，其中，永生花销售量增幅达400%。云南永生花产业处于起步阶段，仅经过10多年的发展，全省年销售额已达50亿元，出口到日本、韩国等国家及中国香港等地区。云南已经成为全国乃至全球最大的永生花初加工原料供给及初产品生产基地，加工基地以昆明为主，遍及楚雄、曲靖等鲜切花主产地。而且云南鲜切花产量主要集中于6-9月，但同期几乎没有鲜切花消费，导致鲜切花价格极低，云南永生花产业升级既符合市场需求也是云南花卉产业的发展方向。</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both"/>
              <w:textAlignment w:val="auto"/>
              <w:rPr>
                <w:rFonts w:hint="default" w:ascii="Times New Roman" w:hAnsi="Times New Roman" w:eastAsia="仿宋_GB2312" w:cs="Times New Roman"/>
                <w:i w:val="0"/>
                <w:iCs w:val="0"/>
                <w:color w:val="000000"/>
                <w:kern w:val="0"/>
                <w:sz w:val="28"/>
                <w:szCs w:val="20"/>
                <w:lang w:val="en-US" w:eastAsia="zh-CN" w:bidi="ar-SA"/>
              </w:rPr>
            </w:pPr>
            <w:r>
              <w:rPr>
                <w:rFonts w:hint="eastAsia" w:ascii="仿宋_GB2312" w:hAnsi="等线" w:eastAsia="仿宋_GB2312" w:cs="宋体"/>
                <w:b/>
                <w:bCs/>
                <w:color w:val="FF0000"/>
                <w:kern w:val="0"/>
                <w:sz w:val="24"/>
                <w:lang w:val="en-US" w:eastAsia="zh-CN"/>
              </w:rPr>
              <w:t>3.成本效益提升：</w:t>
            </w:r>
            <w:r>
              <w:rPr>
                <w:rFonts w:hint="eastAsia" w:ascii="仿宋_GB2312" w:hAnsi="等线" w:eastAsia="仿宋_GB2312" w:cs="宋体"/>
                <w:b w:val="0"/>
                <w:bCs w:val="0"/>
                <w:color w:val="auto"/>
                <w:kern w:val="0"/>
                <w:sz w:val="24"/>
                <w:lang w:val="en-US" w:eastAsia="zh-CN"/>
              </w:rPr>
              <w:t>通过原材料</w:t>
            </w:r>
            <w:r>
              <w:rPr>
                <w:rFonts w:hint="eastAsia" w:ascii="仿宋_GB2312" w:hAnsi="仿宋_GB2312" w:eastAsia="仿宋_GB2312" w:cs="仿宋_GB2312"/>
                <w:i w:val="0"/>
                <w:iCs w:val="0"/>
                <w:caps w:val="0"/>
                <w:color w:val="auto"/>
                <w:spacing w:val="0"/>
                <w:sz w:val="24"/>
                <w:szCs w:val="24"/>
                <w:shd w:val="clear" w:fill="FFFFFF"/>
                <w:lang w:eastAsia="zh-CN"/>
              </w:rPr>
              <w:t>集中供应、储存，打造共享生产线，构建利益共同体，提升物流议价权，实现成本效益提升</w:t>
            </w:r>
            <w:r>
              <w:rPr>
                <w:rFonts w:hint="eastAsia" w:ascii="仿宋_GB2312" w:hAnsi="仿宋_GB2312" w:eastAsia="仿宋_GB2312" w:cs="仿宋_GB2312"/>
                <w:i w:val="0"/>
                <w:iCs w:val="0"/>
                <w:caps w:val="0"/>
                <w:color w:val="auto"/>
                <w:spacing w:val="0"/>
                <w:sz w:val="24"/>
                <w:szCs w:val="24"/>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default" w:ascii="Times New Roman" w:hAnsi="Times New Roman" w:eastAsia="仿宋_GB2312" w:cs="Times New Roman"/>
                <w:i w:val="0"/>
                <w:iCs w:val="0"/>
                <w:color w:val="000000"/>
                <w:kern w:val="0"/>
                <w:sz w:val="28"/>
                <w:szCs w:val="20"/>
                <w:lang w:val="en-US" w:eastAsia="zh-CN" w:bidi="ar-SA"/>
              </w:rPr>
            </w:pPr>
            <w:r>
              <w:rPr>
                <w:rFonts w:hint="eastAsia" w:ascii="仿宋_GB2312" w:hAnsi="等线" w:eastAsia="仿宋_GB2312" w:cs="宋体"/>
                <w:b/>
                <w:bCs/>
                <w:color w:val="FF0000"/>
                <w:kern w:val="0"/>
                <w:sz w:val="24"/>
                <w:lang w:val="en-US" w:eastAsia="zh-CN"/>
              </w:rPr>
              <w:t>4.产业链配套完整性：</w:t>
            </w:r>
            <w:r>
              <w:rPr>
                <w:rFonts w:hint="eastAsia" w:ascii="仿宋_GB2312" w:hAnsi="仿宋_GB2312" w:eastAsia="仿宋_GB2312" w:cs="仿宋_GB2312"/>
                <w:i w:val="0"/>
                <w:iCs w:val="0"/>
                <w:caps w:val="0"/>
                <w:color w:val="auto"/>
                <w:spacing w:val="0"/>
                <w:sz w:val="24"/>
                <w:szCs w:val="24"/>
                <w:shd w:val="clear" w:fill="FFFFFF"/>
              </w:rPr>
              <w:t>嵩明绿色食品产业园位于云南嵩明国家级现代农业科技示范园区（云南省花卉示范园区），园区水、电、路、气、网设施完善，地势平坦、水资源丰富，周边富余劳动力密集。形成了以种子、种苗、种球研发生产销售绿色食品加工为主，鲜切花、盆花、干花、永生花、绿色有机蔬菜、食用菌为辅的绿色循环发展高原特色现代农业示范区。</w:t>
            </w:r>
          </w:p>
          <w:p>
            <w:pPr>
              <w:pStyle w:val="10"/>
              <w:keepNext w:val="0"/>
              <w:keepLines w:val="0"/>
              <w:pageBreakBefore w:val="0"/>
              <w:widowControl/>
              <w:kinsoku/>
              <w:wordWrap/>
              <w:overflowPunct/>
              <w:topLinePunct w:val="0"/>
              <w:autoSpaceDE/>
              <w:autoSpaceDN/>
              <w:bidi w:val="0"/>
              <w:adjustRightInd/>
              <w:snapToGrid w:val="0"/>
              <w:spacing w:beforeAutospacing="0" w:afterAutospacing="0" w:line="400" w:lineRule="exact"/>
              <w:jc w:val="both"/>
              <w:textAlignment w:val="baseline"/>
              <w:rPr>
                <w:rFonts w:hint="default" w:ascii="Times New Roman" w:hAnsi="Times New Roman" w:eastAsia="仿宋_GB2312" w:cs="Times New Roman"/>
                <w:i w:val="0"/>
                <w:iCs w:val="0"/>
                <w:color w:val="000000"/>
                <w:kern w:val="0"/>
                <w:sz w:val="28"/>
                <w:szCs w:val="20"/>
                <w:lang w:val="en-US" w:eastAsia="zh-CN" w:bidi="ar-SA"/>
              </w:rPr>
            </w:pPr>
            <w:r>
              <w:rPr>
                <w:rFonts w:hint="eastAsia" w:ascii="仿宋_GB2312" w:hAnsi="等线" w:eastAsia="仿宋_GB2312" w:cs="宋体"/>
                <w:b/>
                <w:bCs/>
                <w:color w:val="FF0000"/>
                <w:kern w:val="0"/>
                <w:sz w:val="24"/>
                <w:lang w:val="en-US" w:eastAsia="zh-CN"/>
              </w:rPr>
              <w:t xml:space="preserve">    5.前期工作开展情况：</w:t>
            </w:r>
            <w:r>
              <w:rPr>
                <w:rFonts w:hint="eastAsia" w:ascii="仿宋_GB2312" w:hAnsi="仿宋_GB2312" w:eastAsia="仿宋_GB2312" w:cs="仿宋_GB2312"/>
                <w:i w:val="0"/>
                <w:iCs w:val="0"/>
                <w:caps w:val="0"/>
                <w:color w:val="auto"/>
                <w:spacing w:val="0"/>
                <w:sz w:val="24"/>
                <w:szCs w:val="24"/>
                <w:shd w:val="clear" w:fill="FFFFFF"/>
              </w:rPr>
              <w:t>已编制《控制性详细规划》，</w:t>
            </w:r>
            <w:r>
              <w:rPr>
                <w:rFonts w:hint="eastAsia" w:ascii="仿宋_GB2312" w:hAnsi="仿宋_GB2312" w:eastAsia="仿宋_GB2312" w:cs="仿宋_GB2312"/>
                <w:i w:val="0"/>
                <w:iCs w:val="0"/>
                <w:caps w:val="0"/>
                <w:color w:val="auto"/>
                <w:spacing w:val="0"/>
                <w:sz w:val="24"/>
                <w:szCs w:val="24"/>
                <w:shd w:val="clear" w:fill="FFFFFF"/>
                <w:lang w:eastAsia="zh-CN"/>
              </w:rPr>
              <w:t>项目地块已获得用地批复；园区</w:t>
            </w:r>
            <w:r>
              <w:rPr>
                <w:rFonts w:hint="eastAsia" w:ascii="仿宋_GB2312" w:hAnsi="仿宋_GB2312" w:eastAsia="仿宋_GB2312" w:cs="仿宋_GB2312"/>
                <w:i w:val="0"/>
                <w:iCs w:val="0"/>
                <w:caps w:val="0"/>
                <w:color w:val="auto"/>
                <w:spacing w:val="0"/>
                <w:sz w:val="24"/>
                <w:szCs w:val="24"/>
                <w:shd w:val="clear" w:fill="FFFFFF"/>
              </w:rPr>
              <w:t>已有中国科学院、国家月季测试站、省农科院等科研院所和国内外知名企业68家，美国博尔、英国海盛、荷兰安祖等外资</w:t>
            </w:r>
            <w:r>
              <w:rPr>
                <w:rFonts w:hint="eastAsia" w:ascii="仿宋_GB2312" w:hAnsi="仿宋_GB2312" w:eastAsia="仿宋_GB2312" w:cs="仿宋_GB2312"/>
                <w:i w:val="0"/>
                <w:iCs w:val="0"/>
                <w:caps w:val="0"/>
                <w:color w:val="auto"/>
                <w:spacing w:val="0"/>
                <w:sz w:val="24"/>
                <w:szCs w:val="24"/>
                <w:shd w:val="clear" w:fill="FFFFFF"/>
                <w:lang w:eastAsia="zh-CN"/>
              </w:rPr>
              <w:t>花卉</w:t>
            </w:r>
            <w:r>
              <w:rPr>
                <w:rFonts w:hint="eastAsia" w:ascii="仿宋_GB2312" w:hAnsi="仿宋_GB2312" w:eastAsia="仿宋_GB2312" w:cs="仿宋_GB2312"/>
                <w:i w:val="0"/>
                <w:iCs w:val="0"/>
                <w:caps w:val="0"/>
                <w:color w:val="auto"/>
                <w:spacing w:val="0"/>
                <w:sz w:val="24"/>
                <w:szCs w:val="24"/>
                <w:shd w:val="clear" w:fill="FFFFFF"/>
              </w:rPr>
              <w:t>企业12家，省市级龙头企业23家、院士专家工作站3个。</w:t>
            </w:r>
          </w:p>
          <w:p>
            <w:pPr>
              <w:widowControl/>
              <w:jc w:val="left"/>
              <w:rPr>
                <w:rFonts w:ascii="仿宋_GB2312" w:hAnsi="等线" w:eastAsia="仿宋_GB2312" w:cs="宋体"/>
                <w:i/>
                <w:iCs/>
                <w:color w:val="000000"/>
                <w:kern w:val="0"/>
                <w:sz w:val="24"/>
              </w:rPr>
            </w:pPr>
          </w:p>
        </w:tc>
      </w:tr>
      <w:tr>
        <w:tblPrEx>
          <w:tblCellMar>
            <w:top w:w="0" w:type="dxa"/>
            <w:left w:w="108" w:type="dxa"/>
            <w:bottom w:w="0" w:type="dxa"/>
            <w:right w:w="108" w:type="dxa"/>
          </w:tblCellMar>
        </w:tblPrEx>
        <w:trPr>
          <w:trHeight w:val="810" w:hRule="atLeast"/>
        </w:trPr>
        <w:tc>
          <w:tcPr>
            <w:tcW w:w="19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rPr>
            </w:pPr>
            <w:r>
              <w:rPr>
                <w:rFonts w:hint="eastAsia" w:ascii="黑体" w:hAnsi="黑体" w:eastAsia="黑体" w:cs="宋体"/>
                <w:bCs/>
                <w:kern w:val="0"/>
                <w:sz w:val="28"/>
              </w:rPr>
              <w:t>支持政策</w:t>
            </w:r>
          </w:p>
        </w:tc>
        <w:tc>
          <w:tcPr>
            <w:tcW w:w="7315" w:type="dxa"/>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val="0"/>
              <w:tabs>
                <w:tab w:val="left" w:pos="1281"/>
              </w:tabs>
              <w:kinsoku/>
              <w:wordWrap/>
              <w:overflowPunct/>
              <w:topLinePunct w:val="0"/>
              <w:autoSpaceDE/>
              <w:autoSpaceDN/>
              <w:bidi w:val="0"/>
              <w:adjustRightInd/>
              <w:snapToGrid/>
              <w:spacing w:before="0" w:beforeAutospacing="0" w:after="0" w:afterAutospacing="0" w:line="400" w:lineRule="exact"/>
              <w:ind w:left="0" w:leftChars="0" w:right="0" w:firstLine="482" w:firstLineChars="200"/>
              <w:jc w:val="both"/>
              <w:textAlignment w:val="baseline"/>
              <w:rPr>
                <w:rFonts w:hint="eastAsia" w:ascii="仿宋_GB2312" w:hAnsi="等线" w:eastAsia="仿宋_GB2312" w:cs="宋体"/>
                <w:b/>
                <w:bCs/>
                <w:color w:val="FF0000"/>
                <w:kern w:val="0"/>
                <w:sz w:val="24"/>
                <w:lang w:val="en-US" w:eastAsia="zh-CN"/>
              </w:rPr>
            </w:pPr>
            <w:r>
              <w:rPr>
                <w:rFonts w:hint="eastAsia" w:ascii="仿宋_GB2312" w:hAnsi="等线" w:eastAsia="仿宋_GB2312" w:cs="宋体"/>
                <w:b/>
                <w:bCs/>
                <w:color w:val="FF0000"/>
                <w:kern w:val="0"/>
                <w:sz w:val="24"/>
                <w:lang w:val="en-US" w:eastAsia="zh-CN"/>
              </w:rPr>
              <w:t>招商优惠政策、产业扶持政策：</w:t>
            </w:r>
          </w:p>
          <w:p>
            <w:pPr>
              <w:pStyle w:val="11"/>
              <w:keepNext w:val="0"/>
              <w:keepLines w:val="0"/>
              <w:pageBreakBefore w:val="0"/>
              <w:widowControl w:val="0"/>
              <w:tabs>
                <w:tab w:val="left" w:pos="1281"/>
              </w:tabs>
              <w:kinsoku/>
              <w:wordWrap/>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baseline"/>
              <w:rPr>
                <w:rFonts w:hint="eastAsia" w:ascii="仿宋_GB2312" w:hAnsi="等线" w:eastAsia="仿宋_GB2312" w:cs="宋体"/>
                <w:b w:val="0"/>
                <w:bCs w:val="0"/>
                <w:color w:val="auto"/>
                <w:kern w:val="0"/>
                <w:sz w:val="24"/>
                <w:lang w:val="en-US" w:eastAsia="zh-CN"/>
              </w:rPr>
            </w:pPr>
            <w:r>
              <w:rPr>
                <w:rFonts w:hint="eastAsia" w:ascii="仿宋_GB2312" w:hAnsi="等线" w:eastAsia="仿宋_GB2312" w:cs="宋体"/>
                <w:b w:val="0"/>
                <w:bCs w:val="0"/>
                <w:color w:val="auto"/>
                <w:kern w:val="0"/>
                <w:sz w:val="24"/>
                <w:lang w:val="en-US" w:eastAsia="zh-CN"/>
              </w:rPr>
              <w:t>1. 将项目纳入嵩明县“ 轻嵩办” 重大项目库，成立工作专班支持和服务项目提前完成立项、规划、环评、安评等前期手续，保证交地即交证、拿地即开工。</w:t>
            </w:r>
          </w:p>
          <w:p>
            <w:pPr>
              <w:pStyle w:val="11"/>
              <w:keepNext w:val="0"/>
              <w:keepLines w:val="0"/>
              <w:pageBreakBefore w:val="0"/>
              <w:widowControl w:val="0"/>
              <w:tabs>
                <w:tab w:val="left" w:pos="1281"/>
              </w:tabs>
              <w:kinsoku/>
              <w:wordWrap/>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baseline"/>
              <w:rPr>
                <w:rFonts w:hint="eastAsia" w:ascii="仿宋_GB2312" w:hAnsi="等线" w:eastAsia="仿宋_GB2312" w:cs="宋体"/>
                <w:b w:val="0"/>
                <w:bCs w:val="0"/>
                <w:color w:val="auto"/>
                <w:kern w:val="0"/>
                <w:sz w:val="24"/>
                <w:lang w:val="en-US" w:eastAsia="zh-CN"/>
              </w:rPr>
            </w:pPr>
            <w:r>
              <w:rPr>
                <w:rFonts w:hint="eastAsia" w:ascii="仿宋_GB2312" w:hAnsi="等线" w:eastAsia="仿宋_GB2312" w:cs="宋体"/>
                <w:b w:val="0"/>
                <w:bCs w:val="0"/>
                <w:color w:val="auto"/>
                <w:kern w:val="0"/>
                <w:sz w:val="24"/>
                <w:lang w:val="en-US" w:eastAsia="zh-CN"/>
              </w:rPr>
              <w:t>2.对企业高级管理人员及技术人才（认定标准:按企业产值给予认定名额，每2000万元可认定1人）以其在嵩明县缴纳的工资薪金个人考评县级留存部分为基数，给予100%补助，连续补助不超过5年。</w:t>
            </w:r>
          </w:p>
          <w:p>
            <w:pPr>
              <w:pStyle w:val="11"/>
              <w:keepNext w:val="0"/>
              <w:keepLines w:val="0"/>
              <w:pageBreakBefore w:val="0"/>
              <w:widowControl w:val="0"/>
              <w:tabs>
                <w:tab w:val="left" w:pos="1281"/>
              </w:tabs>
              <w:kinsoku/>
              <w:wordWrap/>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baseline"/>
              <w:rPr>
                <w:rFonts w:hint="eastAsia" w:ascii="仿宋_GB2312" w:hAnsi="等线" w:eastAsia="仿宋_GB2312" w:cs="宋体"/>
                <w:b w:val="0"/>
                <w:bCs w:val="0"/>
                <w:color w:val="auto"/>
                <w:kern w:val="0"/>
                <w:sz w:val="24"/>
                <w:lang w:val="en-US" w:eastAsia="zh-CN"/>
              </w:rPr>
            </w:pPr>
            <w:r>
              <w:rPr>
                <w:rFonts w:hint="eastAsia" w:ascii="仿宋_GB2312" w:hAnsi="等线" w:eastAsia="仿宋_GB2312" w:cs="宋体"/>
                <w:b w:val="0"/>
                <w:bCs w:val="0"/>
                <w:color w:val="auto"/>
                <w:kern w:val="0"/>
                <w:sz w:val="24"/>
                <w:lang w:val="en-US" w:eastAsia="zh-CN"/>
              </w:rPr>
              <w:t>3. 对企业高级管理人员及高端技术人才在子女入托、入学方面，开通“绿色通道”，统筹安排解决。</w:t>
            </w:r>
          </w:p>
          <w:p>
            <w:pPr>
              <w:pStyle w:val="11"/>
              <w:keepNext w:val="0"/>
              <w:keepLines w:val="0"/>
              <w:pageBreakBefore w:val="0"/>
              <w:widowControl w:val="0"/>
              <w:tabs>
                <w:tab w:val="left" w:pos="1281"/>
              </w:tabs>
              <w:kinsoku/>
              <w:wordWrap/>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baseline"/>
              <w:rPr>
                <w:rFonts w:hint="default" w:ascii="仿宋_GB2312" w:hAnsi="等线" w:eastAsia="仿宋_GB2312" w:cs="宋体"/>
                <w:b w:val="0"/>
                <w:bCs w:val="0"/>
                <w:color w:val="auto"/>
                <w:kern w:val="0"/>
                <w:sz w:val="24"/>
                <w:lang w:val="en-US" w:eastAsia="zh-CN"/>
              </w:rPr>
            </w:pPr>
            <w:r>
              <w:rPr>
                <w:rFonts w:hint="eastAsia" w:ascii="仿宋_GB2312" w:hAnsi="等线" w:eastAsia="仿宋_GB2312" w:cs="宋体"/>
                <w:b w:val="0"/>
                <w:bCs w:val="0"/>
                <w:color w:val="auto"/>
                <w:kern w:val="0"/>
                <w:sz w:val="24"/>
                <w:lang w:val="en-US" w:eastAsia="zh-CN"/>
              </w:rPr>
              <w:t>4.作为云南省花卉示范园区花卉主导产业链的延伸，可提请“一事一议”“一企一策”研究制定</w:t>
            </w:r>
            <w:bookmarkStart w:id="0" w:name="_GoBack"/>
            <w:bookmarkEnd w:id="0"/>
            <w:r>
              <w:rPr>
                <w:rFonts w:hint="eastAsia" w:ascii="仿宋_GB2312" w:hAnsi="等线" w:eastAsia="仿宋_GB2312" w:cs="宋体"/>
                <w:b w:val="0"/>
                <w:bCs w:val="0"/>
                <w:color w:val="auto"/>
                <w:kern w:val="0"/>
                <w:sz w:val="24"/>
                <w:lang w:val="en-US" w:eastAsia="zh-CN"/>
              </w:rPr>
              <w:t>产业招商引资扶持政策。</w:t>
            </w:r>
          </w:p>
        </w:tc>
      </w:tr>
      <w:tr>
        <w:tblPrEx>
          <w:tblCellMar>
            <w:top w:w="0" w:type="dxa"/>
            <w:left w:w="108" w:type="dxa"/>
            <w:bottom w:w="0" w:type="dxa"/>
            <w:right w:w="108" w:type="dxa"/>
          </w:tblCellMar>
        </w:tblPrEx>
        <w:trPr>
          <w:trHeight w:val="810" w:hRule="atLeast"/>
        </w:trPr>
        <w:tc>
          <w:tcPr>
            <w:tcW w:w="19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rPr>
            </w:pPr>
            <w:r>
              <w:rPr>
                <w:rFonts w:hint="eastAsia" w:ascii="黑体" w:hAnsi="黑体" w:eastAsia="黑体" w:cs="宋体"/>
                <w:bCs/>
                <w:kern w:val="0"/>
                <w:sz w:val="28"/>
              </w:rPr>
              <w:t>要素保障</w:t>
            </w:r>
          </w:p>
        </w:tc>
        <w:tc>
          <w:tcPr>
            <w:tcW w:w="73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auto"/>
                <w:kern w:val="0"/>
                <w:sz w:val="24"/>
              </w:rPr>
            </w:pPr>
            <w:r>
              <w:rPr>
                <w:rFonts w:hint="eastAsia" w:ascii="仿宋_GB2312" w:hAnsi="仿宋_GB2312" w:eastAsia="仿宋_GB2312" w:cs="仿宋_GB2312"/>
                <w:i w:val="0"/>
                <w:iCs w:val="0"/>
                <w:color w:val="auto"/>
                <w:kern w:val="0"/>
                <w:sz w:val="24"/>
              </w:rPr>
              <w:t>给水价格：2.6元/m³（工业）、2元/m³（居民）；</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auto"/>
                <w:kern w:val="0"/>
                <w:sz w:val="24"/>
              </w:rPr>
            </w:pPr>
            <w:r>
              <w:rPr>
                <w:rFonts w:hint="eastAsia" w:ascii="仿宋_GB2312" w:hAnsi="仿宋_GB2312" w:eastAsia="仿宋_GB2312" w:cs="仿宋_GB2312"/>
                <w:i w:val="0"/>
                <w:iCs w:val="0"/>
                <w:color w:val="auto"/>
                <w:kern w:val="0"/>
                <w:sz w:val="24"/>
              </w:rPr>
              <w:t>工商业电价：0.5元/千瓦时左右浮动；</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auto"/>
                <w:kern w:val="0"/>
                <w:sz w:val="24"/>
              </w:rPr>
            </w:pPr>
            <w:r>
              <w:rPr>
                <w:rFonts w:hint="eastAsia" w:ascii="仿宋_GB2312" w:hAnsi="仿宋_GB2312" w:eastAsia="仿宋_GB2312" w:cs="仿宋_GB2312"/>
                <w:i w:val="0"/>
                <w:iCs w:val="0"/>
                <w:color w:val="auto"/>
                <w:kern w:val="0"/>
                <w:sz w:val="24"/>
              </w:rPr>
              <w:t>天然气供应价格：3.50元/m³（夏季）、3.63元/m³（冬季）；</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auto"/>
                <w:kern w:val="0"/>
                <w:sz w:val="24"/>
              </w:rPr>
            </w:pPr>
            <w:r>
              <w:rPr>
                <w:rFonts w:hint="eastAsia" w:ascii="仿宋_GB2312" w:hAnsi="仿宋_GB2312" w:eastAsia="仿宋_GB2312" w:cs="仿宋_GB2312"/>
                <w:i w:val="0"/>
                <w:iCs w:val="0"/>
                <w:color w:val="auto"/>
                <w:kern w:val="0"/>
                <w:sz w:val="24"/>
              </w:rPr>
              <w:t>污水处理价格：0.9元/m³；</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_GB2312" w:hAnsi="等线" w:eastAsia="仿宋_GB2312" w:cs="宋体"/>
                <w:i/>
                <w:iCs/>
                <w:color w:val="000000"/>
                <w:kern w:val="0"/>
                <w:sz w:val="24"/>
              </w:rPr>
            </w:pPr>
            <w:r>
              <w:rPr>
                <w:rFonts w:hint="eastAsia" w:ascii="仿宋_GB2312" w:hAnsi="仿宋_GB2312" w:eastAsia="仿宋_GB2312" w:cs="仿宋_GB2312"/>
                <w:i w:val="0"/>
                <w:iCs w:val="0"/>
                <w:color w:val="auto"/>
                <w:kern w:val="0"/>
                <w:sz w:val="24"/>
              </w:rPr>
              <w:t>人工费：约100元/天。</w:t>
            </w:r>
          </w:p>
        </w:tc>
      </w:tr>
      <w:tr>
        <w:tblPrEx>
          <w:tblCellMar>
            <w:top w:w="0" w:type="dxa"/>
            <w:left w:w="108" w:type="dxa"/>
            <w:bottom w:w="0" w:type="dxa"/>
            <w:right w:w="108" w:type="dxa"/>
          </w:tblCellMar>
        </w:tblPrEx>
        <w:trPr>
          <w:trHeight w:val="1388" w:hRule="atLeast"/>
        </w:trPr>
        <w:tc>
          <w:tcPr>
            <w:tcW w:w="19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rPr>
            </w:pPr>
            <w:r>
              <w:rPr>
                <w:rFonts w:hint="eastAsia" w:ascii="黑体" w:hAnsi="黑体" w:eastAsia="黑体" w:cs="宋体"/>
                <w:bCs/>
                <w:kern w:val="0"/>
                <w:sz w:val="28"/>
              </w:rPr>
              <w:t>联系方式</w:t>
            </w:r>
          </w:p>
        </w:tc>
        <w:tc>
          <w:tcPr>
            <w:tcW w:w="73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_GB2312" w:hAnsi="等线" w:eastAsia="仿宋_GB2312" w:cs="宋体"/>
                <w:i/>
                <w:iCs/>
                <w:color w:val="000000"/>
                <w:kern w:val="0"/>
                <w:sz w:val="24"/>
              </w:rPr>
            </w:pPr>
            <w:r>
              <w:rPr>
                <w:rFonts w:hint="eastAsia" w:ascii="仿宋_GB2312" w:hAnsi="等线" w:eastAsia="仿宋_GB2312" w:cs="宋体"/>
                <w:i w:val="0"/>
                <w:iCs w:val="0"/>
                <w:color w:val="auto"/>
                <w:kern w:val="0"/>
                <w:sz w:val="24"/>
                <w:lang w:eastAsia="zh-CN"/>
              </w:rPr>
              <w:t>云南省花卉示范园区</w:t>
            </w:r>
            <w:r>
              <w:rPr>
                <w:rFonts w:hint="eastAsia" w:ascii="仿宋_GB2312" w:hAnsi="等线" w:eastAsia="仿宋_GB2312" w:cs="宋体"/>
                <w:i w:val="0"/>
                <w:iCs w:val="0"/>
                <w:color w:val="auto"/>
                <w:kern w:val="0"/>
                <w:sz w:val="24"/>
                <w:lang w:val="en-US" w:eastAsia="zh-CN"/>
              </w:rPr>
              <w:t xml:space="preserve"> </w:t>
            </w:r>
            <w:r>
              <w:rPr>
                <w:rFonts w:hint="eastAsia" w:ascii="仿宋_GB2312" w:hAnsi="等线" w:eastAsia="仿宋_GB2312" w:cs="宋体"/>
                <w:i w:val="0"/>
                <w:iCs w:val="0"/>
                <w:color w:val="auto"/>
                <w:kern w:val="0"/>
                <w:sz w:val="24"/>
                <w:lang w:eastAsia="zh-CN"/>
              </w:rPr>
              <w:t>招商发展局局长</w:t>
            </w:r>
            <w:r>
              <w:rPr>
                <w:rFonts w:hint="eastAsia" w:ascii="仿宋_GB2312" w:hAnsi="等线" w:eastAsia="仿宋_GB2312" w:cs="宋体"/>
                <w:i w:val="0"/>
                <w:iCs w:val="0"/>
                <w:color w:val="auto"/>
                <w:kern w:val="0"/>
                <w:sz w:val="24"/>
                <w:lang w:val="en-US" w:eastAsia="zh-CN"/>
              </w:rPr>
              <w:t xml:space="preserve"> </w:t>
            </w:r>
            <w:r>
              <w:rPr>
                <w:rFonts w:hint="eastAsia" w:ascii="仿宋_GB2312" w:hAnsi="等线" w:eastAsia="仿宋_GB2312" w:cs="宋体"/>
                <w:i w:val="0"/>
                <w:iCs w:val="0"/>
                <w:color w:val="auto"/>
                <w:kern w:val="0"/>
                <w:sz w:val="24"/>
                <w:lang w:eastAsia="zh-CN"/>
              </w:rPr>
              <w:t>张俊：13888245194</w:t>
            </w:r>
          </w:p>
        </w:tc>
      </w:tr>
    </w:tbl>
    <w:p>
      <w:pPr>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662734"/>
    </w:sdtPr>
    <w:sdtContent>
      <w:p>
        <w:pPr>
          <w:pStyle w:val="5"/>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A6F9F"/>
    <w:multiLevelType w:val="singleLevel"/>
    <w:tmpl w:val="91FA6F9F"/>
    <w:lvl w:ilvl="0" w:tentative="0">
      <w:start w:val="1"/>
      <w:numFmt w:val="decimal"/>
      <w:lvlText w:val="%1."/>
      <w:lvlJc w:val="left"/>
      <w:pPr>
        <w:tabs>
          <w:tab w:val="left" w:pos="312"/>
        </w:tabs>
      </w:pPr>
    </w:lvl>
  </w:abstractNum>
  <w:abstractNum w:abstractNumId="1">
    <w:nsid w:val="C9BF0E63"/>
    <w:multiLevelType w:val="singleLevel"/>
    <w:tmpl w:val="C9BF0E6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mQzMzQwZDlmOWI3MWMxMGMyMzQ0Y2ExZmU3NTkifQ=="/>
  </w:docVars>
  <w:rsids>
    <w:rsidRoot w:val="15780061"/>
    <w:rsid w:val="0012448A"/>
    <w:rsid w:val="01F234D8"/>
    <w:rsid w:val="028A629F"/>
    <w:rsid w:val="048D6164"/>
    <w:rsid w:val="04C33253"/>
    <w:rsid w:val="059B4151"/>
    <w:rsid w:val="064B0ACC"/>
    <w:rsid w:val="0687275A"/>
    <w:rsid w:val="07A50D69"/>
    <w:rsid w:val="07BE731A"/>
    <w:rsid w:val="08A539D5"/>
    <w:rsid w:val="08DD1482"/>
    <w:rsid w:val="09652EA6"/>
    <w:rsid w:val="09F60E51"/>
    <w:rsid w:val="0A4C64CA"/>
    <w:rsid w:val="0A86121C"/>
    <w:rsid w:val="0A8E3B5F"/>
    <w:rsid w:val="0AC211E7"/>
    <w:rsid w:val="0AD0518B"/>
    <w:rsid w:val="0BF45020"/>
    <w:rsid w:val="0C0150E1"/>
    <w:rsid w:val="0DFA7935"/>
    <w:rsid w:val="0E401CB6"/>
    <w:rsid w:val="0E8A6F0A"/>
    <w:rsid w:val="10944070"/>
    <w:rsid w:val="12152F8F"/>
    <w:rsid w:val="12865C3B"/>
    <w:rsid w:val="128F6713"/>
    <w:rsid w:val="133438E9"/>
    <w:rsid w:val="15780061"/>
    <w:rsid w:val="19102702"/>
    <w:rsid w:val="1A7B1DFD"/>
    <w:rsid w:val="1BD8671B"/>
    <w:rsid w:val="20D02542"/>
    <w:rsid w:val="21436B6C"/>
    <w:rsid w:val="2144119B"/>
    <w:rsid w:val="22DE77DA"/>
    <w:rsid w:val="27533A41"/>
    <w:rsid w:val="28B97452"/>
    <w:rsid w:val="290620C3"/>
    <w:rsid w:val="2B4C72DE"/>
    <w:rsid w:val="2D775F87"/>
    <w:rsid w:val="2E41718E"/>
    <w:rsid w:val="2F927575"/>
    <w:rsid w:val="3166211D"/>
    <w:rsid w:val="316C1524"/>
    <w:rsid w:val="34060A24"/>
    <w:rsid w:val="34F308B0"/>
    <w:rsid w:val="352041F6"/>
    <w:rsid w:val="35507C9C"/>
    <w:rsid w:val="38CD3EE7"/>
    <w:rsid w:val="3A845141"/>
    <w:rsid w:val="3ABE51A9"/>
    <w:rsid w:val="3CB04967"/>
    <w:rsid w:val="3D0F59CB"/>
    <w:rsid w:val="3DAD285E"/>
    <w:rsid w:val="3ECE24E3"/>
    <w:rsid w:val="406665E0"/>
    <w:rsid w:val="41B617E9"/>
    <w:rsid w:val="41C35A41"/>
    <w:rsid w:val="42D9578F"/>
    <w:rsid w:val="453C3DB3"/>
    <w:rsid w:val="45996B75"/>
    <w:rsid w:val="47170634"/>
    <w:rsid w:val="48E1779E"/>
    <w:rsid w:val="4AA2290B"/>
    <w:rsid w:val="4C81528D"/>
    <w:rsid w:val="4F6C2B52"/>
    <w:rsid w:val="4F8D1A8B"/>
    <w:rsid w:val="4FD669B8"/>
    <w:rsid w:val="50BC2266"/>
    <w:rsid w:val="51B22397"/>
    <w:rsid w:val="559B4793"/>
    <w:rsid w:val="56CE344D"/>
    <w:rsid w:val="58BC54DF"/>
    <w:rsid w:val="58DC4C71"/>
    <w:rsid w:val="5975604F"/>
    <w:rsid w:val="5A97756C"/>
    <w:rsid w:val="5C265FCA"/>
    <w:rsid w:val="5DC01CC1"/>
    <w:rsid w:val="5E561682"/>
    <w:rsid w:val="5E5A6E95"/>
    <w:rsid w:val="5EA627E9"/>
    <w:rsid w:val="5F0A45B6"/>
    <w:rsid w:val="60003F04"/>
    <w:rsid w:val="607910EF"/>
    <w:rsid w:val="60B7054A"/>
    <w:rsid w:val="613B1B1E"/>
    <w:rsid w:val="6208652A"/>
    <w:rsid w:val="62426A55"/>
    <w:rsid w:val="62AB5630"/>
    <w:rsid w:val="65CA771F"/>
    <w:rsid w:val="66410DD2"/>
    <w:rsid w:val="66CB6465"/>
    <w:rsid w:val="67045888"/>
    <w:rsid w:val="67332E10"/>
    <w:rsid w:val="67E75502"/>
    <w:rsid w:val="682276F1"/>
    <w:rsid w:val="6C9E1B12"/>
    <w:rsid w:val="6CE3186A"/>
    <w:rsid w:val="6D9143ED"/>
    <w:rsid w:val="6E3746EE"/>
    <w:rsid w:val="72FC48DD"/>
    <w:rsid w:val="75307EC2"/>
    <w:rsid w:val="756E78E5"/>
    <w:rsid w:val="78770683"/>
    <w:rsid w:val="797D1D3B"/>
    <w:rsid w:val="7B167964"/>
    <w:rsid w:val="7BA07CCB"/>
    <w:rsid w:val="7C3D771E"/>
    <w:rsid w:val="7ED1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before="0" w:after="140" w:line="276" w:lineRule="auto"/>
    </w:pPr>
  </w:style>
  <w:style w:type="paragraph" w:styleId="3">
    <w:name w:val="Body Text First Indent 2"/>
    <w:basedOn w:val="4"/>
    <w:autoRedefine/>
    <w:qFormat/>
    <w:uiPriority w:val="0"/>
    <w:pPr>
      <w:spacing w:after="0"/>
      <w:ind w:firstLine="420" w:firstLineChars="200"/>
    </w:pPr>
    <w:rPr>
      <w:rFonts w:ascii="Times New Roman" w:hAnsi="Times New Roman" w:eastAsia="宋体" w:cs="Times New Roman"/>
    </w:rPr>
  </w:style>
  <w:style w:type="paragraph" w:styleId="4">
    <w:name w:val="Body Text Indent"/>
    <w:basedOn w:val="1"/>
    <w:autoRedefine/>
    <w:qFormat/>
    <w:uiPriority w:val="0"/>
    <w:pPr>
      <w:spacing w:after="120"/>
      <w:ind w:left="420" w:leftChars="200"/>
    </w:pPr>
    <w:rPr>
      <w:rFonts w:ascii="Times New Roman" w:hAnsi="Times New Roman" w:eastAsia="宋体" w:cs="Times New Roman"/>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character" w:styleId="8">
    <w:name w:val="Strong"/>
    <w:basedOn w:val="7"/>
    <w:autoRedefine/>
    <w:qFormat/>
    <w:uiPriority w:val="0"/>
    <w:rPr>
      <w:b/>
    </w:rPr>
  </w:style>
  <w:style w:type="character" w:styleId="9">
    <w:name w:val="Emphasis"/>
    <w:basedOn w:val="7"/>
    <w:autoRedefine/>
    <w:qFormat/>
    <w:uiPriority w:val="0"/>
    <w:rPr>
      <w:i/>
    </w:rPr>
  </w:style>
  <w:style w:type="paragraph" w:customStyle="1" w:styleId="10">
    <w:name w:val="普通(网站)1"/>
    <w:basedOn w:val="1"/>
    <w:autoRedefine/>
    <w:qFormat/>
    <w:uiPriority w:val="0"/>
    <w:pPr>
      <w:widowControl/>
      <w:spacing w:beforeAutospacing="1" w:afterAutospacing="1"/>
      <w:jc w:val="left"/>
    </w:pPr>
    <w:rPr>
      <w:rFonts w:ascii="宋体" w:hAnsi="宋体" w:eastAsia="宋体" w:cs="宋体"/>
      <w:kern w:val="0"/>
      <w:sz w:val="24"/>
      <w:szCs w:val="24"/>
    </w:rPr>
  </w:style>
  <w:style w:type="paragraph" w:customStyle="1" w:styleId="11">
    <w:name w:val="UserStyle_101"/>
    <w:basedOn w:val="1"/>
    <w:autoRedefine/>
    <w:qFormat/>
    <w:uiPriority w:val="0"/>
    <w:pPr>
      <w:spacing w:line="408" w:lineRule="auto"/>
      <w:ind w:firstLine="400"/>
      <w:jc w:val="both"/>
      <w:textAlignment w:val="baseline"/>
    </w:pPr>
    <w:rPr>
      <w:rFonts w:ascii="宋体" w:hAnsi="宋体" w:eastAsia="宋体"/>
      <w:kern w:val="2"/>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2805</Words>
  <Characters>3003</Characters>
  <Lines>0</Lines>
  <Paragraphs>0</Paragraphs>
  <TotalTime>5</TotalTime>
  <ScaleCrop>false</ScaleCrop>
  <LinksUpToDate>false</LinksUpToDate>
  <CharactersWithSpaces>3031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2023-04-17T09:23:00Z</dcterms:created>
  <dc:creator>D!ng</dc:creator>
  <cp:lastModifiedBy>张俊</cp:lastModifiedBy>
  <dcterms:modified xsi:type="dcterms:W3CDTF">2024-05-20T08:27:30Z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A03A9AAE98644B5390723C9C8A79C857_13</vt:lpwstr>
  </property>
</Properties>
</file>