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86"/>
        </w:tabs>
        <w:jc w:val="left"/>
        <w:rPr>
          <w:rFonts w:ascii="楷体" w:hAnsi="楷体" w:eastAsia="楷体" w:cs="楷体"/>
          <w:color w:val="000000"/>
          <w:sz w:val="32"/>
          <w:szCs w:val="32"/>
        </w:rPr>
      </w:pPr>
      <w:r>
        <w:rPr>
          <w:rFonts w:hint="eastAsia" w:ascii="楷体" w:hAnsi="楷体" w:eastAsia="楷体" w:cs="楷体"/>
          <w:color w:val="000000"/>
          <w:sz w:val="32"/>
          <w:szCs w:val="32"/>
        </w:rPr>
        <w:t>嵩明县“十四五”专项规划之八</w:t>
      </w:r>
    </w:p>
    <w:p>
      <w:pPr>
        <w:spacing w:line="360" w:lineRule="auto"/>
        <w:rPr>
          <w:color w:val="000000"/>
        </w:rPr>
      </w:pPr>
    </w:p>
    <w:p>
      <w:pPr>
        <w:widowControl/>
        <w:jc w:val="center"/>
        <w:rPr>
          <w:rFonts w:ascii="黑体" w:hAnsi="黑体" w:eastAsia="黑体" w:cs="黑体"/>
          <w:b/>
          <w:color w:val="000000"/>
          <w:kern w:val="0"/>
          <w:sz w:val="52"/>
          <w:szCs w:val="52"/>
        </w:rPr>
      </w:pPr>
      <w:r>
        <w:rPr>
          <w:rFonts w:hint="eastAsia" w:ascii="黑体" w:hAnsi="黑体" w:eastAsia="黑体" w:cs="黑体"/>
          <w:b/>
          <w:color w:val="000000"/>
          <w:kern w:val="0"/>
          <w:sz w:val="52"/>
          <w:szCs w:val="52"/>
        </w:rPr>
        <w:t>嵩明县“十四五”高原特色现代农业</w:t>
      </w:r>
    </w:p>
    <w:p>
      <w:pPr>
        <w:widowControl/>
        <w:jc w:val="center"/>
        <w:rPr>
          <w:rFonts w:ascii="黑体" w:hAnsi="黑体" w:eastAsia="黑体" w:cs="黑体"/>
          <w:b/>
          <w:color w:val="000000"/>
          <w:kern w:val="0"/>
          <w:sz w:val="52"/>
          <w:szCs w:val="52"/>
        </w:rPr>
      </w:pPr>
      <w:r>
        <w:rPr>
          <w:rFonts w:hint="eastAsia" w:ascii="黑体" w:hAnsi="黑体" w:eastAsia="黑体" w:cs="黑体"/>
          <w:b/>
          <w:color w:val="000000"/>
          <w:kern w:val="0"/>
          <w:sz w:val="52"/>
          <w:szCs w:val="52"/>
        </w:rPr>
        <w:t>发展规划</w:t>
      </w:r>
    </w:p>
    <w:p>
      <w:pPr>
        <w:widowControl/>
        <w:jc w:val="center"/>
        <w:rPr>
          <w:rFonts w:ascii="黑体" w:hAnsi="黑体" w:eastAsia="黑体" w:cs="黑体"/>
          <w:b/>
          <w:color w:val="000000"/>
          <w:kern w:val="0"/>
          <w:sz w:val="52"/>
          <w:szCs w:val="52"/>
        </w:rPr>
      </w:pPr>
      <w:r>
        <w:rPr>
          <w:rFonts w:hint="eastAsia" w:ascii="黑体" w:hAnsi="黑体" w:eastAsia="黑体" w:cs="黑体"/>
          <w:b/>
          <w:color w:val="000000"/>
          <w:kern w:val="0"/>
          <w:sz w:val="52"/>
          <w:szCs w:val="52"/>
        </w:rPr>
        <w:t>（</w:t>
      </w:r>
      <w:r>
        <w:rPr>
          <w:rFonts w:ascii="黑体" w:hAnsi="黑体" w:eastAsia="黑体" w:cs="黑体"/>
          <w:b/>
          <w:color w:val="000000"/>
          <w:kern w:val="0"/>
          <w:sz w:val="52"/>
          <w:szCs w:val="52"/>
        </w:rPr>
        <w:t>2021</w:t>
      </w:r>
      <w:r>
        <w:rPr>
          <w:rFonts w:hint="eastAsia" w:ascii="黑体" w:hAnsi="黑体" w:eastAsia="黑体" w:cs="黑体"/>
          <w:b/>
          <w:color w:val="000000"/>
          <w:kern w:val="0"/>
          <w:sz w:val="52"/>
          <w:szCs w:val="52"/>
        </w:rPr>
        <w:t>～</w:t>
      </w:r>
      <w:r>
        <w:rPr>
          <w:rFonts w:ascii="黑体" w:hAnsi="黑体" w:eastAsia="黑体" w:cs="黑体"/>
          <w:b/>
          <w:color w:val="000000"/>
          <w:kern w:val="0"/>
          <w:sz w:val="52"/>
          <w:szCs w:val="52"/>
        </w:rPr>
        <w:t>2025</w:t>
      </w:r>
      <w:r>
        <w:rPr>
          <w:rFonts w:hint="eastAsia" w:ascii="黑体" w:hAnsi="黑体" w:eastAsia="黑体" w:cs="黑体"/>
          <w:b/>
          <w:color w:val="000000"/>
          <w:kern w:val="0"/>
          <w:sz w:val="52"/>
          <w:szCs w:val="52"/>
        </w:rPr>
        <w:t>年）</w:t>
      </w:r>
    </w:p>
    <w:p>
      <w:pPr>
        <w:widowControl/>
        <w:jc w:val="center"/>
        <w:rPr>
          <w:rFonts w:ascii="仿宋_GB2312" w:hAnsi="宋体" w:eastAsia="仿宋_GB2312" w:cs="宋体"/>
          <w:b/>
          <w:color w:val="000000"/>
          <w:kern w:val="0"/>
          <w:sz w:val="44"/>
          <w:szCs w:val="44"/>
        </w:rPr>
      </w:pPr>
    </w:p>
    <w:p>
      <w:pPr>
        <w:widowControl/>
        <w:rPr>
          <w:rFonts w:ascii="仿宋_GB2312" w:hAnsi="宋体" w:eastAsia="仿宋_GB2312" w:cs="宋体"/>
          <w:b/>
          <w:color w:val="000000"/>
          <w:kern w:val="0"/>
          <w:sz w:val="44"/>
          <w:szCs w:val="44"/>
        </w:rPr>
      </w:pPr>
    </w:p>
    <w:p>
      <w:pPr>
        <w:widowControl/>
        <w:rPr>
          <w:rFonts w:ascii="仿宋_GB2312" w:hAnsi="宋体" w:eastAsia="仿宋_GB2312" w:cs="宋体"/>
          <w:b/>
          <w:color w:val="000000"/>
          <w:kern w:val="0"/>
          <w:sz w:val="44"/>
          <w:szCs w:val="44"/>
        </w:rPr>
      </w:pPr>
    </w:p>
    <w:p>
      <w:pPr>
        <w:widowControl/>
        <w:rPr>
          <w:rFonts w:ascii="仿宋_GB2312" w:hAnsi="宋体" w:eastAsia="仿宋_GB2312" w:cs="宋体"/>
          <w:b/>
          <w:color w:val="000000"/>
          <w:kern w:val="0"/>
          <w:sz w:val="44"/>
          <w:szCs w:val="44"/>
        </w:rPr>
      </w:pPr>
    </w:p>
    <w:p>
      <w:pPr>
        <w:widowControl/>
        <w:rPr>
          <w:rFonts w:ascii="仿宋_GB2312" w:hAnsi="宋体" w:eastAsia="仿宋_GB2312" w:cs="宋体"/>
          <w:b/>
          <w:color w:val="000000"/>
          <w:kern w:val="0"/>
          <w:sz w:val="44"/>
          <w:szCs w:val="44"/>
        </w:rPr>
      </w:pPr>
    </w:p>
    <w:p>
      <w:pPr>
        <w:widowControl/>
        <w:rPr>
          <w:rFonts w:ascii="仿宋_GB2312" w:hAnsi="宋体" w:eastAsia="仿宋_GB2312" w:cs="宋体"/>
          <w:b/>
          <w:color w:val="000000"/>
          <w:kern w:val="0"/>
          <w:sz w:val="44"/>
          <w:szCs w:val="44"/>
        </w:rPr>
      </w:pPr>
    </w:p>
    <w:p>
      <w:pPr>
        <w:widowControl/>
        <w:rPr>
          <w:rFonts w:ascii="仿宋_GB2312" w:hAnsi="宋体" w:eastAsia="仿宋_GB2312" w:cs="宋体"/>
          <w:b/>
          <w:color w:val="000000"/>
          <w:kern w:val="0"/>
          <w:sz w:val="44"/>
          <w:szCs w:val="44"/>
        </w:rPr>
      </w:pPr>
    </w:p>
    <w:p>
      <w:pPr>
        <w:widowControl/>
        <w:rPr>
          <w:rFonts w:ascii="仿宋_GB2312" w:hAnsi="宋体" w:eastAsia="仿宋_GB2312" w:cs="宋体"/>
          <w:b/>
          <w:color w:val="000000"/>
          <w:kern w:val="0"/>
          <w:sz w:val="44"/>
          <w:szCs w:val="44"/>
        </w:rPr>
      </w:pPr>
    </w:p>
    <w:p>
      <w:pPr>
        <w:widowControl/>
      </w:pPr>
    </w:p>
    <w:p>
      <w:pPr>
        <w:pStyle w:val="10"/>
      </w:pPr>
    </w:p>
    <w:p>
      <w:pPr>
        <w:widowControl/>
        <w:jc w:val="center"/>
        <w:rPr>
          <w:rFonts w:ascii="宋体" w:cs="宋体"/>
          <w:b/>
          <w:color w:val="000000"/>
          <w:kern w:val="0"/>
          <w:sz w:val="36"/>
          <w:szCs w:val="36"/>
        </w:rPr>
      </w:pPr>
      <w:r>
        <w:rPr>
          <w:rFonts w:hint="eastAsia" w:ascii="宋体" w:hAnsi="宋体" w:cs="宋体"/>
          <w:b/>
          <w:color w:val="000000"/>
          <w:kern w:val="0"/>
          <w:sz w:val="36"/>
          <w:szCs w:val="36"/>
        </w:rPr>
        <w:t>嵩明县农业农村局</w:t>
      </w:r>
    </w:p>
    <w:p>
      <w:pPr>
        <w:widowControl/>
        <w:jc w:val="center"/>
        <w:rPr>
          <w:rFonts w:ascii="宋体" w:hAnsi="宋体" w:cs="宋体"/>
          <w:b/>
          <w:color w:val="000000"/>
          <w:kern w:val="0"/>
          <w:sz w:val="36"/>
          <w:szCs w:val="36"/>
        </w:rPr>
        <w:sectPr>
          <w:headerReference r:id="rId4" w:type="default"/>
          <w:footerReference r:id="rId5" w:type="even"/>
          <w:pgSz w:w="11906" w:h="16838"/>
          <w:pgMar w:top="1134" w:right="1247" w:bottom="1134" w:left="1247" w:header="851" w:footer="992" w:gutter="0"/>
          <w:pgNumType w:start="1"/>
          <w:cols w:space="720" w:num="1"/>
          <w:docGrid w:type="lines" w:linePitch="312" w:charSpace="0"/>
        </w:sectPr>
      </w:pPr>
      <w:r>
        <w:rPr>
          <w:rFonts w:ascii="宋体" w:hAnsi="宋体" w:cs="宋体"/>
          <w:b/>
          <w:color w:val="000000"/>
          <w:kern w:val="0"/>
          <w:sz w:val="36"/>
          <w:szCs w:val="36"/>
        </w:rPr>
        <w:t>202</w:t>
      </w:r>
      <w:r>
        <w:rPr>
          <w:rFonts w:hint="eastAsia" w:ascii="宋体" w:hAnsi="宋体" w:cs="宋体"/>
          <w:b/>
          <w:color w:val="000000"/>
          <w:kern w:val="0"/>
          <w:sz w:val="36"/>
          <w:szCs w:val="36"/>
        </w:rPr>
        <w:t>1年4月</w:t>
      </w:r>
    </w:p>
    <w:p>
      <w:pPr>
        <w:pStyle w:val="20"/>
      </w:pPr>
      <w:r>
        <w:rPr>
          <w:rFonts w:hint="eastAsia"/>
        </w:rPr>
        <w:t>目  录</w:t>
      </w:r>
    </w:p>
    <w:p>
      <w:pPr>
        <w:pStyle w:val="20"/>
        <w:spacing w:line="360" w:lineRule="auto"/>
        <w:rPr>
          <w:rFonts w:asciiTheme="minorEastAsia" w:hAnsiTheme="minorEastAsia" w:eastAsiaTheme="minorEastAsia" w:cstheme="minorBidi"/>
          <w:b w:val="0"/>
          <w:bCs w:val="0"/>
          <w:sz w:val="28"/>
          <w:szCs w:val="28"/>
        </w:rPr>
      </w:pPr>
      <w:r>
        <w:rPr>
          <w:rFonts w:hint="eastAsia" w:asciiTheme="minorEastAsia" w:hAnsiTheme="minorEastAsia" w:eastAsiaTheme="minorEastAsia"/>
          <w:b w:val="0"/>
          <w:sz w:val="28"/>
          <w:szCs w:val="28"/>
        </w:rPr>
        <w:fldChar w:fldCharType="begin"/>
      </w:r>
      <w:r>
        <w:rPr>
          <w:rFonts w:hint="eastAsia" w:asciiTheme="minorEastAsia" w:hAnsiTheme="minorEastAsia" w:eastAsiaTheme="minorEastAsia"/>
          <w:b w:val="0"/>
          <w:sz w:val="28"/>
          <w:szCs w:val="28"/>
        </w:rPr>
        <w:instrText xml:space="preserve">TOC \o "1-4" \h \u </w:instrText>
      </w:r>
      <w:r>
        <w:rPr>
          <w:rFonts w:hint="eastAsia" w:asciiTheme="minorEastAsia" w:hAnsiTheme="minorEastAsia" w:eastAsiaTheme="minorEastAsia"/>
          <w:b w:val="0"/>
          <w:sz w:val="28"/>
          <w:szCs w:val="28"/>
        </w:rPr>
        <w:fldChar w:fldCharType="separate"/>
      </w:r>
      <w:r>
        <w:fldChar w:fldCharType="begin"/>
      </w:r>
      <w:r>
        <w:instrText xml:space="preserve"> HYPERLINK \l "_Toc74150941" </w:instrText>
      </w:r>
      <w:r>
        <w:fldChar w:fldCharType="separate"/>
      </w:r>
      <w:r>
        <w:rPr>
          <w:rStyle w:val="35"/>
          <w:rFonts w:cs="宋体" w:asciiTheme="minorEastAsia" w:hAnsiTheme="minorEastAsia" w:eastAsiaTheme="minorEastAsia"/>
          <w:sz w:val="28"/>
          <w:szCs w:val="28"/>
        </w:rPr>
        <w:t xml:space="preserve">1 </w:t>
      </w:r>
      <w:r>
        <w:rPr>
          <w:rStyle w:val="35"/>
          <w:rFonts w:hint="eastAsia" w:cs="宋体" w:asciiTheme="minorEastAsia" w:hAnsiTheme="minorEastAsia" w:eastAsiaTheme="minorEastAsia"/>
          <w:sz w:val="28"/>
          <w:szCs w:val="28"/>
        </w:rPr>
        <w:t>规划背景与依据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_Toc74150941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"_Toc74150942" </w:instrText>
      </w:r>
      <w:r>
        <w:fldChar w:fldCharType="separate"/>
      </w:r>
      <w:r>
        <w:rPr>
          <w:rStyle w:val="35"/>
          <w:rFonts w:asciiTheme="minorEastAsia" w:hAnsiTheme="minorEastAsia" w:eastAsiaTheme="minorEastAsia"/>
          <w:sz w:val="28"/>
          <w:szCs w:val="28"/>
        </w:rPr>
        <w:t>1.1</w:t>
      </w:r>
      <w:r>
        <w:rPr>
          <w:rStyle w:val="35"/>
          <w:rFonts w:hint="eastAsia" w:asciiTheme="minorEastAsia" w:hAnsiTheme="minorEastAsia" w:eastAsiaTheme="minorEastAsia"/>
          <w:sz w:val="28"/>
          <w:szCs w:val="28"/>
        </w:rPr>
        <w:t>编制背景</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_Toc74150942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"_Toc74150943" </w:instrText>
      </w:r>
      <w:r>
        <w:fldChar w:fldCharType="separate"/>
      </w:r>
      <w:r>
        <w:rPr>
          <w:rStyle w:val="35"/>
          <w:rFonts w:asciiTheme="minorEastAsia" w:hAnsiTheme="minorEastAsia" w:eastAsiaTheme="minorEastAsia"/>
          <w:sz w:val="28"/>
          <w:szCs w:val="28"/>
        </w:rPr>
        <w:t>1.2</w:t>
      </w:r>
      <w:r>
        <w:rPr>
          <w:rStyle w:val="35"/>
          <w:rFonts w:hint="eastAsia" w:asciiTheme="minorEastAsia" w:hAnsiTheme="minorEastAsia" w:eastAsiaTheme="minorEastAsia"/>
          <w:sz w:val="28"/>
          <w:szCs w:val="28"/>
        </w:rPr>
        <w:t>目的与意义</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_Toc74150943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"_Toc74150944" </w:instrText>
      </w:r>
      <w:r>
        <w:fldChar w:fldCharType="separate"/>
      </w:r>
      <w:r>
        <w:rPr>
          <w:rStyle w:val="35"/>
          <w:rFonts w:asciiTheme="minorEastAsia" w:hAnsiTheme="minorEastAsia" w:eastAsiaTheme="minorEastAsia"/>
          <w:sz w:val="28"/>
          <w:szCs w:val="28"/>
        </w:rPr>
        <w:t>1.3</w:t>
      </w:r>
      <w:r>
        <w:rPr>
          <w:rStyle w:val="35"/>
          <w:rFonts w:hint="eastAsia" w:asciiTheme="minorEastAsia" w:hAnsiTheme="minorEastAsia" w:eastAsiaTheme="minorEastAsia"/>
          <w:sz w:val="28"/>
          <w:szCs w:val="28"/>
        </w:rPr>
        <w:t>规划期限与范围</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_Toc74150944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spacing w:line="360" w:lineRule="auto"/>
        <w:rPr>
          <w:rFonts w:asciiTheme="minorEastAsia" w:hAnsiTheme="minorEastAsia" w:eastAsiaTheme="minorEastAsia" w:cstheme="minorBidi"/>
          <w:b w:val="0"/>
          <w:bCs w:val="0"/>
          <w:sz w:val="28"/>
          <w:szCs w:val="28"/>
        </w:rPr>
      </w:pPr>
      <w:r>
        <w:fldChar w:fldCharType="begin"/>
      </w:r>
      <w:r>
        <w:instrText xml:space="preserve"> HYPERLINK \l "_Toc74150945" </w:instrText>
      </w:r>
      <w:r>
        <w:fldChar w:fldCharType="separate"/>
      </w:r>
      <w:r>
        <w:rPr>
          <w:rStyle w:val="35"/>
          <w:rFonts w:cs="宋体" w:asciiTheme="minorEastAsia" w:hAnsiTheme="minorEastAsia" w:eastAsiaTheme="minorEastAsia"/>
          <w:sz w:val="28"/>
          <w:szCs w:val="28"/>
        </w:rPr>
        <w:t xml:space="preserve">2 </w:t>
      </w:r>
      <w:r>
        <w:rPr>
          <w:rStyle w:val="35"/>
          <w:rFonts w:hint="eastAsia" w:cs="宋体" w:asciiTheme="minorEastAsia" w:hAnsiTheme="minorEastAsia" w:eastAsiaTheme="minorEastAsia"/>
          <w:sz w:val="28"/>
          <w:szCs w:val="28"/>
        </w:rPr>
        <w:t>发展条件分析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_Toc74150945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"_Toc74150946" </w:instrText>
      </w:r>
      <w:r>
        <w:fldChar w:fldCharType="separate"/>
      </w:r>
      <w:r>
        <w:rPr>
          <w:rStyle w:val="35"/>
          <w:rFonts w:asciiTheme="minorEastAsia" w:hAnsiTheme="minorEastAsia" w:eastAsiaTheme="minorEastAsia"/>
          <w:sz w:val="28"/>
          <w:szCs w:val="28"/>
        </w:rPr>
        <w:t>2.1</w:t>
      </w:r>
      <w:r>
        <w:rPr>
          <w:rStyle w:val="35"/>
          <w:rFonts w:hint="eastAsia" w:asciiTheme="minorEastAsia" w:hAnsiTheme="minorEastAsia" w:eastAsiaTheme="minorEastAsia"/>
          <w:sz w:val="28"/>
          <w:szCs w:val="28"/>
        </w:rPr>
        <w:t>基本概况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_Toc74150946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"_Toc74150947" </w:instrText>
      </w:r>
      <w:r>
        <w:fldChar w:fldCharType="separate"/>
      </w:r>
      <w:r>
        <w:rPr>
          <w:rStyle w:val="35"/>
          <w:rFonts w:asciiTheme="minorEastAsia" w:hAnsiTheme="minorEastAsia" w:eastAsiaTheme="minorEastAsia"/>
          <w:sz w:val="28"/>
          <w:szCs w:val="28"/>
        </w:rPr>
        <w:t>2.1.1</w:t>
      </w:r>
      <w:r>
        <w:rPr>
          <w:rStyle w:val="35"/>
          <w:rFonts w:hint="eastAsia" w:asciiTheme="minorEastAsia" w:hAnsiTheme="minorEastAsia" w:eastAsiaTheme="minorEastAsia"/>
          <w:sz w:val="28"/>
          <w:szCs w:val="28"/>
        </w:rPr>
        <w:t>区位条件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_Toc74150947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"_Toc74150948" </w:instrText>
      </w:r>
      <w:r>
        <w:fldChar w:fldCharType="separate"/>
      </w:r>
      <w:r>
        <w:rPr>
          <w:rStyle w:val="35"/>
          <w:rFonts w:asciiTheme="minorEastAsia" w:hAnsiTheme="minorEastAsia" w:eastAsiaTheme="minorEastAsia"/>
          <w:sz w:val="28"/>
          <w:szCs w:val="28"/>
        </w:rPr>
        <w:t>2.1.2</w:t>
      </w:r>
      <w:r>
        <w:rPr>
          <w:rStyle w:val="35"/>
          <w:rFonts w:hint="eastAsia" w:asciiTheme="minorEastAsia" w:hAnsiTheme="minorEastAsia" w:eastAsiaTheme="minorEastAsia"/>
          <w:sz w:val="28"/>
          <w:szCs w:val="28"/>
        </w:rPr>
        <w:t>资源条件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_Toc74150948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"_Toc74150949" </w:instrText>
      </w:r>
      <w:r>
        <w:fldChar w:fldCharType="separate"/>
      </w:r>
      <w:r>
        <w:rPr>
          <w:rStyle w:val="35"/>
          <w:rFonts w:asciiTheme="minorEastAsia" w:hAnsiTheme="minorEastAsia" w:eastAsiaTheme="minorEastAsia"/>
          <w:sz w:val="28"/>
          <w:szCs w:val="28"/>
        </w:rPr>
        <w:t>2.2</w:t>
      </w:r>
      <w:r>
        <w:rPr>
          <w:rStyle w:val="35"/>
          <w:rFonts w:hint="eastAsia" w:asciiTheme="minorEastAsia" w:hAnsiTheme="minorEastAsia" w:eastAsiaTheme="minorEastAsia"/>
          <w:sz w:val="28"/>
          <w:szCs w:val="28"/>
        </w:rPr>
        <w:t>发展现状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_Toc74150949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"_Toc74150950" </w:instrText>
      </w:r>
      <w:r>
        <w:fldChar w:fldCharType="separate"/>
      </w:r>
      <w:r>
        <w:rPr>
          <w:rStyle w:val="35"/>
          <w:rFonts w:asciiTheme="minorEastAsia" w:hAnsiTheme="minorEastAsia" w:eastAsiaTheme="minorEastAsia"/>
          <w:sz w:val="28"/>
          <w:szCs w:val="28"/>
        </w:rPr>
        <w:t>2.2.1</w:t>
      </w:r>
      <w:r>
        <w:rPr>
          <w:rStyle w:val="35"/>
          <w:rFonts w:hint="eastAsia" w:asciiTheme="minorEastAsia" w:hAnsiTheme="minorEastAsia" w:eastAsiaTheme="minorEastAsia"/>
          <w:sz w:val="28"/>
          <w:szCs w:val="28"/>
        </w:rPr>
        <w:t>经济社会发展现状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_Toc74150950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"_Toc74150951" </w:instrText>
      </w:r>
      <w:r>
        <w:fldChar w:fldCharType="separate"/>
      </w:r>
      <w:r>
        <w:rPr>
          <w:rStyle w:val="35"/>
          <w:rFonts w:asciiTheme="minorEastAsia" w:hAnsiTheme="minorEastAsia" w:eastAsiaTheme="minorEastAsia"/>
          <w:sz w:val="28"/>
          <w:szCs w:val="28"/>
        </w:rPr>
        <w:t>2.2.2</w:t>
      </w:r>
      <w:r>
        <w:rPr>
          <w:rStyle w:val="35"/>
          <w:rFonts w:hint="eastAsia" w:asciiTheme="minorEastAsia" w:hAnsiTheme="minorEastAsia" w:eastAsiaTheme="minorEastAsia"/>
          <w:sz w:val="28"/>
          <w:szCs w:val="28"/>
        </w:rPr>
        <w:t>高原特色农业发展现状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_Toc74150951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"_Toc74150952" </w:instrText>
      </w:r>
      <w:r>
        <w:fldChar w:fldCharType="separate"/>
      </w:r>
      <w:r>
        <w:rPr>
          <w:rStyle w:val="35"/>
          <w:rFonts w:asciiTheme="minorEastAsia" w:hAnsiTheme="minorEastAsia" w:eastAsiaTheme="minorEastAsia"/>
          <w:sz w:val="28"/>
          <w:szCs w:val="28"/>
        </w:rPr>
        <w:t>2.3</w:t>
      </w:r>
      <w:r>
        <w:rPr>
          <w:rStyle w:val="35"/>
          <w:rFonts w:hint="eastAsia" w:asciiTheme="minorEastAsia" w:hAnsiTheme="minorEastAsia" w:eastAsiaTheme="minorEastAsia"/>
          <w:sz w:val="28"/>
          <w:szCs w:val="28"/>
        </w:rPr>
        <w:t>发展成效</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_Toc74150952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"_Toc74150953" </w:instrText>
      </w:r>
      <w:r>
        <w:fldChar w:fldCharType="separate"/>
      </w:r>
      <w:r>
        <w:rPr>
          <w:rStyle w:val="35"/>
          <w:rFonts w:asciiTheme="minorEastAsia" w:hAnsiTheme="minorEastAsia" w:eastAsiaTheme="minorEastAsia"/>
          <w:sz w:val="28"/>
          <w:szCs w:val="28"/>
        </w:rPr>
        <w:t>2.3.1</w:t>
      </w:r>
      <w:r>
        <w:rPr>
          <w:rStyle w:val="35"/>
          <w:rFonts w:hint="eastAsia" w:asciiTheme="minorEastAsia" w:hAnsiTheme="minorEastAsia" w:eastAsiaTheme="minorEastAsia"/>
          <w:sz w:val="28"/>
          <w:szCs w:val="28"/>
        </w:rPr>
        <w:t>粮食生产稳定发展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_Toc74150953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"_Toc74150954" </w:instrText>
      </w:r>
      <w:r>
        <w:fldChar w:fldCharType="separate"/>
      </w:r>
      <w:r>
        <w:rPr>
          <w:rStyle w:val="35"/>
          <w:rFonts w:asciiTheme="minorEastAsia" w:hAnsiTheme="minorEastAsia" w:eastAsiaTheme="minorEastAsia"/>
          <w:sz w:val="28"/>
          <w:szCs w:val="28"/>
        </w:rPr>
        <w:t>2.3.2</w:t>
      </w:r>
      <w:r>
        <w:rPr>
          <w:rStyle w:val="35"/>
          <w:rFonts w:hint="eastAsia" w:asciiTheme="minorEastAsia" w:hAnsiTheme="minorEastAsia" w:eastAsiaTheme="minorEastAsia"/>
          <w:sz w:val="28"/>
          <w:szCs w:val="28"/>
        </w:rPr>
        <w:t>农业结构调整优化</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_Toc74150954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"_Toc74150955" </w:instrText>
      </w:r>
      <w:r>
        <w:fldChar w:fldCharType="separate"/>
      </w:r>
      <w:r>
        <w:rPr>
          <w:rStyle w:val="35"/>
          <w:rFonts w:asciiTheme="minorEastAsia" w:hAnsiTheme="minorEastAsia" w:eastAsiaTheme="minorEastAsia"/>
          <w:sz w:val="28"/>
          <w:szCs w:val="28"/>
        </w:rPr>
        <w:t>2.3.3</w:t>
      </w:r>
      <w:r>
        <w:rPr>
          <w:rStyle w:val="35"/>
          <w:rFonts w:hint="eastAsia" w:asciiTheme="minorEastAsia" w:hAnsiTheme="minorEastAsia" w:eastAsiaTheme="minorEastAsia"/>
          <w:sz w:val="28"/>
          <w:szCs w:val="28"/>
        </w:rPr>
        <w:t>农业基础设施取得新突破</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_Toc74150955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"_Toc74150956" </w:instrText>
      </w:r>
      <w:r>
        <w:fldChar w:fldCharType="separate"/>
      </w:r>
      <w:r>
        <w:rPr>
          <w:rStyle w:val="35"/>
          <w:rFonts w:asciiTheme="minorEastAsia" w:hAnsiTheme="minorEastAsia" w:eastAsiaTheme="minorEastAsia"/>
          <w:sz w:val="28"/>
          <w:szCs w:val="28"/>
        </w:rPr>
        <w:t>2.3.4</w:t>
      </w:r>
      <w:r>
        <w:rPr>
          <w:rStyle w:val="35"/>
          <w:rFonts w:hint="eastAsia" w:asciiTheme="minorEastAsia" w:hAnsiTheme="minorEastAsia" w:eastAsiaTheme="minorEastAsia"/>
          <w:sz w:val="28"/>
          <w:szCs w:val="28"/>
        </w:rPr>
        <w:t>农业面源污染有效治理</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_Toc74150956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"_Toc74150957" </w:instrText>
      </w:r>
      <w:r>
        <w:fldChar w:fldCharType="separate"/>
      </w:r>
      <w:r>
        <w:rPr>
          <w:rStyle w:val="35"/>
          <w:rFonts w:asciiTheme="minorEastAsia" w:hAnsiTheme="minorEastAsia" w:eastAsiaTheme="minorEastAsia"/>
          <w:sz w:val="28"/>
          <w:szCs w:val="28"/>
        </w:rPr>
        <w:t>2.3.5</w:t>
      </w:r>
      <w:r>
        <w:rPr>
          <w:rStyle w:val="35"/>
          <w:rFonts w:hint="eastAsia" w:asciiTheme="minorEastAsia" w:hAnsiTheme="minorEastAsia" w:eastAsiaTheme="minorEastAsia"/>
          <w:sz w:val="28"/>
          <w:szCs w:val="28"/>
        </w:rPr>
        <w:t>农村改革不断深化</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_Toc74150957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"_Toc74150958" </w:instrText>
      </w:r>
      <w:r>
        <w:fldChar w:fldCharType="separate"/>
      </w:r>
      <w:r>
        <w:rPr>
          <w:rStyle w:val="35"/>
          <w:rFonts w:asciiTheme="minorEastAsia" w:hAnsiTheme="minorEastAsia" w:eastAsiaTheme="minorEastAsia"/>
          <w:sz w:val="28"/>
          <w:szCs w:val="28"/>
        </w:rPr>
        <w:t>2.3.6</w:t>
      </w:r>
      <w:r>
        <w:rPr>
          <w:rStyle w:val="35"/>
          <w:rFonts w:hint="eastAsia" w:asciiTheme="minorEastAsia" w:hAnsiTheme="minorEastAsia" w:eastAsiaTheme="minorEastAsia"/>
          <w:sz w:val="28"/>
          <w:szCs w:val="28"/>
        </w:rPr>
        <w:t>脱贫攻坚圆满收官</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_Toc74150958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"_Toc74150959" </w:instrText>
      </w:r>
      <w:r>
        <w:fldChar w:fldCharType="separate"/>
      </w:r>
      <w:r>
        <w:rPr>
          <w:rStyle w:val="35"/>
          <w:rFonts w:asciiTheme="minorEastAsia" w:hAnsiTheme="minorEastAsia" w:eastAsiaTheme="minorEastAsia"/>
          <w:sz w:val="28"/>
          <w:szCs w:val="28"/>
        </w:rPr>
        <w:t>2.3.7</w:t>
      </w:r>
      <w:r>
        <w:rPr>
          <w:rStyle w:val="35"/>
          <w:rFonts w:hint="eastAsia" w:asciiTheme="minorEastAsia" w:hAnsiTheme="minorEastAsia" w:eastAsiaTheme="minorEastAsia"/>
          <w:sz w:val="28"/>
          <w:szCs w:val="28"/>
        </w:rPr>
        <w:t>人居环境持续改善</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_Toc74150959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"_Toc74150960" </w:instrText>
      </w:r>
      <w:r>
        <w:fldChar w:fldCharType="separate"/>
      </w:r>
      <w:r>
        <w:rPr>
          <w:rStyle w:val="35"/>
          <w:rFonts w:asciiTheme="minorEastAsia" w:hAnsiTheme="minorEastAsia" w:eastAsiaTheme="minorEastAsia"/>
          <w:sz w:val="28"/>
          <w:szCs w:val="28"/>
        </w:rPr>
        <w:t>2.4</w:t>
      </w:r>
      <w:r>
        <w:rPr>
          <w:rStyle w:val="35"/>
          <w:rFonts w:hint="eastAsia" w:asciiTheme="minorEastAsia" w:hAnsiTheme="minorEastAsia" w:eastAsiaTheme="minorEastAsia"/>
          <w:sz w:val="28"/>
          <w:szCs w:val="28"/>
        </w:rPr>
        <w:t>农业产业优势与存在问题</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_Toc74150960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"_Toc74150961" </w:instrText>
      </w:r>
      <w:r>
        <w:fldChar w:fldCharType="separate"/>
      </w:r>
      <w:r>
        <w:rPr>
          <w:rStyle w:val="35"/>
          <w:rFonts w:asciiTheme="minorEastAsia" w:hAnsiTheme="minorEastAsia" w:eastAsiaTheme="minorEastAsia"/>
          <w:sz w:val="28"/>
          <w:szCs w:val="28"/>
        </w:rPr>
        <w:t>2.4.1</w:t>
      </w:r>
      <w:r>
        <w:rPr>
          <w:rStyle w:val="35"/>
          <w:rFonts w:hint="eastAsia" w:asciiTheme="minorEastAsia" w:hAnsiTheme="minorEastAsia" w:eastAsiaTheme="minorEastAsia"/>
          <w:sz w:val="28"/>
          <w:szCs w:val="28"/>
        </w:rPr>
        <w:t>产业优势</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_Toc74150961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"_Toc74150962" </w:instrText>
      </w:r>
      <w:r>
        <w:fldChar w:fldCharType="separate"/>
      </w:r>
      <w:r>
        <w:rPr>
          <w:rStyle w:val="35"/>
          <w:rFonts w:asciiTheme="minorEastAsia" w:hAnsiTheme="minorEastAsia" w:eastAsiaTheme="minorEastAsia"/>
          <w:sz w:val="28"/>
          <w:szCs w:val="28"/>
        </w:rPr>
        <w:t>2.4.2</w:t>
      </w:r>
      <w:r>
        <w:rPr>
          <w:rStyle w:val="35"/>
          <w:rFonts w:hint="eastAsia" w:asciiTheme="minorEastAsia" w:hAnsiTheme="minorEastAsia" w:eastAsiaTheme="minorEastAsia"/>
          <w:sz w:val="28"/>
          <w:szCs w:val="28"/>
        </w:rPr>
        <w:t>存在问题</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_Toc74150962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spacing w:line="360" w:lineRule="auto"/>
        <w:rPr>
          <w:rFonts w:asciiTheme="minorEastAsia" w:hAnsiTheme="minorEastAsia" w:eastAsiaTheme="minorEastAsia" w:cstheme="minorBidi"/>
          <w:b w:val="0"/>
          <w:bCs w:val="0"/>
          <w:sz w:val="28"/>
          <w:szCs w:val="28"/>
        </w:rPr>
      </w:pPr>
      <w:r>
        <w:fldChar w:fldCharType="begin"/>
      </w:r>
      <w:r>
        <w:instrText xml:space="preserve"> HYPERLINK \l "_Toc74150963" </w:instrText>
      </w:r>
      <w:r>
        <w:fldChar w:fldCharType="separate"/>
      </w:r>
      <w:r>
        <w:rPr>
          <w:rStyle w:val="35"/>
          <w:rFonts w:cs="宋体" w:asciiTheme="minorEastAsia" w:hAnsiTheme="minorEastAsia" w:eastAsiaTheme="minorEastAsia"/>
          <w:sz w:val="28"/>
          <w:szCs w:val="28"/>
        </w:rPr>
        <w:t xml:space="preserve">3 </w:t>
      </w:r>
      <w:r>
        <w:rPr>
          <w:rStyle w:val="35"/>
          <w:rFonts w:hint="eastAsia" w:cs="宋体" w:asciiTheme="minorEastAsia" w:hAnsiTheme="minorEastAsia" w:eastAsiaTheme="minorEastAsia"/>
          <w:sz w:val="28"/>
          <w:szCs w:val="28"/>
        </w:rPr>
        <w:t>发展思路与目标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_Toc74150963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"_Toc74150964" </w:instrText>
      </w:r>
      <w:r>
        <w:fldChar w:fldCharType="separate"/>
      </w:r>
      <w:r>
        <w:rPr>
          <w:rStyle w:val="35"/>
          <w:rFonts w:asciiTheme="minorEastAsia" w:hAnsiTheme="minorEastAsia" w:eastAsiaTheme="minorEastAsia"/>
          <w:sz w:val="28"/>
          <w:szCs w:val="28"/>
        </w:rPr>
        <w:t>3.1</w:t>
      </w:r>
      <w:r>
        <w:rPr>
          <w:rStyle w:val="35"/>
          <w:rFonts w:hint="eastAsia" w:asciiTheme="minorEastAsia" w:hAnsiTheme="minorEastAsia" w:eastAsiaTheme="minorEastAsia"/>
          <w:sz w:val="28"/>
          <w:szCs w:val="28"/>
        </w:rPr>
        <w:t>指导思想</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_Toc74150964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"_Toc74150965" </w:instrText>
      </w:r>
      <w:r>
        <w:fldChar w:fldCharType="separate"/>
      </w:r>
      <w:r>
        <w:rPr>
          <w:rStyle w:val="35"/>
          <w:rFonts w:asciiTheme="minorEastAsia" w:hAnsiTheme="minorEastAsia" w:eastAsiaTheme="minorEastAsia"/>
          <w:sz w:val="28"/>
          <w:szCs w:val="28"/>
        </w:rPr>
        <w:t>3.2</w:t>
      </w:r>
      <w:r>
        <w:rPr>
          <w:rStyle w:val="35"/>
          <w:rFonts w:hint="eastAsia" w:asciiTheme="minorEastAsia" w:hAnsiTheme="minorEastAsia" w:eastAsiaTheme="minorEastAsia"/>
          <w:sz w:val="28"/>
          <w:szCs w:val="28"/>
        </w:rPr>
        <w:t>发展思路</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_Toc74150965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"_Toc74150966" </w:instrText>
      </w:r>
      <w:r>
        <w:fldChar w:fldCharType="separate"/>
      </w:r>
      <w:r>
        <w:rPr>
          <w:rStyle w:val="35"/>
          <w:rFonts w:asciiTheme="minorEastAsia" w:hAnsiTheme="minorEastAsia" w:eastAsiaTheme="minorEastAsia"/>
          <w:sz w:val="28"/>
          <w:szCs w:val="28"/>
        </w:rPr>
        <w:t>3.3</w:t>
      </w:r>
      <w:r>
        <w:rPr>
          <w:rStyle w:val="35"/>
          <w:rFonts w:hint="eastAsia" w:asciiTheme="minorEastAsia" w:hAnsiTheme="minorEastAsia" w:eastAsiaTheme="minorEastAsia"/>
          <w:sz w:val="28"/>
          <w:szCs w:val="28"/>
        </w:rPr>
        <w:t>发展原则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_Toc74150966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"_Toc74150967" </w:instrText>
      </w:r>
      <w:r>
        <w:fldChar w:fldCharType="separate"/>
      </w:r>
      <w:r>
        <w:rPr>
          <w:rStyle w:val="35"/>
          <w:rFonts w:asciiTheme="minorEastAsia" w:hAnsiTheme="minorEastAsia" w:eastAsiaTheme="minorEastAsia"/>
          <w:sz w:val="28"/>
          <w:szCs w:val="28"/>
        </w:rPr>
        <w:t>3.3.1</w:t>
      </w:r>
      <w:r>
        <w:rPr>
          <w:rStyle w:val="35"/>
          <w:rFonts w:hint="eastAsia" w:asciiTheme="minorEastAsia" w:hAnsiTheme="minorEastAsia" w:eastAsiaTheme="minorEastAsia"/>
          <w:sz w:val="28"/>
          <w:szCs w:val="28"/>
        </w:rPr>
        <w:t>生态首位原则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_Toc74150967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"_Toc74150968" </w:instrText>
      </w:r>
      <w:r>
        <w:fldChar w:fldCharType="separate"/>
      </w:r>
      <w:r>
        <w:rPr>
          <w:rStyle w:val="35"/>
          <w:rFonts w:asciiTheme="minorEastAsia" w:hAnsiTheme="minorEastAsia" w:eastAsiaTheme="minorEastAsia"/>
          <w:sz w:val="28"/>
          <w:szCs w:val="28"/>
        </w:rPr>
        <w:t>3.3.2</w:t>
      </w:r>
      <w:r>
        <w:rPr>
          <w:rStyle w:val="35"/>
          <w:rFonts w:hint="eastAsia" w:asciiTheme="minorEastAsia" w:hAnsiTheme="minorEastAsia" w:eastAsiaTheme="minorEastAsia"/>
          <w:sz w:val="28"/>
          <w:szCs w:val="28"/>
        </w:rPr>
        <w:t>特色高效原则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_Toc74150968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"_Toc74150969" </w:instrText>
      </w:r>
      <w:r>
        <w:fldChar w:fldCharType="separate"/>
      </w:r>
      <w:r>
        <w:rPr>
          <w:rStyle w:val="35"/>
          <w:rFonts w:asciiTheme="minorEastAsia" w:hAnsiTheme="minorEastAsia" w:eastAsiaTheme="minorEastAsia"/>
          <w:sz w:val="28"/>
          <w:szCs w:val="28"/>
        </w:rPr>
        <w:t>3.3.3</w:t>
      </w:r>
      <w:r>
        <w:rPr>
          <w:rStyle w:val="35"/>
          <w:rFonts w:hint="eastAsia" w:asciiTheme="minorEastAsia" w:hAnsiTheme="minorEastAsia" w:eastAsiaTheme="minorEastAsia"/>
          <w:sz w:val="28"/>
          <w:szCs w:val="28"/>
        </w:rPr>
        <w:t>品牌为本原则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"_Toc74150970" </w:instrText>
      </w:r>
      <w:r>
        <w:fldChar w:fldCharType="separate"/>
      </w:r>
      <w:r>
        <w:rPr>
          <w:rStyle w:val="35"/>
          <w:rFonts w:asciiTheme="minorEastAsia" w:hAnsiTheme="minorEastAsia" w:eastAsiaTheme="minorEastAsia"/>
          <w:sz w:val="28"/>
          <w:szCs w:val="28"/>
        </w:rPr>
        <w:t>3.4</w:t>
      </w:r>
      <w:r>
        <w:rPr>
          <w:rStyle w:val="35"/>
          <w:rFonts w:hint="eastAsia" w:asciiTheme="minorEastAsia" w:hAnsiTheme="minorEastAsia" w:eastAsiaTheme="minorEastAsia"/>
          <w:sz w:val="28"/>
          <w:szCs w:val="28"/>
        </w:rPr>
        <w:t>发展目标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"_Toc74150971" </w:instrText>
      </w:r>
      <w:r>
        <w:fldChar w:fldCharType="separate"/>
      </w:r>
      <w:r>
        <w:rPr>
          <w:rStyle w:val="35"/>
          <w:rFonts w:asciiTheme="minorEastAsia" w:hAnsiTheme="minorEastAsia" w:eastAsiaTheme="minorEastAsia"/>
          <w:sz w:val="28"/>
          <w:szCs w:val="28"/>
        </w:rPr>
        <w:t>3.4.1</w:t>
      </w:r>
      <w:r>
        <w:rPr>
          <w:rStyle w:val="35"/>
          <w:rFonts w:hint="eastAsia" w:asciiTheme="minorEastAsia" w:hAnsiTheme="minorEastAsia" w:eastAsiaTheme="minorEastAsia"/>
          <w:sz w:val="28"/>
          <w:szCs w:val="28"/>
        </w:rPr>
        <w:t>总体目标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"_Toc74150972" </w:instrText>
      </w:r>
      <w:r>
        <w:fldChar w:fldCharType="separate"/>
      </w:r>
      <w:r>
        <w:rPr>
          <w:rStyle w:val="35"/>
          <w:rFonts w:asciiTheme="minorEastAsia" w:hAnsiTheme="minorEastAsia" w:eastAsiaTheme="minorEastAsia"/>
          <w:sz w:val="28"/>
          <w:szCs w:val="28"/>
        </w:rPr>
        <w:t>3.4.2</w:t>
      </w:r>
      <w:r>
        <w:rPr>
          <w:rStyle w:val="35"/>
          <w:rFonts w:hint="eastAsia" w:asciiTheme="minorEastAsia" w:hAnsiTheme="minorEastAsia" w:eastAsiaTheme="minorEastAsia"/>
          <w:sz w:val="28"/>
          <w:szCs w:val="28"/>
        </w:rPr>
        <w:t>具体目标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spacing w:line="360" w:lineRule="auto"/>
        <w:rPr>
          <w:rFonts w:asciiTheme="minorEastAsia" w:hAnsiTheme="minorEastAsia" w:eastAsiaTheme="minorEastAsia" w:cstheme="minorBidi"/>
          <w:b w:val="0"/>
          <w:bCs w:val="0"/>
          <w:sz w:val="28"/>
          <w:szCs w:val="28"/>
        </w:rPr>
      </w:pPr>
      <w:r>
        <w:fldChar w:fldCharType="begin"/>
      </w:r>
      <w:r>
        <w:instrText xml:space="preserve"> HYPERLINK \l "_Toc74150973" </w:instrText>
      </w:r>
      <w:r>
        <w:fldChar w:fldCharType="separate"/>
      </w:r>
      <w:r>
        <w:rPr>
          <w:rStyle w:val="35"/>
          <w:rFonts w:cs="宋体" w:asciiTheme="minorEastAsia" w:hAnsiTheme="minorEastAsia" w:eastAsiaTheme="minorEastAsia"/>
          <w:sz w:val="28"/>
          <w:szCs w:val="28"/>
        </w:rPr>
        <w:t xml:space="preserve">4 </w:t>
      </w:r>
      <w:r>
        <w:rPr>
          <w:rStyle w:val="35"/>
          <w:rFonts w:hint="eastAsia" w:cs="宋体" w:asciiTheme="minorEastAsia" w:hAnsiTheme="minorEastAsia" w:eastAsiaTheme="minorEastAsia"/>
          <w:sz w:val="28"/>
          <w:szCs w:val="28"/>
        </w:rPr>
        <w:t>主导产业发展目标与布局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_Toc74150973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"_Toc74150974" </w:instrText>
      </w:r>
      <w:r>
        <w:fldChar w:fldCharType="separate"/>
      </w:r>
      <w:r>
        <w:rPr>
          <w:rStyle w:val="35"/>
          <w:rFonts w:asciiTheme="minorEastAsia" w:hAnsiTheme="minorEastAsia" w:eastAsiaTheme="minorEastAsia"/>
          <w:sz w:val="28"/>
          <w:szCs w:val="28"/>
        </w:rPr>
        <w:t>4.1</w:t>
      </w:r>
      <w:r>
        <w:rPr>
          <w:rStyle w:val="35"/>
          <w:rFonts w:hint="eastAsia" w:asciiTheme="minorEastAsia" w:hAnsiTheme="minorEastAsia" w:eastAsiaTheme="minorEastAsia"/>
          <w:sz w:val="28"/>
          <w:szCs w:val="28"/>
        </w:rPr>
        <w:t>粮食产业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_Toc74150974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"_Toc74150975" </w:instrText>
      </w:r>
      <w:r>
        <w:fldChar w:fldCharType="separate"/>
      </w:r>
      <w:r>
        <w:rPr>
          <w:rStyle w:val="35"/>
          <w:rFonts w:asciiTheme="minorEastAsia" w:hAnsiTheme="minorEastAsia" w:eastAsiaTheme="minorEastAsia"/>
          <w:sz w:val="28"/>
          <w:szCs w:val="28"/>
        </w:rPr>
        <w:t>4.1.1</w:t>
      </w:r>
      <w:r>
        <w:rPr>
          <w:rStyle w:val="35"/>
          <w:rFonts w:hint="eastAsia" w:asciiTheme="minorEastAsia" w:hAnsiTheme="minorEastAsia" w:eastAsiaTheme="minorEastAsia"/>
          <w:sz w:val="28"/>
          <w:szCs w:val="28"/>
        </w:rPr>
        <w:t>发展目标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_Toc74150975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"_Toc74150976" </w:instrText>
      </w:r>
      <w:r>
        <w:fldChar w:fldCharType="separate"/>
      </w:r>
      <w:r>
        <w:rPr>
          <w:rStyle w:val="35"/>
          <w:rFonts w:asciiTheme="minorEastAsia" w:hAnsiTheme="minorEastAsia" w:eastAsiaTheme="minorEastAsia"/>
          <w:sz w:val="28"/>
          <w:szCs w:val="28"/>
        </w:rPr>
        <w:t>4.1.2</w:t>
      </w:r>
      <w:r>
        <w:rPr>
          <w:rStyle w:val="35"/>
          <w:rFonts w:hint="eastAsia" w:asciiTheme="minorEastAsia" w:hAnsiTheme="minorEastAsia" w:eastAsiaTheme="minorEastAsia"/>
          <w:sz w:val="28"/>
          <w:szCs w:val="28"/>
        </w:rPr>
        <w:t>产业布局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_Toc74150976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"_Toc74150977" </w:instrText>
      </w:r>
      <w:r>
        <w:fldChar w:fldCharType="separate"/>
      </w:r>
      <w:r>
        <w:rPr>
          <w:rStyle w:val="35"/>
          <w:rFonts w:asciiTheme="minorEastAsia" w:hAnsiTheme="minorEastAsia" w:eastAsiaTheme="minorEastAsia"/>
          <w:sz w:val="28"/>
          <w:szCs w:val="28"/>
        </w:rPr>
        <w:t>4.1.3</w:t>
      </w:r>
      <w:r>
        <w:rPr>
          <w:rStyle w:val="35"/>
          <w:rFonts w:hint="eastAsia" w:asciiTheme="minorEastAsia" w:hAnsiTheme="minorEastAsia" w:eastAsiaTheme="minorEastAsia"/>
          <w:sz w:val="28"/>
          <w:szCs w:val="28"/>
        </w:rPr>
        <w:t>发展措施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_Toc74150977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"_Toc74150978" </w:instrText>
      </w:r>
      <w:r>
        <w:fldChar w:fldCharType="separate"/>
      </w:r>
      <w:r>
        <w:rPr>
          <w:rStyle w:val="35"/>
          <w:rFonts w:asciiTheme="minorEastAsia" w:hAnsiTheme="minorEastAsia" w:eastAsiaTheme="minorEastAsia"/>
          <w:sz w:val="28"/>
          <w:szCs w:val="28"/>
        </w:rPr>
        <w:t>4.2</w:t>
      </w:r>
      <w:r>
        <w:rPr>
          <w:rStyle w:val="35"/>
          <w:rFonts w:hint="eastAsia" w:asciiTheme="minorEastAsia" w:hAnsiTheme="minorEastAsia" w:eastAsiaTheme="minorEastAsia"/>
          <w:sz w:val="28"/>
          <w:szCs w:val="28"/>
        </w:rPr>
        <w:t>蔬菜产业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_Toc74150978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"_Toc74150979" </w:instrText>
      </w:r>
      <w:r>
        <w:fldChar w:fldCharType="separate"/>
      </w:r>
      <w:r>
        <w:rPr>
          <w:rStyle w:val="35"/>
          <w:rFonts w:asciiTheme="minorEastAsia" w:hAnsiTheme="minorEastAsia" w:eastAsiaTheme="minorEastAsia"/>
          <w:sz w:val="28"/>
          <w:szCs w:val="28"/>
        </w:rPr>
        <w:t>4.2.1</w:t>
      </w:r>
      <w:r>
        <w:rPr>
          <w:rStyle w:val="35"/>
          <w:rFonts w:hint="eastAsia" w:asciiTheme="minorEastAsia" w:hAnsiTheme="minorEastAsia" w:eastAsiaTheme="minorEastAsia"/>
          <w:sz w:val="28"/>
          <w:szCs w:val="28"/>
        </w:rPr>
        <w:t>发展目标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_Toc74150979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"_Toc74150980" </w:instrText>
      </w:r>
      <w:r>
        <w:fldChar w:fldCharType="separate"/>
      </w:r>
      <w:r>
        <w:rPr>
          <w:rStyle w:val="35"/>
          <w:rFonts w:asciiTheme="minorEastAsia" w:hAnsiTheme="minorEastAsia" w:eastAsiaTheme="minorEastAsia"/>
          <w:sz w:val="28"/>
          <w:szCs w:val="28"/>
        </w:rPr>
        <w:t>4.2.2</w:t>
      </w:r>
      <w:r>
        <w:rPr>
          <w:rStyle w:val="35"/>
          <w:rFonts w:hint="eastAsia" w:asciiTheme="minorEastAsia" w:hAnsiTheme="minorEastAsia" w:eastAsiaTheme="minorEastAsia"/>
          <w:sz w:val="28"/>
          <w:szCs w:val="28"/>
        </w:rPr>
        <w:t>产业布局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_Toc74150980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"_Toc74150981" </w:instrText>
      </w:r>
      <w:r>
        <w:fldChar w:fldCharType="separate"/>
      </w:r>
      <w:r>
        <w:rPr>
          <w:rStyle w:val="35"/>
          <w:rFonts w:asciiTheme="minorEastAsia" w:hAnsiTheme="minorEastAsia" w:eastAsiaTheme="minorEastAsia"/>
          <w:sz w:val="28"/>
          <w:szCs w:val="28"/>
        </w:rPr>
        <w:t>4.2.3</w:t>
      </w:r>
      <w:r>
        <w:rPr>
          <w:rStyle w:val="35"/>
          <w:rFonts w:hint="eastAsia" w:asciiTheme="minorEastAsia" w:hAnsiTheme="minorEastAsia" w:eastAsiaTheme="minorEastAsia"/>
          <w:sz w:val="28"/>
          <w:szCs w:val="28"/>
        </w:rPr>
        <w:t>发展措施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_Toc74150981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"_Toc74150982" </w:instrText>
      </w:r>
      <w:r>
        <w:fldChar w:fldCharType="separate"/>
      </w:r>
      <w:r>
        <w:rPr>
          <w:rStyle w:val="35"/>
          <w:rFonts w:asciiTheme="minorEastAsia" w:hAnsiTheme="minorEastAsia" w:eastAsiaTheme="minorEastAsia"/>
          <w:sz w:val="28"/>
          <w:szCs w:val="28"/>
        </w:rPr>
        <w:t>4.3</w:t>
      </w:r>
      <w:r>
        <w:rPr>
          <w:rStyle w:val="35"/>
          <w:rFonts w:hint="eastAsia" w:asciiTheme="minorEastAsia" w:hAnsiTheme="minorEastAsia" w:eastAsiaTheme="minorEastAsia"/>
          <w:sz w:val="28"/>
          <w:szCs w:val="28"/>
        </w:rPr>
        <w:t>花卉产业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_Toc74150982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"_Toc74150983" </w:instrText>
      </w:r>
      <w:r>
        <w:fldChar w:fldCharType="separate"/>
      </w:r>
      <w:r>
        <w:rPr>
          <w:rStyle w:val="35"/>
          <w:rFonts w:asciiTheme="minorEastAsia" w:hAnsiTheme="minorEastAsia" w:eastAsiaTheme="minorEastAsia"/>
          <w:sz w:val="28"/>
          <w:szCs w:val="28"/>
        </w:rPr>
        <w:t>4.3.1</w:t>
      </w:r>
      <w:r>
        <w:rPr>
          <w:rStyle w:val="35"/>
          <w:rFonts w:hint="eastAsia" w:asciiTheme="minorEastAsia" w:hAnsiTheme="minorEastAsia" w:eastAsiaTheme="minorEastAsia"/>
          <w:sz w:val="28"/>
          <w:szCs w:val="28"/>
        </w:rPr>
        <w:t>发展目标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_Toc74150983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"_Toc74150984" </w:instrText>
      </w:r>
      <w:r>
        <w:fldChar w:fldCharType="separate"/>
      </w:r>
      <w:r>
        <w:rPr>
          <w:rStyle w:val="35"/>
          <w:rFonts w:asciiTheme="minorEastAsia" w:hAnsiTheme="minorEastAsia" w:eastAsiaTheme="minorEastAsia"/>
          <w:sz w:val="28"/>
          <w:szCs w:val="28"/>
        </w:rPr>
        <w:t>4.3.2</w:t>
      </w:r>
      <w:r>
        <w:rPr>
          <w:rStyle w:val="35"/>
          <w:rFonts w:hint="eastAsia" w:asciiTheme="minorEastAsia" w:hAnsiTheme="minorEastAsia" w:eastAsiaTheme="minorEastAsia"/>
          <w:sz w:val="28"/>
          <w:szCs w:val="28"/>
        </w:rPr>
        <w:t>产业布局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_Toc74150984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"_Toc74150985" </w:instrText>
      </w:r>
      <w:r>
        <w:fldChar w:fldCharType="separate"/>
      </w:r>
      <w:r>
        <w:rPr>
          <w:rStyle w:val="35"/>
          <w:rFonts w:asciiTheme="minorEastAsia" w:hAnsiTheme="minorEastAsia" w:eastAsiaTheme="minorEastAsia"/>
          <w:sz w:val="28"/>
          <w:szCs w:val="28"/>
        </w:rPr>
        <w:t>4.3.3</w:t>
      </w:r>
      <w:r>
        <w:rPr>
          <w:rStyle w:val="35"/>
          <w:rFonts w:hint="eastAsia" w:asciiTheme="minorEastAsia" w:hAnsiTheme="minorEastAsia" w:eastAsiaTheme="minorEastAsia"/>
          <w:sz w:val="28"/>
          <w:szCs w:val="28"/>
        </w:rPr>
        <w:t>发展措施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_Toc74150985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"_Toc74150986" </w:instrText>
      </w:r>
      <w:r>
        <w:fldChar w:fldCharType="separate"/>
      </w:r>
      <w:r>
        <w:rPr>
          <w:rStyle w:val="35"/>
          <w:rFonts w:asciiTheme="minorEastAsia" w:hAnsiTheme="minorEastAsia" w:eastAsiaTheme="minorEastAsia"/>
          <w:sz w:val="28"/>
          <w:szCs w:val="28"/>
        </w:rPr>
        <w:t>4.4</w:t>
      </w:r>
      <w:r>
        <w:rPr>
          <w:rStyle w:val="35"/>
          <w:rFonts w:hint="eastAsia" w:asciiTheme="minorEastAsia" w:hAnsiTheme="minorEastAsia" w:eastAsiaTheme="minorEastAsia"/>
          <w:sz w:val="28"/>
          <w:szCs w:val="28"/>
        </w:rPr>
        <w:t>畜牧产业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_Toc74150986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"_Toc74150987" </w:instrText>
      </w:r>
      <w:r>
        <w:fldChar w:fldCharType="separate"/>
      </w:r>
      <w:r>
        <w:rPr>
          <w:rStyle w:val="35"/>
          <w:rFonts w:asciiTheme="minorEastAsia" w:hAnsiTheme="minorEastAsia" w:eastAsiaTheme="minorEastAsia"/>
          <w:sz w:val="28"/>
          <w:szCs w:val="28"/>
        </w:rPr>
        <w:t>4.4.1</w:t>
      </w:r>
      <w:r>
        <w:rPr>
          <w:rStyle w:val="35"/>
          <w:rFonts w:hint="eastAsia" w:asciiTheme="minorEastAsia" w:hAnsiTheme="minorEastAsia" w:eastAsiaTheme="minorEastAsia"/>
          <w:sz w:val="28"/>
          <w:szCs w:val="28"/>
        </w:rPr>
        <w:t>发展目标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_Toc74150987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"_Toc74150988" </w:instrText>
      </w:r>
      <w:r>
        <w:fldChar w:fldCharType="separate"/>
      </w:r>
      <w:r>
        <w:rPr>
          <w:rStyle w:val="35"/>
          <w:rFonts w:asciiTheme="minorEastAsia" w:hAnsiTheme="minorEastAsia" w:eastAsiaTheme="minorEastAsia"/>
          <w:sz w:val="28"/>
          <w:szCs w:val="28"/>
        </w:rPr>
        <w:t>4.4.2</w:t>
      </w:r>
      <w:r>
        <w:rPr>
          <w:rStyle w:val="35"/>
          <w:rFonts w:hint="eastAsia" w:asciiTheme="minorEastAsia" w:hAnsiTheme="minorEastAsia" w:eastAsiaTheme="minorEastAsia"/>
          <w:sz w:val="28"/>
          <w:szCs w:val="28"/>
        </w:rPr>
        <w:t>产业布局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_Toc74150988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"_Toc74150989" </w:instrText>
      </w:r>
      <w:r>
        <w:fldChar w:fldCharType="separate"/>
      </w:r>
      <w:r>
        <w:rPr>
          <w:rStyle w:val="35"/>
          <w:rFonts w:asciiTheme="minorEastAsia" w:hAnsiTheme="minorEastAsia" w:eastAsiaTheme="minorEastAsia"/>
          <w:sz w:val="28"/>
          <w:szCs w:val="28"/>
        </w:rPr>
        <w:t>4.4.3</w:t>
      </w:r>
      <w:r>
        <w:rPr>
          <w:rStyle w:val="35"/>
          <w:rFonts w:hint="eastAsia" w:asciiTheme="minorEastAsia" w:hAnsiTheme="minorEastAsia" w:eastAsiaTheme="minorEastAsia"/>
          <w:sz w:val="28"/>
          <w:szCs w:val="28"/>
        </w:rPr>
        <w:t>发展措施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_Toc74150989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"_Toc74150990" </w:instrText>
      </w:r>
      <w:r>
        <w:fldChar w:fldCharType="separate"/>
      </w:r>
      <w:r>
        <w:rPr>
          <w:rStyle w:val="35"/>
          <w:rFonts w:asciiTheme="minorEastAsia" w:hAnsiTheme="minorEastAsia" w:eastAsiaTheme="minorEastAsia"/>
          <w:sz w:val="28"/>
          <w:szCs w:val="28"/>
        </w:rPr>
        <w:t>4.5</w:t>
      </w:r>
      <w:r>
        <w:rPr>
          <w:rStyle w:val="35"/>
          <w:rFonts w:hint="eastAsia" w:asciiTheme="minorEastAsia" w:hAnsiTheme="minorEastAsia" w:eastAsiaTheme="minorEastAsia"/>
          <w:sz w:val="28"/>
          <w:szCs w:val="28"/>
        </w:rPr>
        <w:t>渔业产业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"_Toc74150991" </w:instrText>
      </w:r>
      <w:r>
        <w:fldChar w:fldCharType="separate"/>
      </w:r>
      <w:r>
        <w:rPr>
          <w:rStyle w:val="35"/>
          <w:rFonts w:asciiTheme="minorEastAsia" w:hAnsiTheme="minorEastAsia" w:eastAsiaTheme="minorEastAsia"/>
          <w:sz w:val="28"/>
          <w:szCs w:val="28"/>
        </w:rPr>
        <w:t>4.5.1</w:t>
      </w:r>
      <w:r>
        <w:rPr>
          <w:rStyle w:val="35"/>
          <w:rFonts w:hint="eastAsia" w:asciiTheme="minorEastAsia" w:hAnsiTheme="minorEastAsia" w:eastAsiaTheme="minorEastAsia"/>
          <w:sz w:val="28"/>
          <w:szCs w:val="28"/>
        </w:rPr>
        <w:t>发展目标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"_Toc74150992" </w:instrText>
      </w:r>
      <w:r>
        <w:fldChar w:fldCharType="separate"/>
      </w:r>
      <w:r>
        <w:rPr>
          <w:rStyle w:val="35"/>
          <w:rFonts w:asciiTheme="minorEastAsia" w:hAnsiTheme="minorEastAsia" w:eastAsiaTheme="minorEastAsia"/>
          <w:sz w:val="28"/>
          <w:szCs w:val="28"/>
        </w:rPr>
        <w:t>4.5.2</w:t>
      </w:r>
      <w:r>
        <w:rPr>
          <w:rStyle w:val="35"/>
          <w:rFonts w:hint="eastAsia" w:asciiTheme="minorEastAsia" w:hAnsiTheme="minorEastAsia" w:eastAsiaTheme="minorEastAsia"/>
          <w:sz w:val="28"/>
          <w:szCs w:val="28"/>
        </w:rPr>
        <w:t>产业布局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"_Toc74150993" </w:instrText>
      </w:r>
      <w:r>
        <w:fldChar w:fldCharType="separate"/>
      </w:r>
      <w:r>
        <w:rPr>
          <w:rStyle w:val="35"/>
          <w:rFonts w:asciiTheme="minorEastAsia" w:hAnsiTheme="minorEastAsia" w:eastAsiaTheme="minorEastAsia"/>
          <w:sz w:val="28"/>
          <w:szCs w:val="28"/>
        </w:rPr>
        <w:t>4.5.3</w:t>
      </w:r>
      <w:r>
        <w:rPr>
          <w:rStyle w:val="35"/>
          <w:rFonts w:hint="eastAsia" w:asciiTheme="minorEastAsia" w:hAnsiTheme="minorEastAsia" w:eastAsiaTheme="minorEastAsia"/>
          <w:sz w:val="28"/>
          <w:szCs w:val="28"/>
        </w:rPr>
        <w:t>发展措施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"_Toc74150994" </w:instrText>
      </w:r>
      <w:r>
        <w:fldChar w:fldCharType="separate"/>
      </w:r>
      <w:r>
        <w:rPr>
          <w:rStyle w:val="35"/>
          <w:rFonts w:asciiTheme="minorEastAsia" w:hAnsiTheme="minorEastAsia" w:eastAsiaTheme="minorEastAsia"/>
          <w:sz w:val="28"/>
          <w:szCs w:val="28"/>
        </w:rPr>
        <w:t>4.6</w:t>
      </w:r>
      <w:r>
        <w:rPr>
          <w:rStyle w:val="35"/>
          <w:rFonts w:hint="eastAsia" w:asciiTheme="minorEastAsia" w:hAnsiTheme="minorEastAsia" w:eastAsiaTheme="minorEastAsia"/>
          <w:sz w:val="28"/>
          <w:szCs w:val="28"/>
        </w:rPr>
        <w:t>烤烟产业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_Toc74150994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"_Toc74150995" </w:instrText>
      </w:r>
      <w:r>
        <w:fldChar w:fldCharType="separate"/>
      </w:r>
      <w:r>
        <w:rPr>
          <w:rStyle w:val="35"/>
          <w:rFonts w:asciiTheme="minorEastAsia" w:hAnsiTheme="minorEastAsia" w:eastAsiaTheme="minorEastAsia"/>
          <w:sz w:val="28"/>
          <w:szCs w:val="28"/>
        </w:rPr>
        <w:t>4.6.1</w:t>
      </w:r>
      <w:r>
        <w:rPr>
          <w:rStyle w:val="35"/>
          <w:rFonts w:hint="eastAsia" w:asciiTheme="minorEastAsia" w:hAnsiTheme="minorEastAsia" w:eastAsiaTheme="minorEastAsia"/>
          <w:sz w:val="28"/>
          <w:szCs w:val="28"/>
        </w:rPr>
        <w:t>发展目标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"_Toc74150996" </w:instrText>
      </w:r>
      <w:r>
        <w:fldChar w:fldCharType="separate"/>
      </w:r>
      <w:r>
        <w:rPr>
          <w:rStyle w:val="35"/>
          <w:rFonts w:asciiTheme="minorEastAsia" w:hAnsiTheme="minorEastAsia" w:eastAsiaTheme="minorEastAsia"/>
          <w:sz w:val="28"/>
          <w:szCs w:val="28"/>
        </w:rPr>
        <w:t>4.6.2</w:t>
      </w:r>
      <w:r>
        <w:rPr>
          <w:rStyle w:val="35"/>
          <w:rFonts w:hint="eastAsia" w:asciiTheme="minorEastAsia" w:hAnsiTheme="minorEastAsia" w:eastAsiaTheme="minorEastAsia"/>
          <w:sz w:val="28"/>
          <w:szCs w:val="28"/>
        </w:rPr>
        <w:t>产业布局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_Toc74150996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"_Toc74150997" </w:instrText>
      </w:r>
      <w:r>
        <w:fldChar w:fldCharType="separate"/>
      </w:r>
      <w:r>
        <w:rPr>
          <w:rStyle w:val="35"/>
          <w:rFonts w:asciiTheme="minorEastAsia" w:hAnsiTheme="minorEastAsia" w:eastAsiaTheme="minorEastAsia"/>
          <w:sz w:val="28"/>
          <w:szCs w:val="28"/>
        </w:rPr>
        <w:t>4.6.3</w:t>
      </w:r>
      <w:r>
        <w:rPr>
          <w:rStyle w:val="35"/>
          <w:rFonts w:hint="eastAsia" w:asciiTheme="minorEastAsia" w:hAnsiTheme="minorEastAsia" w:eastAsiaTheme="minorEastAsia"/>
          <w:sz w:val="28"/>
          <w:szCs w:val="28"/>
        </w:rPr>
        <w:t>发展措施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_Toc74150997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"_Toc74150998" </w:instrText>
      </w:r>
      <w:r>
        <w:fldChar w:fldCharType="separate"/>
      </w:r>
      <w:r>
        <w:rPr>
          <w:rStyle w:val="35"/>
          <w:rFonts w:asciiTheme="minorEastAsia" w:hAnsiTheme="minorEastAsia" w:eastAsiaTheme="minorEastAsia"/>
          <w:sz w:val="28"/>
          <w:szCs w:val="28"/>
        </w:rPr>
        <w:t>4.7</w:t>
      </w:r>
      <w:r>
        <w:rPr>
          <w:rStyle w:val="35"/>
          <w:rFonts w:hint="eastAsia" w:asciiTheme="minorEastAsia" w:hAnsiTheme="minorEastAsia" w:eastAsiaTheme="minorEastAsia"/>
          <w:sz w:val="28"/>
          <w:szCs w:val="28"/>
        </w:rPr>
        <w:t>水果产业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_Toc74150998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"_Toc74150999" </w:instrText>
      </w:r>
      <w:r>
        <w:fldChar w:fldCharType="separate"/>
      </w:r>
      <w:r>
        <w:rPr>
          <w:rStyle w:val="35"/>
          <w:rFonts w:cs="宋体" w:asciiTheme="minorEastAsia" w:hAnsiTheme="minorEastAsia" w:eastAsiaTheme="minorEastAsia"/>
          <w:sz w:val="28"/>
          <w:szCs w:val="28"/>
        </w:rPr>
        <w:t>4.7.1</w:t>
      </w:r>
      <w:r>
        <w:rPr>
          <w:rStyle w:val="35"/>
          <w:rFonts w:hint="eastAsia" w:cs="宋体" w:asciiTheme="minorEastAsia" w:hAnsiTheme="minorEastAsia" w:eastAsiaTheme="minorEastAsia"/>
          <w:sz w:val="28"/>
          <w:szCs w:val="28"/>
        </w:rPr>
        <w:t>发展目标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_Toc74150999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"_Toc74151000" </w:instrText>
      </w:r>
      <w:r>
        <w:fldChar w:fldCharType="separate"/>
      </w:r>
      <w:r>
        <w:rPr>
          <w:rStyle w:val="35"/>
          <w:rFonts w:cs="宋体" w:asciiTheme="minorEastAsia" w:hAnsiTheme="minorEastAsia" w:eastAsiaTheme="minorEastAsia"/>
          <w:sz w:val="28"/>
          <w:szCs w:val="28"/>
        </w:rPr>
        <w:t>4.7.2</w:t>
      </w:r>
      <w:r>
        <w:rPr>
          <w:rStyle w:val="35"/>
          <w:rFonts w:hint="eastAsia" w:cs="宋体" w:asciiTheme="minorEastAsia" w:hAnsiTheme="minorEastAsia" w:eastAsiaTheme="minorEastAsia"/>
          <w:sz w:val="28"/>
          <w:szCs w:val="28"/>
        </w:rPr>
        <w:t>产业布局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_Toc74151000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"_Toc74151001" </w:instrText>
      </w:r>
      <w:r>
        <w:fldChar w:fldCharType="separate"/>
      </w:r>
      <w:r>
        <w:rPr>
          <w:rStyle w:val="35"/>
          <w:rFonts w:cs="宋体" w:asciiTheme="minorEastAsia" w:hAnsiTheme="minorEastAsia" w:eastAsiaTheme="minorEastAsia"/>
          <w:sz w:val="28"/>
          <w:szCs w:val="28"/>
        </w:rPr>
        <w:t>4.7.3</w:t>
      </w:r>
      <w:r>
        <w:rPr>
          <w:rStyle w:val="35"/>
          <w:rFonts w:hint="eastAsia" w:cs="宋体" w:asciiTheme="minorEastAsia" w:hAnsiTheme="minorEastAsia" w:eastAsiaTheme="minorEastAsia"/>
          <w:sz w:val="28"/>
          <w:szCs w:val="28"/>
        </w:rPr>
        <w:t>发展措施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_Toc74151001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"_Toc74151002" </w:instrText>
      </w:r>
      <w:r>
        <w:fldChar w:fldCharType="separate"/>
      </w:r>
      <w:r>
        <w:rPr>
          <w:rStyle w:val="35"/>
          <w:rFonts w:asciiTheme="minorEastAsia" w:hAnsiTheme="minorEastAsia" w:eastAsiaTheme="minorEastAsia"/>
          <w:sz w:val="28"/>
          <w:szCs w:val="28"/>
        </w:rPr>
        <w:t>4.8</w:t>
      </w:r>
      <w:r>
        <w:rPr>
          <w:rStyle w:val="35"/>
          <w:rFonts w:hint="eastAsia" w:asciiTheme="minorEastAsia" w:hAnsiTheme="minorEastAsia" w:eastAsiaTheme="minorEastAsia"/>
          <w:sz w:val="28"/>
          <w:szCs w:val="28"/>
        </w:rPr>
        <w:t>中药材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_Toc74151002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"_Toc74151003" </w:instrText>
      </w:r>
      <w:r>
        <w:fldChar w:fldCharType="separate"/>
      </w:r>
      <w:r>
        <w:rPr>
          <w:rStyle w:val="35"/>
          <w:rFonts w:cs="宋体" w:asciiTheme="minorEastAsia" w:hAnsiTheme="minorEastAsia" w:eastAsiaTheme="minorEastAsia"/>
          <w:sz w:val="28"/>
          <w:szCs w:val="28"/>
        </w:rPr>
        <w:t>4.8.1</w:t>
      </w:r>
      <w:r>
        <w:rPr>
          <w:rStyle w:val="35"/>
          <w:rFonts w:hint="eastAsia" w:cs="宋体" w:asciiTheme="minorEastAsia" w:hAnsiTheme="minorEastAsia" w:eastAsiaTheme="minorEastAsia"/>
          <w:sz w:val="28"/>
          <w:szCs w:val="28"/>
        </w:rPr>
        <w:t>发展目标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_Toc74151003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"_Toc74151004" </w:instrText>
      </w:r>
      <w:r>
        <w:fldChar w:fldCharType="separate"/>
      </w:r>
      <w:r>
        <w:rPr>
          <w:rStyle w:val="35"/>
          <w:rFonts w:cs="宋体" w:asciiTheme="minorEastAsia" w:hAnsiTheme="minorEastAsia" w:eastAsiaTheme="minorEastAsia"/>
          <w:sz w:val="28"/>
          <w:szCs w:val="28"/>
        </w:rPr>
        <w:t>4.8.2</w:t>
      </w:r>
      <w:r>
        <w:rPr>
          <w:rStyle w:val="35"/>
          <w:rFonts w:hint="eastAsia" w:cs="宋体" w:asciiTheme="minorEastAsia" w:hAnsiTheme="minorEastAsia" w:eastAsiaTheme="minorEastAsia"/>
          <w:sz w:val="28"/>
          <w:szCs w:val="28"/>
        </w:rPr>
        <w:t>产业布局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_Toc74151004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"_Toc74151005" </w:instrText>
      </w:r>
      <w:r>
        <w:fldChar w:fldCharType="separate"/>
      </w:r>
      <w:r>
        <w:rPr>
          <w:rStyle w:val="35"/>
          <w:rFonts w:cs="宋体" w:asciiTheme="minorEastAsia" w:hAnsiTheme="minorEastAsia" w:eastAsiaTheme="minorEastAsia"/>
          <w:sz w:val="28"/>
          <w:szCs w:val="28"/>
        </w:rPr>
        <w:t>4.8.3</w:t>
      </w:r>
      <w:r>
        <w:rPr>
          <w:rStyle w:val="35"/>
          <w:rFonts w:hint="eastAsia" w:cs="宋体" w:asciiTheme="minorEastAsia" w:hAnsiTheme="minorEastAsia" w:eastAsiaTheme="minorEastAsia"/>
          <w:sz w:val="28"/>
          <w:szCs w:val="28"/>
        </w:rPr>
        <w:t>发展措施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_Toc74151005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"_Toc74151006" </w:instrText>
      </w:r>
      <w:r>
        <w:fldChar w:fldCharType="separate"/>
      </w:r>
      <w:r>
        <w:rPr>
          <w:rStyle w:val="35"/>
          <w:rFonts w:asciiTheme="minorEastAsia" w:hAnsiTheme="minorEastAsia" w:eastAsiaTheme="minorEastAsia"/>
          <w:sz w:val="28"/>
          <w:szCs w:val="28"/>
        </w:rPr>
        <w:t>4.9</w:t>
      </w:r>
      <w:r>
        <w:rPr>
          <w:rStyle w:val="35"/>
          <w:rFonts w:hint="eastAsia" w:asciiTheme="minorEastAsia" w:hAnsiTheme="minorEastAsia" w:eastAsiaTheme="minorEastAsia"/>
          <w:sz w:val="28"/>
          <w:szCs w:val="28"/>
        </w:rPr>
        <w:t>农业旅游</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_Toc74151006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"_Toc74151007" </w:instrText>
      </w:r>
      <w:r>
        <w:fldChar w:fldCharType="separate"/>
      </w:r>
      <w:r>
        <w:rPr>
          <w:rStyle w:val="35"/>
          <w:rFonts w:cs="宋体" w:asciiTheme="minorEastAsia" w:hAnsiTheme="minorEastAsia" w:eastAsiaTheme="minorEastAsia"/>
          <w:sz w:val="28"/>
          <w:szCs w:val="28"/>
        </w:rPr>
        <w:t>4.9.1</w:t>
      </w:r>
      <w:r>
        <w:rPr>
          <w:rStyle w:val="35"/>
          <w:rFonts w:hint="eastAsia" w:cs="宋体" w:asciiTheme="minorEastAsia" w:hAnsiTheme="minorEastAsia" w:eastAsiaTheme="minorEastAsia"/>
          <w:sz w:val="28"/>
          <w:szCs w:val="28"/>
        </w:rPr>
        <w:t>发展目标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_Toc74151007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"_Toc74151008" </w:instrText>
      </w:r>
      <w:r>
        <w:fldChar w:fldCharType="separate"/>
      </w:r>
      <w:r>
        <w:rPr>
          <w:rStyle w:val="35"/>
          <w:rFonts w:cs="宋体" w:asciiTheme="minorEastAsia" w:hAnsiTheme="minorEastAsia" w:eastAsiaTheme="minorEastAsia"/>
          <w:sz w:val="28"/>
          <w:szCs w:val="28"/>
        </w:rPr>
        <w:t>4.9.2</w:t>
      </w:r>
      <w:r>
        <w:rPr>
          <w:rStyle w:val="35"/>
          <w:rFonts w:hint="eastAsia" w:cs="宋体" w:asciiTheme="minorEastAsia" w:hAnsiTheme="minorEastAsia" w:eastAsiaTheme="minorEastAsia"/>
          <w:sz w:val="28"/>
          <w:szCs w:val="28"/>
        </w:rPr>
        <w:t>产业布局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_Toc74151008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"_Toc74151009" </w:instrText>
      </w:r>
      <w:r>
        <w:fldChar w:fldCharType="separate"/>
      </w:r>
      <w:r>
        <w:rPr>
          <w:rStyle w:val="35"/>
          <w:rFonts w:cs="宋体" w:asciiTheme="minorEastAsia" w:hAnsiTheme="minorEastAsia" w:eastAsiaTheme="minorEastAsia"/>
          <w:sz w:val="28"/>
          <w:szCs w:val="28"/>
        </w:rPr>
        <w:t>4.9.3</w:t>
      </w:r>
      <w:r>
        <w:rPr>
          <w:rStyle w:val="35"/>
          <w:rFonts w:hint="eastAsia" w:cs="宋体" w:asciiTheme="minorEastAsia" w:hAnsiTheme="minorEastAsia" w:eastAsiaTheme="minorEastAsia"/>
          <w:sz w:val="28"/>
          <w:szCs w:val="28"/>
        </w:rPr>
        <w:t>发展措施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_Toc74151009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spacing w:line="360" w:lineRule="auto"/>
        <w:rPr>
          <w:rFonts w:asciiTheme="minorEastAsia" w:hAnsiTheme="minorEastAsia" w:eastAsiaTheme="minorEastAsia" w:cstheme="minorBidi"/>
          <w:b w:val="0"/>
          <w:bCs w:val="0"/>
          <w:sz w:val="28"/>
          <w:szCs w:val="28"/>
        </w:rPr>
      </w:pPr>
      <w:r>
        <w:fldChar w:fldCharType="begin"/>
      </w:r>
      <w:r>
        <w:instrText xml:space="preserve"> HYPERLINK \l "_Toc74151010" </w:instrText>
      </w:r>
      <w:r>
        <w:fldChar w:fldCharType="separate"/>
      </w:r>
      <w:r>
        <w:rPr>
          <w:rStyle w:val="35"/>
          <w:rFonts w:cs="宋体" w:asciiTheme="minorEastAsia" w:hAnsiTheme="minorEastAsia" w:eastAsiaTheme="minorEastAsia"/>
          <w:sz w:val="28"/>
          <w:szCs w:val="28"/>
        </w:rPr>
        <w:t>5</w:t>
      </w:r>
      <w:r>
        <w:rPr>
          <w:rStyle w:val="35"/>
          <w:rFonts w:hint="eastAsia" w:cs="宋体" w:asciiTheme="minorEastAsia" w:hAnsiTheme="minorEastAsia" w:eastAsiaTheme="minorEastAsia"/>
          <w:sz w:val="28"/>
          <w:szCs w:val="28"/>
        </w:rPr>
        <w:t>重点工程及科技支撑项目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_Toc74151010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"_Toc74151011" </w:instrText>
      </w:r>
      <w:r>
        <w:fldChar w:fldCharType="separate"/>
      </w:r>
      <w:r>
        <w:rPr>
          <w:rStyle w:val="35"/>
          <w:rFonts w:asciiTheme="minorEastAsia" w:hAnsiTheme="minorEastAsia" w:eastAsiaTheme="minorEastAsia"/>
          <w:sz w:val="28"/>
          <w:szCs w:val="28"/>
        </w:rPr>
        <w:t>5.1</w:t>
      </w:r>
      <w:r>
        <w:rPr>
          <w:rStyle w:val="35"/>
          <w:rFonts w:hint="eastAsia" w:asciiTheme="minorEastAsia" w:hAnsiTheme="minorEastAsia" w:eastAsiaTheme="minorEastAsia"/>
          <w:sz w:val="28"/>
          <w:szCs w:val="28"/>
        </w:rPr>
        <w:t>高标准农田建设工程</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_Toc74151011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"_Toc74151012" </w:instrText>
      </w:r>
      <w:r>
        <w:fldChar w:fldCharType="separate"/>
      </w:r>
      <w:r>
        <w:rPr>
          <w:rStyle w:val="35"/>
          <w:rFonts w:cs="宋体" w:asciiTheme="minorEastAsia" w:hAnsiTheme="minorEastAsia" w:eastAsiaTheme="minorEastAsia"/>
          <w:sz w:val="28"/>
          <w:szCs w:val="28"/>
        </w:rPr>
        <w:t>5.1.1</w:t>
      </w:r>
      <w:r>
        <w:rPr>
          <w:rStyle w:val="35"/>
          <w:rFonts w:hint="eastAsia" w:cs="宋体" w:asciiTheme="minorEastAsia" w:hAnsiTheme="minorEastAsia" w:eastAsiaTheme="minorEastAsia"/>
          <w:sz w:val="28"/>
          <w:szCs w:val="28"/>
        </w:rPr>
        <w:t>项目区选择</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_Toc74151012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"_Toc74151013" </w:instrText>
      </w:r>
      <w:r>
        <w:fldChar w:fldCharType="separate"/>
      </w:r>
      <w:r>
        <w:rPr>
          <w:rStyle w:val="35"/>
          <w:rFonts w:cs="宋体" w:asciiTheme="minorEastAsia" w:hAnsiTheme="minorEastAsia" w:eastAsiaTheme="minorEastAsia"/>
          <w:sz w:val="28"/>
          <w:szCs w:val="28"/>
        </w:rPr>
        <w:t>5.1.2</w:t>
      </w:r>
      <w:r>
        <w:rPr>
          <w:rStyle w:val="35"/>
          <w:rFonts w:hint="eastAsia" w:cs="宋体" w:asciiTheme="minorEastAsia" w:hAnsiTheme="minorEastAsia" w:eastAsiaTheme="minorEastAsia"/>
          <w:sz w:val="28"/>
          <w:szCs w:val="28"/>
        </w:rPr>
        <w:t>年度建设情况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_Toc74151013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"_Toc74151014" </w:instrText>
      </w:r>
      <w:r>
        <w:fldChar w:fldCharType="separate"/>
      </w:r>
      <w:r>
        <w:rPr>
          <w:rStyle w:val="35"/>
          <w:rFonts w:asciiTheme="minorEastAsia" w:hAnsiTheme="minorEastAsia" w:eastAsiaTheme="minorEastAsia"/>
          <w:sz w:val="28"/>
          <w:szCs w:val="28"/>
        </w:rPr>
        <w:t>5.2</w:t>
      </w:r>
      <w:r>
        <w:rPr>
          <w:rStyle w:val="35"/>
          <w:rFonts w:hint="eastAsia" w:asciiTheme="minorEastAsia" w:hAnsiTheme="minorEastAsia" w:eastAsiaTheme="minorEastAsia"/>
          <w:sz w:val="28"/>
          <w:szCs w:val="28"/>
        </w:rPr>
        <w:t>农业生态的维护与防治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_Toc74151014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"_Toc74151015" </w:instrText>
      </w:r>
      <w:r>
        <w:fldChar w:fldCharType="separate"/>
      </w:r>
      <w:r>
        <w:rPr>
          <w:rStyle w:val="35"/>
          <w:rFonts w:asciiTheme="minorEastAsia" w:hAnsiTheme="minorEastAsia" w:eastAsiaTheme="minorEastAsia"/>
          <w:sz w:val="28"/>
          <w:szCs w:val="28"/>
        </w:rPr>
        <w:t>5.3</w:t>
      </w:r>
      <w:r>
        <w:rPr>
          <w:rStyle w:val="35"/>
          <w:rFonts w:hint="eastAsia" w:asciiTheme="minorEastAsia" w:hAnsiTheme="minorEastAsia" w:eastAsiaTheme="minorEastAsia"/>
          <w:sz w:val="28"/>
          <w:szCs w:val="28"/>
        </w:rPr>
        <w:t>农业面源污染防治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_Toc74151015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"_Toc74151016" </w:instrText>
      </w:r>
      <w:r>
        <w:fldChar w:fldCharType="separate"/>
      </w:r>
      <w:r>
        <w:rPr>
          <w:rStyle w:val="35"/>
          <w:rFonts w:asciiTheme="minorEastAsia" w:hAnsiTheme="minorEastAsia" w:eastAsiaTheme="minorEastAsia"/>
          <w:sz w:val="28"/>
          <w:szCs w:val="28"/>
        </w:rPr>
        <w:t>5.4</w:t>
      </w:r>
      <w:r>
        <w:rPr>
          <w:rStyle w:val="35"/>
          <w:rFonts w:hint="eastAsia" w:asciiTheme="minorEastAsia" w:hAnsiTheme="minorEastAsia" w:eastAsiaTheme="minorEastAsia"/>
          <w:sz w:val="28"/>
          <w:szCs w:val="28"/>
        </w:rPr>
        <w:t>耕地质量监测工程</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_Toc74151016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"_Toc74151017" </w:instrText>
      </w:r>
      <w:r>
        <w:fldChar w:fldCharType="separate"/>
      </w:r>
      <w:r>
        <w:rPr>
          <w:rStyle w:val="35"/>
          <w:rFonts w:asciiTheme="minorEastAsia" w:hAnsiTheme="minorEastAsia" w:eastAsiaTheme="minorEastAsia"/>
          <w:sz w:val="28"/>
          <w:szCs w:val="28"/>
        </w:rPr>
        <w:t>5.5</w:t>
      </w:r>
      <w:r>
        <w:rPr>
          <w:rStyle w:val="35"/>
          <w:rFonts w:hint="eastAsia" w:asciiTheme="minorEastAsia" w:hAnsiTheme="minorEastAsia" w:eastAsiaTheme="minorEastAsia"/>
          <w:sz w:val="28"/>
          <w:szCs w:val="28"/>
        </w:rPr>
        <w:t>农机装备提升工程</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_Toc74151017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"_Toc74151018" </w:instrText>
      </w:r>
      <w:r>
        <w:fldChar w:fldCharType="separate"/>
      </w:r>
      <w:r>
        <w:rPr>
          <w:rStyle w:val="35"/>
          <w:rFonts w:asciiTheme="minorEastAsia" w:hAnsiTheme="minorEastAsia" w:eastAsiaTheme="minorEastAsia"/>
          <w:sz w:val="28"/>
          <w:szCs w:val="28"/>
        </w:rPr>
        <w:t>5.6</w:t>
      </w:r>
      <w:r>
        <w:rPr>
          <w:rStyle w:val="35"/>
          <w:rFonts w:hint="eastAsia" w:asciiTheme="minorEastAsia" w:hAnsiTheme="minorEastAsia" w:eastAsiaTheme="minorEastAsia"/>
          <w:sz w:val="28"/>
          <w:szCs w:val="28"/>
        </w:rPr>
        <w:t>农产品精深加工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_Toc74151018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"_Toc74151019" </w:instrText>
      </w:r>
      <w:r>
        <w:fldChar w:fldCharType="separate"/>
      </w:r>
      <w:r>
        <w:rPr>
          <w:rStyle w:val="35"/>
          <w:rFonts w:cs="宋体" w:asciiTheme="minorEastAsia" w:hAnsiTheme="minorEastAsia" w:eastAsiaTheme="minorEastAsia"/>
          <w:sz w:val="28"/>
          <w:szCs w:val="28"/>
        </w:rPr>
        <w:t>5.6.1</w:t>
      </w:r>
      <w:r>
        <w:rPr>
          <w:rStyle w:val="35"/>
          <w:rFonts w:hint="eastAsia" w:cs="宋体" w:asciiTheme="minorEastAsia" w:hAnsiTheme="minorEastAsia" w:eastAsiaTheme="minorEastAsia"/>
          <w:sz w:val="28"/>
          <w:szCs w:val="28"/>
        </w:rPr>
        <w:t>蔬菜深加工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_Toc74151019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"_Toc74151020" </w:instrText>
      </w:r>
      <w:r>
        <w:fldChar w:fldCharType="separate"/>
      </w:r>
      <w:r>
        <w:rPr>
          <w:rStyle w:val="35"/>
          <w:rFonts w:cs="宋体" w:asciiTheme="minorEastAsia" w:hAnsiTheme="minorEastAsia" w:eastAsiaTheme="minorEastAsia"/>
          <w:sz w:val="28"/>
          <w:szCs w:val="28"/>
        </w:rPr>
        <w:t>5.6.2</w:t>
      </w:r>
      <w:r>
        <w:rPr>
          <w:rStyle w:val="35"/>
          <w:rFonts w:hint="eastAsia" w:cs="宋体" w:asciiTheme="minorEastAsia" w:hAnsiTheme="minorEastAsia" w:eastAsiaTheme="minorEastAsia"/>
          <w:sz w:val="28"/>
          <w:szCs w:val="28"/>
        </w:rPr>
        <w:t>花卉精深加工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_Toc74151020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"_Toc74151021" </w:instrText>
      </w:r>
      <w:r>
        <w:fldChar w:fldCharType="separate"/>
      </w:r>
      <w:r>
        <w:rPr>
          <w:rStyle w:val="35"/>
          <w:rFonts w:asciiTheme="minorEastAsia" w:hAnsiTheme="minorEastAsia" w:eastAsiaTheme="minorEastAsia"/>
          <w:sz w:val="28"/>
          <w:szCs w:val="28"/>
        </w:rPr>
        <w:t>5.7</w:t>
      </w:r>
      <w:r>
        <w:rPr>
          <w:rStyle w:val="35"/>
          <w:rFonts w:hint="eastAsia" w:asciiTheme="minorEastAsia" w:hAnsiTheme="minorEastAsia" w:eastAsiaTheme="minorEastAsia"/>
          <w:sz w:val="28"/>
          <w:szCs w:val="28"/>
        </w:rPr>
        <w:t>现代营销及仓储物流工程</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_Toc74151021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"_Toc74151022" </w:instrText>
      </w:r>
      <w:r>
        <w:fldChar w:fldCharType="separate"/>
      </w:r>
      <w:r>
        <w:rPr>
          <w:rStyle w:val="35"/>
          <w:rFonts w:cs="宋体" w:asciiTheme="minorEastAsia" w:hAnsiTheme="minorEastAsia" w:eastAsiaTheme="minorEastAsia"/>
          <w:sz w:val="28"/>
          <w:szCs w:val="28"/>
        </w:rPr>
        <w:t>5.7.1</w:t>
      </w:r>
      <w:r>
        <w:rPr>
          <w:rStyle w:val="35"/>
          <w:rFonts w:hint="eastAsia" w:cs="宋体" w:asciiTheme="minorEastAsia" w:hAnsiTheme="minorEastAsia" w:eastAsiaTheme="minorEastAsia"/>
          <w:sz w:val="28"/>
          <w:szCs w:val="28"/>
        </w:rPr>
        <w:t>发展订单农业</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_Toc74151022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"_Toc74151023" </w:instrText>
      </w:r>
      <w:r>
        <w:fldChar w:fldCharType="separate"/>
      </w:r>
      <w:r>
        <w:rPr>
          <w:rStyle w:val="35"/>
          <w:rFonts w:cs="宋体" w:asciiTheme="minorEastAsia" w:hAnsiTheme="minorEastAsia" w:eastAsiaTheme="minorEastAsia"/>
          <w:sz w:val="28"/>
          <w:szCs w:val="28"/>
        </w:rPr>
        <w:t>5.7.2</w:t>
      </w:r>
      <w:r>
        <w:rPr>
          <w:rStyle w:val="35"/>
          <w:rFonts w:hint="eastAsia" w:cs="宋体" w:asciiTheme="minorEastAsia" w:hAnsiTheme="minorEastAsia" w:eastAsiaTheme="minorEastAsia"/>
          <w:sz w:val="28"/>
          <w:szCs w:val="28"/>
        </w:rPr>
        <w:t>信息进村入户工程</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_Toc74151023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"_Toc74151024" </w:instrText>
      </w:r>
      <w:r>
        <w:fldChar w:fldCharType="separate"/>
      </w:r>
      <w:r>
        <w:rPr>
          <w:rStyle w:val="35"/>
          <w:rFonts w:cs="宋体" w:asciiTheme="minorEastAsia" w:hAnsiTheme="minorEastAsia" w:eastAsiaTheme="minorEastAsia"/>
          <w:sz w:val="28"/>
          <w:szCs w:val="28"/>
        </w:rPr>
        <w:t>5.7.3</w:t>
      </w:r>
      <w:r>
        <w:rPr>
          <w:rStyle w:val="35"/>
          <w:rFonts w:hint="eastAsia" w:cs="宋体" w:asciiTheme="minorEastAsia" w:hAnsiTheme="minorEastAsia" w:eastAsiaTheme="minorEastAsia"/>
          <w:sz w:val="28"/>
          <w:szCs w:val="28"/>
        </w:rPr>
        <w:t>完善冷链物流</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_Toc74151024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"_Toc74151025" </w:instrText>
      </w:r>
      <w:r>
        <w:fldChar w:fldCharType="separate"/>
      </w:r>
      <w:r>
        <w:rPr>
          <w:rStyle w:val="35"/>
          <w:rFonts w:asciiTheme="minorEastAsia" w:hAnsiTheme="minorEastAsia" w:eastAsiaTheme="minorEastAsia"/>
          <w:sz w:val="28"/>
          <w:szCs w:val="28"/>
        </w:rPr>
        <w:t>5.8</w:t>
      </w:r>
      <w:r>
        <w:rPr>
          <w:rStyle w:val="35"/>
          <w:rFonts w:hint="eastAsia" w:asciiTheme="minorEastAsia" w:hAnsiTheme="minorEastAsia" w:eastAsiaTheme="minorEastAsia"/>
          <w:sz w:val="28"/>
          <w:szCs w:val="28"/>
        </w:rPr>
        <w:t>品牌打造工程</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_Toc74151025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"_Toc74151026" </w:instrText>
      </w:r>
      <w:r>
        <w:fldChar w:fldCharType="separate"/>
      </w:r>
      <w:r>
        <w:rPr>
          <w:rStyle w:val="35"/>
          <w:rFonts w:cs="宋体" w:asciiTheme="minorEastAsia" w:hAnsiTheme="minorEastAsia" w:eastAsiaTheme="minorEastAsia"/>
          <w:sz w:val="28"/>
          <w:szCs w:val="28"/>
        </w:rPr>
        <w:t>5.8.1</w:t>
      </w:r>
      <w:r>
        <w:rPr>
          <w:rStyle w:val="35"/>
          <w:rFonts w:hint="eastAsia" w:cs="宋体" w:asciiTheme="minorEastAsia" w:hAnsiTheme="minorEastAsia" w:eastAsiaTheme="minorEastAsia"/>
          <w:sz w:val="28"/>
          <w:szCs w:val="28"/>
        </w:rPr>
        <w:t>推进“三品一标”认证和绿色品牌建设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_Toc74151026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"_Toc74151027" </w:instrText>
      </w:r>
      <w:r>
        <w:fldChar w:fldCharType="separate"/>
      </w:r>
      <w:r>
        <w:rPr>
          <w:rStyle w:val="35"/>
          <w:rFonts w:cs="宋体" w:asciiTheme="minorEastAsia" w:hAnsiTheme="minorEastAsia" w:eastAsiaTheme="minorEastAsia"/>
          <w:sz w:val="28"/>
          <w:szCs w:val="28"/>
        </w:rPr>
        <w:t>5.8.2</w:t>
      </w:r>
      <w:r>
        <w:rPr>
          <w:rStyle w:val="35"/>
          <w:rFonts w:hint="eastAsia" w:cs="宋体" w:asciiTheme="minorEastAsia" w:hAnsiTheme="minorEastAsia" w:eastAsiaTheme="minorEastAsia"/>
          <w:sz w:val="28"/>
          <w:szCs w:val="28"/>
        </w:rPr>
        <w:t>打造嵩明农业品牌</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_Toc74151027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"_Toc74151028" </w:instrText>
      </w:r>
      <w:r>
        <w:fldChar w:fldCharType="separate"/>
      </w:r>
      <w:r>
        <w:rPr>
          <w:rStyle w:val="35"/>
          <w:rFonts w:cs="宋体" w:asciiTheme="minorEastAsia" w:hAnsiTheme="minorEastAsia" w:eastAsiaTheme="minorEastAsia"/>
          <w:sz w:val="28"/>
          <w:szCs w:val="28"/>
        </w:rPr>
        <w:t>5.8.3</w:t>
      </w:r>
      <w:r>
        <w:rPr>
          <w:rStyle w:val="35"/>
          <w:rFonts w:hint="eastAsia" w:cs="宋体" w:asciiTheme="minorEastAsia" w:hAnsiTheme="minorEastAsia" w:eastAsiaTheme="minorEastAsia"/>
          <w:sz w:val="28"/>
          <w:szCs w:val="28"/>
        </w:rPr>
        <w:t>加强品牌宣传与营销</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_Toc74151028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"_Toc74151029" </w:instrText>
      </w:r>
      <w:r>
        <w:fldChar w:fldCharType="separate"/>
      </w:r>
      <w:r>
        <w:rPr>
          <w:rStyle w:val="35"/>
          <w:rFonts w:asciiTheme="minorEastAsia" w:hAnsiTheme="minorEastAsia" w:eastAsiaTheme="minorEastAsia"/>
          <w:sz w:val="28"/>
          <w:szCs w:val="28"/>
        </w:rPr>
        <w:t>5.9</w:t>
      </w:r>
      <w:r>
        <w:rPr>
          <w:rStyle w:val="35"/>
          <w:rFonts w:hint="eastAsia" w:asciiTheme="minorEastAsia" w:hAnsiTheme="minorEastAsia" w:eastAsiaTheme="minorEastAsia"/>
          <w:sz w:val="28"/>
          <w:szCs w:val="28"/>
        </w:rPr>
        <w:t>新型农业经营主体培育</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_Toc74151029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"_Toc74151030" </w:instrText>
      </w:r>
      <w:r>
        <w:fldChar w:fldCharType="separate"/>
      </w:r>
      <w:r>
        <w:rPr>
          <w:rStyle w:val="35"/>
          <w:rFonts w:asciiTheme="minorEastAsia" w:hAnsiTheme="minorEastAsia" w:eastAsiaTheme="minorEastAsia"/>
          <w:sz w:val="28"/>
          <w:szCs w:val="28"/>
        </w:rPr>
        <w:t>5.10</w:t>
      </w:r>
      <w:r>
        <w:rPr>
          <w:rStyle w:val="35"/>
          <w:rFonts w:hint="eastAsia" w:asciiTheme="minorEastAsia" w:hAnsiTheme="minorEastAsia" w:eastAsiaTheme="minorEastAsia"/>
          <w:sz w:val="28"/>
          <w:szCs w:val="28"/>
        </w:rPr>
        <w:t>“十四五”时期重点项目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_Toc74151030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spacing w:line="360" w:lineRule="auto"/>
        <w:rPr>
          <w:rFonts w:asciiTheme="minorEastAsia" w:hAnsiTheme="minorEastAsia" w:eastAsiaTheme="minorEastAsia" w:cstheme="minorBidi"/>
          <w:b w:val="0"/>
          <w:bCs w:val="0"/>
          <w:sz w:val="28"/>
          <w:szCs w:val="28"/>
        </w:rPr>
      </w:pPr>
      <w:r>
        <w:fldChar w:fldCharType="begin"/>
      </w:r>
      <w:r>
        <w:instrText xml:space="preserve"> HYPERLINK \l "_Toc74151031" </w:instrText>
      </w:r>
      <w:r>
        <w:fldChar w:fldCharType="separate"/>
      </w:r>
      <w:r>
        <w:rPr>
          <w:rStyle w:val="35"/>
          <w:rFonts w:cs="宋体" w:asciiTheme="minorEastAsia" w:hAnsiTheme="minorEastAsia" w:eastAsiaTheme="minorEastAsia"/>
          <w:sz w:val="28"/>
          <w:szCs w:val="28"/>
        </w:rPr>
        <w:t xml:space="preserve">6 </w:t>
      </w:r>
      <w:r>
        <w:rPr>
          <w:rStyle w:val="35"/>
          <w:rFonts w:hint="eastAsia" w:cs="宋体" w:asciiTheme="minorEastAsia" w:hAnsiTheme="minorEastAsia" w:eastAsiaTheme="minorEastAsia"/>
          <w:sz w:val="28"/>
          <w:szCs w:val="28"/>
        </w:rPr>
        <w:t>投资估算与效益分析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_Toc74151031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"_Toc74151032" </w:instrText>
      </w:r>
      <w:r>
        <w:fldChar w:fldCharType="separate"/>
      </w:r>
      <w:r>
        <w:rPr>
          <w:rStyle w:val="35"/>
          <w:rFonts w:asciiTheme="minorEastAsia" w:hAnsiTheme="minorEastAsia" w:eastAsiaTheme="minorEastAsia"/>
          <w:sz w:val="28"/>
          <w:szCs w:val="28"/>
        </w:rPr>
        <w:t>6.1</w:t>
      </w:r>
      <w:r>
        <w:rPr>
          <w:rStyle w:val="35"/>
          <w:rFonts w:hint="eastAsia" w:asciiTheme="minorEastAsia" w:hAnsiTheme="minorEastAsia" w:eastAsiaTheme="minorEastAsia"/>
          <w:sz w:val="28"/>
          <w:szCs w:val="28"/>
        </w:rPr>
        <w:t>投资估算与资金来源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_Toc74151032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"_Toc74151033" </w:instrText>
      </w:r>
      <w:r>
        <w:fldChar w:fldCharType="separate"/>
      </w:r>
      <w:r>
        <w:rPr>
          <w:rStyle w:val="35"/>
          <w:rFonts w:cs="宋体" w:asciiTheme="minorEastAsia" w:hAnsiTheme="minorEastAsia" w:eastAsiaTheme="minorEastAsia"/>
          <w:sz w:val="28"/>
          <w:szCs w:val="28"/>
        </w:rPr>
        <w:t>6.1.1</w:t>
      </w:r>
      <w:r>
        <w:rPr>
          <w:rStyle w:val="35"/>
          <w:rFonts w:hint="eastAsia" w:cs="宋体" w:asciiTheme="minorEastAsia" w:hAnsiTheme="minorEastAsia" w:eastAsiaTheme="minorEastAsia"/>
          <w:sz w:val="28"/>
          <w:szCs w:val="28"/>
        </w:rPr>
        <w:t>投资估算与计划</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_Toc74151033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"_Toc74151034" </w:instrText>
      </w:r>
      <w:r>
        <w:fldChar w:fldCharType="separate"/>
      </w:r>
      <w:r>
        <w:rPr>
          <w:rStyle w:val="35"/>
          <w:rFonts w:cs="宋体" w:asciiTheme="minorEastAsia" w:hAnsiTheme="minorEastAsia" w:eastAsiaTheme="minorEastAsia"/>
          <w:sz w:val="28"/>
          <w:szCs w:val="28"/>
        </w:rPr>
        <w:t>6.1.2</w:t>
      </w:r>
      <w:r>
        <w:rPr>
          <w:rStyle w:val="35"/>
          <w:rFonts w:hint="eastAsia" w:cs="宋体" w:asciiTheme="minorEastAsia" w:hAnsiTheme="minorEastAsia" w:eastAsiaTheme="minorEastAsia"/>
          <w:sz w:val="28"/>
          <w:szCs w:val="28"/>
        </w:rPr>
        <w:t>资金筹措</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_Toc74151034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"_Toc74151035" </w:instrText>
      </w:r>
      <w:r>
        <w:fldChar w:fldCharType="separate"/>
      </w:r>
      <w:r>
        <w:rPr>
          <w:rStyle w:val="35"/>
          <w:rFonts w:asciiTheme="minorEastAsia" w:hAnsiTheme="minorEastAsia" w:eastAsiaTheme="minorEastAsia"/>
          <w:sz w:val="28"/>
          <w:szCs w:val="28"/>
        </w:rPr>
        <w:t>6.2</w:t>
      </w:r>
      <w:r>
        <w:rPr>
          <w:rStyle w:val="35"/>
          <w:rFonts w:hint="eastAsia" w:asciiTheme="minorEastAsia" w:hAnsiTheme="minorEastAsia" w:eastAsiaTheme="minorEastAsia"/>
          <w:sz w:val="28"/>
          <w:szCs w:val="28"/>
        </w:rPr>
        <w:t>效益分析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_Toc74151035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"_Toc74151036" </w:instrText>
      </w:r>
      <w:r>
        <w:fldChar w:fldCharType="separate"/>
      </w:r>
      <w:r>
        <w:rPr>
          <w:rStyle w:val="35"/>
          <w:rFonts w:cs="宋体" w:asciiTheme="minorEastAsia" w:hAnsiTheme="minorEastAsia" w:eastAsiaTheme="minorEastAsia"/>
          <w:sz w:val="28"/>
          <w:szCs w:val="28"/>
        </w:rPr>
        <w:t>6.2.1</w:t>
      </w:r>
      <w:r>
        <w:rPr>
          <w:rStyle w:val="35"/>
          <w:rFonts w:hint="eastAsia" w:cs="宋体" w:asciiTheme="minorEastAsia" w:hAnsiTheme="minorEastAsia" w:eastAsiaTheme="minorEastAsia"/>
          <w:sz w:val="28"/>
          <w:szCs w:val="28"/>
        </w:rPr>
        <w:t>经济效益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_Toc74151036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"_Toc74151037" </w:instrText>
      </w:r>
      <w:r>
        <w:fldChar w:fldCharType="separate"/>
      </w:r>
      <w:r>
        <w:rPr>
          <w:rStyle w:val="35"/>
          <w:rFonts w:cs="宋体" w:asciiTheme="minorEastAsia" w:hAnsiTheme="minorEastAsia" w:eastAsiaTheme="minorEastAsia"/>
          <w:sz w:val="28"/>
          <w:szCs w:val="28"/>
        </w:rPr>
        <w:t>6.2.2</w:t>
      </w:r>
      <w:r>
        <w:rPr>
          <w:rStyle w:val="35"/>
          <w:rFonts w:hint="eastAsia" w:cs="宋体" w:asciiTheme="minorEastAsia" w:hAnsiTheme="minorEastAsia" w:eastAsiaTheme="minorEastAsia"/>
          <w:sz w:val="28"/>
          <w:szCs w:val="28"/>
        </w:rPr>
        <w:t>社会效益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_Toc74151037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"_Toc74151038" </w:instrText>
      </w:r>
      <w:r>
        <w:fldChar w:fldCharType="separate"/>
      </w:r>
      <w:r>
        <w:rPr>
          <w:rStyle w:val="35"/>
          <w:rFonts w:cs="宋体" w:asciiTheme="minorEastAsia" w:hAnsiTheme="minorEastAsia" w:eastAsiaTheme="minorEastAsia"/>
          <w:sz w:val="28"/>
          <w:szCs w:val="28"/>
        </w:rPr>
        <w:t>6.2.3</w:t>
      </w:r>
      <w:r>
        <w:rPr>
          <w:rStyle w:val="35"/>
          <w:rFonts w:hint="eastAsia" w:cs="宋体" w:asciiTheme="minorEastAsia" w:hAnsiTheme="minorEastAsia" w:eastAsiaTheme="minorEastAsia"/>
          <w:sz w:val="28"/>
          <w:szCs w:val="28"/>
        </w:rPr>
        <w:t>生态效益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_Toc74151038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spacing w:line="360" w:lineRule="auto"/>
        <w:rPr>
          <w:rFonts w:asciiTheme="minorEastAsia" w:hAnsiTheme="minorEastAsia" w:eastAsiaTheme="minorEastAsia" w:cstheme="minorBidi"/>
          <w:b w:val="0"/>
          <w:bCs w:val="0"/>
          <w:sz w:val="28"/>
          <w:szCs w:val="28"/>
        </w:rPr>
      </w:pPr>
      <w:r>
        <w:fldChar w:fldCharType="begin"/>
      </w:r>
      <w:r>
        <w:instrText xml:space="preserve"> HYPERLINK \l "_Toc74151039" </w:instrText>
      </w:r>
      <w:r>
        <w:fldChar w:fldCharType="separate"/>
      </w:r>
      <w:r>
        <w:rPr>
          <w:rStyle w:val="35"/>
          <w:rFonts w:cs="宋体" w:asciiTheme="minorEastAsia" w:hAnsiTheme="minorEastAsia" w:eastAsiaTheme="minorEastAsia"/>
          <w:sz w:val="28"/>
          <w:szCs w:val="28"/>
        </w:rPr>
        <w:t>7</w:t>
      </w:r>
      <w:r>
        <w:rPr>
          <w:rStyle w:val="35"/>
          <w:rFonts w:hint="eastAsia" w:cs="宋体" w:asciiTheme="minorEastAsia" w:hAnsiTheme="minorEastAsia" w:eastAsiaTheme="minorEastAsia"/>
          <w:sz w:val="28"/>
          <w:szCs w:val="28"/>
        </w:rPr>
        <w:t>保障措施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_Toc74151039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"_Toc74151040" </w:instrText>
      </w:r>
      <w:r>
        <w:fldChar w:fldCharType="separate"/>
      </w:r>
      <w:r>
        <w:rPr>
          <w:rStyle w:val="35"/>
          <w:rFonts w:asciiTheme="minorEastAsia" w:hAnsiTheme="minorEastAsia" w:eastAsiaTheme="minorEastAsia"/>
          <w:sz w:val="28"/>
          <w:szCs w:val="28"/>
        </w:rPr>
        <w:t>7.1</w:t>
      </w:r>
      <w:r>
        <w:rPr>
          <w:rStyle w:val="35"/>
          <w:rFonts w:hint="eastAsia" w:asciiTheme="minorEastAsia" w:hAnsiTheme="minorEastAsia" w:eastAsiaTheme="minorEastAsia"/>
          <w:sz w:val="28"/>
          <w:szCs w:val="28"/>
        </w:rPr>
        <w:t>组织保障</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_Toc74151040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"_Toc74151041" </w:instrText>
      </w:r>
      <w:r>
        <w:fldChar w:fldCharType="separate"/>
      </w:r>
      <w:r>
        <w:rPr>
          <w:rStyle w:val="35"/>
          <w:rFonts w:asciiTheme="minorEastAsia" w:hAnsiTheme="minorEastAsia" w:eastAsiaTheme="minorEastAsia"/>
          <w:sz w:val="28"/>
          <w:szCs w:val="28"/>
        </w:rPr>
        <w:t>7.2</w:t>
      </w:r>
      <w:r>
        <w:rPr>
          <w:rStyle w:val="35"/>
          <w:rFonts w:hint="eastAsia" w:asciiTheme="minorEastAsia" w:hAnsiTheme="minorEastAsia" w:eastAsiaTheme="minorEastAsia"/>
          <w:sz w:val="28"/>
          <w:szCs w:val="28"/>
        </w:rPr>
        <w:t>人才保障</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_Toc74151041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"_Toc74151042" </w:instrText>
      </w:r>
      <w:r>
        <w:fldChar w:fldCharType="separate"/>
      </w:r>
      <w:r>
        <w:rPr>
          <w:rStyle w:val="35"/>
          <w:rFonts w:asciiTheme="minorEastAsia" w:hAnsiTheme="minorEastAsia" w:eastAsiaTheme="minorEastAsia"/>
          <w:sz w:val="28"/>
          <w:szCs w:val="28"/>
        </w:rPr>
        <w:t>7.3</w:t>
      </w:r>
      <w:r>
        <w:rPr>
          <w:rStyle w:val="35"/>
          <w:rFonts w:hint="eastAsia" w:asciiTheme="minorEastAsia" w:hAnsiTheme="minorEastAsia" w:eastAsiaTheme="minorEastAsia"/>
          <w:sz w:val="28"/>
          <w:szCs w:val="28"/>
        </w:rPr>
        <w:t>政策保障</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_Toc74151042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"_Toc74151043" </w:instrText>
      </w:r>
      <w:r>
        <w:fldChar w:fldCharType="separate"/>
      </w:r>
      <w:r>
        <w:rPr>
          <w:rStyle w:val="35"/>
          <w:rFonts w:asciiTheme="minorEastAsia" w:hAnsiTheme="minorEastAsia" w:eastAsiaTheme="minorEastAsia"/>
          <w:sz w:val="28"/>
          <w:szCs w:val="28"/>
        </w:rPr>
        <w:t>7.4</w:t>
      </w:r>
      <w:r>
        <w:rPr>
          <w:rStyle w:val="35"/>
          <w:rFonts w:hint="eastAsia" w:asciiTheme="minorEastAsia" w:hAnsiTheme="minorEastAsia" w:eastAsiaTheme="minorEastAsia"/>
          <w:sz w:val="28"/>
          <w:szCs w:val="28"/>
        </w:rPr>
        <w:t>资金保障</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_Toc74151043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"_Toc74151044" </w:instrText>
      </w:r>
      <w:r>
        <w:fldChar w:fldCharType="separate"/>
      </w:r>
      <w:r>
        <w:rPr>
          <w:rStyle w:val="35"/>
          <w:rFonts w:asciiTheme="minorEastAsia" w:hAnsiTheme="minorEastAsia" w:eastAsiaTheme="minorEastAsia"/>
          <w:sz w:val="28"/>
          <w:szCs w:val="28"/>
        </w:rPr>
        <w:t>7.5</w:t>
      </w:r>
      <w:r>
        <w:rPr>
          <w:rStyle w:val="35"/>
          <w:rFonts w:hint="eastAsia" w:asciiTheme="minorEastAsia" w:hAnsiTheme="minorEastAsia" w:eastAsiaTheme="minorEastAsia"/>
          <w:sz w:val="28"/>
          <w:szCs w:val="28"/>
        </w:rPr>
        <w:t>用地保障</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_Toc74151044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spacing w:line="360" w:lineRule="auto"/>
        <w:rPr>
          <w:rFonts w:asciiTheme="minorEastAsia" w:hAnsiTheme="minorEastAsia" w:eastAsiaTheme="minorEastAsia" w:cstheme="minorBidi"/>
          <w:b w:val="0"/>
          <w:bCs w:val="0"/>
          <w:sz w:val="28"/>
          <w:szCs w:val="28"/>
        </w:rPr>
      </w:pPr>
      <w:r>
        <w:fldChar w:fldCharType="begin"/>
      </w:r>
      <w:r>
        <w:instrText xml:space="preserve"> HYPERLINK \l "_Toc74151045" </w:instrText>
      </w:r>
      <w:r>
        <w:fldChar w:fldCharType="separate"/>
      </w:r>
      <w:r>
        <w:rPr>
          <w:rStyle w:val="35"/>
          <w:rFonts w:cs="宋体" w:asciiTheme="minorEastAsia" w:hAnsiTheme="minorEastAsia" w:eastAsiaTheme="minorEastAsia"/>
          <w:sz w:val="28"/>
          <w:szCs w:val="28"/>
        </w:rPr>
        <w:t>8</w:t>
      </w:r>
      <w:r>
        <w:rPr>
          <w:rStyle w:val="35"/>
          <w:rFonts w:hint="eastAsia" w:cs="宋体" w:asciiTheme="minorEastAsia" w:hAnsiTheme="minorEastAsia" w:eastAsiaTheme="minorEastAsia"/>
          <w:sz w:val="28"/>
          <w:szCs w:val="28"/>
        </w:rPr>
        <w:t>附件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_Toc74151045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"_Toc74151046" </w:instrText>
      </w:r>
      <w:r>
        <w:fldChar w:fldCharType="separate"/>
      </w:r>
      <w:r>
        <w:rPr>
          <w:rStyle w:val="35"/>
          <w:rFonts w:asciiTheme="minorEastAsia" w:hAnsiTheme="minorEastAsia" w:eastAsiaTheme="minorEastAsia"/>
          <w:sz w:val="28"/>
          <w:szCs w:val="28"/>
        </w:rPr>
        <w:t>8.1</w:t>
      </w:r>
      <w:r>
        <w:rPr>
          <w:rStyle w:val="35"/>
          <w:rFonts w:hint="eastAsia" w:asciiTheme="minorEastAsia" w:hAnsiTheme="minorEastAsia" w:eastAsiaTheme="minorEastAsia"/>
          <w:sz w:val="28"/>
          <w:szCs w:val="28"/>
        </w:rPr>
        <w:t>重点项目计划表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_Toc74151046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"_Toc74151047" </w:instrText>
      </w:r>
      <w:r>
        <w:fldChar w:fldCharType="separate"/>
      </w:r>
      <w:r>
        <w:rPr>
          <w:rStyle w:val="35"/>
          <w:rFonts w:asciiTheme="minorEastAsia" w:hAnsiTheme="minorEastAsia" w:eastAsiaTheme="minorEastAsia"/>
          <w:sz w:val="28"/>
          <w:szCs w:val="28"/>
        </w:rPr>
        <w:t>8.2</w:t>
      </w:r>
      <w:r>
        <w:rPr>
          <w:rStyle w:val="35"/>
          <w:rFonts w:hint="eastAsia" w:asciiTheme="minorEastAsia" w:hAnsiTheme="minorEastAsia" w:eastAsiaTheme="minorEastAsia"/>
          <w:sz w:val="28"/>
          <w:szCs w:val="28"/>
        </w:rPr>
        <w:t>嵩明县区位图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_Toc74151047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"_Toc74151048" </w:instrText>
      </w:r>
      <w:r>
        <w:fldChar w:fldCharType="separate"/>
      </w:r>
      <w:r>
        <w:rPr>
          <w:rStyle w:val="35"/>
          <w:rFonts w:asciiTheme="minorEastAsia" w:hAnsiTheme="minorEastAsia" w:eastAsiaTheme="minorEastAsia"/>
          <w:sz w:val="28"/>
          <w:szCs w:val="28"/>
        </w:rPr>
        <w:t>8.3</w:t>
      </w:r>
      <w:r>
        <w:rPr>
          <w:rStyle w:val="35"/>
          <w:rFonts w:hint="eastAsia" w:asciiTheme="minorEastAsia" w:hAnsiTheme="minorEastAsia" w:eastAsiaTheme="minorEastAsia"/>
          <w:sz w:val="28"/>
          <w:szCs w:val="28"/>
        </w:rPr>
        <w:t>现代农业产业发展规划图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_Toc74151048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"_Toc74151049" </w:instrText>
      </w:r>
      <w:r>
        <w:fldChar w:fldCharType="separate"/>
      </w:r>
      <w:r>
        <w:rPr>
          <w:rStyle w:val="35"/>
          <w:rFonts w:asciiTheme="minorEastAsia" w:hAnsiTheme="minorEastAsia" w:eastAsiaTheme="minorEastAsia"/>
          <w:sz w:val="28"/>
          <w:szCs w:val="28"/>
        </w:rPr>
        <w:t>8.4</w:t>
      </w:r>
      <w:r>
        <w:rPr>
          <w:rStyle w:val="35"/>
          <w:rFonts w:hint="eastAsia" w:asciiTheme="minorEastAsia" w:hAnsiTheme="minorEastAsia" w:eastAsiaTheme="minorEastAsia"/>
          <w:sz w:val="28"/>
          <w:szCs w:val="28"/>
        </w:rPr>
        <w:t>高原特色现代农业产业园区分布图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_Toc74151049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"_Toc74151050" </w:instrText>
      </w:r>
      <w:r>
        <w:fldChar w:fldCharType="separate"/>
      </w:r>
      <w:r>
        <w:rPr>
          <w:rStyle w:val="35"/>
          <w:rFonts w:asciiTheme="minorEastAsia" w:hAnsiTheme="minorEastAsia" w:eastAsiaTheme="minorEastAsia"/>
          <w:sz w:val="28"/>
          <w:szCs w:val="28"/>
        </w:rPr>
        <w:t>8.5</w:t>
      </w:r>
      <w:r>
        <w:rPr>
          <w:rStyle w:val="35"/>
          <w:rFonts w:hint="eastAsia" w:asciiTheme="minorEastAsia" w:hAnsiTheme="minorEastAsia" w:eastAsiaTheme="minorEastAsia"/>
          <w:sz w:val="28"/>
          <w:szCs w:val="28"/>
        </w:rPr>
        <w:t>粮食生产功能区</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_Toc74151050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"_Toc74151051" </w:instrText>
      </w:r>
      <w:r>
        <w:fldChar w:fldCharType="separate"/>
      </w:r>
      <w:r>
        <w:rPr>
          <w:rStyle w:val="35"/>
          <w:rFonts w:asciiTheme="minorEastAsia" w:hAnsiTheme="minorEastAsia" w:eastAsiaTheme="minorEastAsia"/>
          <w:sz w:val="28"/>
          <w:szCs w:val="28"/>
        </w:rPr>
        <w:t>8.6</w:t>
      </w:r>
      <w:r>
        <w:rPr>
          <w:rStyle w:val="35"/>
          <w:rFonts w:hint="eastAsia" w:asciiTheme="minorEastAsia" w:hAnsiTheme="minorEastAsia" w:eastAsiaTheme="minorEastAsia"/>
          <w:sz w:val="28"/>
          <w:szCs w:val="28"/>
        </w:rPr>
        <w:t>高标准农田建设规划图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_Toc74151051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3"/>
        <w:tabs>
          <w:tab w:val="right" w:leader="dot" w:pos="9402"/>
        </w:tabs>
        <w:spacing w:line="360" w:lineRule="auto"/>
        <w:rPr>
          <w:rFonts w:asciiTheme="minorEastAsia" w:hAnsiTheme="minorEastAsia" w:eastAsiaTheme="minorEastAsia" w:cstheme="minorBidi"/>
          <w:sz w:val="28"/>
          <w:szCs w:val="28"/>
        </w:rPr>
      </w:pPr>
      <w:r>
        <w:fldChar w:fldCharType="begin"/>
      </w:r>
      <w:r>
        <w:instrText xml:space="preserve"> HYPERLINK \l "_Toc74151052" </w:instrText>
      </w:r>
      <w:r>
        <w:fldChar w:fldCharType="separate"/>
      </w:r>
      <w:r>
        <w:rPr>
          <w:rStyle w:val="35"/>
          <w:rFonts w:asciiTheme="minorEastAsia" w:hAnsiTheme="minorEastAsia" w:eastAsiaTheme="minorEastAsia"/>
          <w:sz w:val="28"/>
          <w:szCs w:val="28"/>
        </w:rPr>
        <w:t>8.7</w:t>
      </w:r>
      <w:r>
        <w:rPr>
          <w:rStyle w:val="35"/>
          <w:rFonts w:hint="eastAsia" w:asciiTheme="minorEastAsia" w:hAnsiTheme="minorEastAsia" w:eastAsiaTheme="minorEastAsia"/>
          <w:sz w:val="28"/>
          <w:szCs w:val="28"/>
        </w:rPr>
        <w:t>永久基本农田保护图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_Toc74151052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0"/>
        <w:spacing w:line="360" w:lineRule="auto"/>
        <w:rPr>
          <w:rFonts w:asciiTheme="minorEastAsia" w:hAnsiTheme="minorEastAsia" w:eastAsiaTheme="minorEastAsia" w:cstheme="minorBidi"/>
          <w:b w:val="0"/>
          <w:bCs w:val="0"/>
          <w:sz w:val="28"/>
          <w:szCs w:val="28"/>
        </w:rPr>
      </w:pPr>
      <w:r>
        <w:fldChar w:fldCharType="begin"/>
      </w:r>
      <w:r>
        <w:instrText xml:space="preserve"> HYPERLINK \l "_Toc74151053" </w:instrText>
      </w:r>
      <w:r>
        <w:fldChar w:fldCharType="separate"/>
      </w:r>
      <w:r>
        <w:rPr>
          <w:rStyle w:val="35"/>
          <w:rFonts w:hint="eastAsia" w:cs="宋体" w:asciiTheme="minorEastAsia" w:hAnsiTheme="minorEastAsia" w:eastAsiaTheme="minorEastAsia"/>
          <w:sz w:val="28"/>
          <w:szCs w:val="28"/>
        </w:rPr>
        <w:t>参考文件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_Toc74151053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spacing w:line="360" w:lineRule="auto"/>
        <w:rPr>
          <w:color w:val="000000"/>
        </w:rPr>
      </w:pPr>
      <w:r>
        <w:rPr>
          <w:rFonts w:hint="eastAsia" w:asciiTheme="minorEastAsia" w:hAnsiTheme="minorEastAsia" w:eastAsiaTheme="minorEastAsia"/>
          <w:sz w:val="28"/>
          <w:szCs w:val="28"/>
        </w:rPr>
        <w:fldChar w:fldCharType="end"/>
      </w:r>
    </w:p>
    <w:p>
      <w:pPr>
        <w:pStyle w:val="3"/>
        <w:rPr>
          <w:rFonts w:ascii="宋体" w:cs="宋体"/>
          <w:color w:val="000000"/>
        </w:rPr>
        <w:sectPr>
          <w:headerReference r:id="rId6" w:type="default"/>
          <w:footerReference r:id="rId7" w:type="default"/>
          <w:pgSz w:w="11906" w:h="16838"/>
          <w:pgMar w:top="1134" w:right="1247" w:bottom="1134" w:left="1247" w:header="851" w:footer="992" w:gutter="0"/>
          <w:pgNumType w:fmt="upperRoman" w:start="1"/>
          <w:cols w:space="720" w:num="1"/>
          <w:docGrid w:type="lines" w:linePitch="312" w:charSpace="0"/>
        </w:sectPr>
      </w:pPr>
    </w:p>
    <w:p>
      <w:pPr>
        <w:pStyle w:val="3"/>
        <w:rPr>
          <w:rFonts w:ascii="宋体" w:hAnsi="宋体" w:cs="宋体"/>
          <w:szCs w:val="36"/>
        </w:rPr>
      </w:pPr>
      <w:bookmarkStart w:id="0" w:name="_Toc74150941"/>
      <w:r>
        <w:rPr>
          <w:rFonts w:ascii="宋体" w:hAnsi="宋体" w:cs="宋体"/>
          <w:szCs w:val="36"/>
        </w:rPr>
        <w:t xml:space="preserve">1 </w:t>
      </w:r>
      <w:r>
        <w:rPr>
          <w:rFonts w:hint="eastAsia" w:ascii="宋体" w:hAnsi="宋体" w:cs="宋体"/>
          <w:szCs w:val="36"/>
        </w:rPr>
        <w:t>规划背景与依据</w:t>
      </w:r>
      <w:bookmarkEnd w:id="0"/>
    </w:p>
    <w:p>
      <w:pPr>
        <w:pStyle w:val="4"/>
      </w:pPr>
      <w:bookmarkStart w:id="1" w:name="_Toc74150942"/>
      <w:bookmarkStart w:id="2" w:name="_Toc19292"/>
      <w:r>
        <w:t>1.1</w:t>
      </w:r>
      <w:r>
        <w:rPr>
          <w:rFonts w:hint="eastAsia"/>
        </w:rPr>
        <w:t>编制背景</w:t>
      </w:r>
      <w:bookmarkEnd w:id="1"/>
      <w:bookmarkEnd w:id="2"/>
    </w:p>
    <w:p>
      <w:pPr>
        <w:widowControl/>
        <w:spacing w:line="360" w:lineRule="auto"/>
        <w:ind w:firstLine="560" w:firstLineChars="200"/>
        <w:rPr>
          <w:rFonts w:ascii="宋体" w:hAnsi="宋体" w:cs="宋体"/>
          <w:sz w:val="28"/>
          <w:szCs w:val="28"/>
        </w:rPr>
      </w:pPr>
      <w:r>
        <w:rPr>
          <w:rFonts w:hint="eastAsia" w:ascii="宋体" w:hAnsi="宋体" w:cs="宋体"/>
          <w:sz w:val="28"/>
          <w:szCs w:val="28"/>
        </w:rPr>
        <w:t>“十四五”时期（2021—2025年）是我国“两个一百年”奋斗目标的历史交汇期，是我国基本实现社会主义现代化的起步期，是统筹城乡发展、改善民生、建设和谐社会的重要时期，是深化体制改革、增强发展活力、创新竞争优势的攻坚时期。</w:t>
      </w:r>
    </w:p>
    <w:p>
      <w:pPr>
        <w:widowControl/>
        <w:spacing w:line="360" w:lineRule="auto"/>
        <w:ind w:firstLine="560" w:firstLineChars="200"/>
        <w:rPr>
          <w:rFonts w:ascii="宋体" w:hAnsi="宋体" w:cs="宋体"/>
          <w:sz w:val="28"/>
          <w:szCs w:val="28"/>
        </w:rPr>
      </w:pPr>
      <w:r>
        <w:rPr>
          <w:rFonts w:ascii="宋体" w:hAnsi="宋体" w:cs="宋体"/>
          <w:sz w:val="28"/>
          <w:szCs w:val="28"/>
        </w:rPr>
        <w:t>云南省委、省政府深入贯彻落实</w:t>
      </w:r>
      <w:r>
        <w:rPr>
          <w:rFonts w:hint="eastAsia" w:ascii="宋体" w:hAnsi="宋体" w:cs="宋体"/>
          <w:sz w:val="28"/>
          <w:szCs w:val="28"/>
        </w:rPr>
        <w:t>党的十九大和十九届二中、三中、四中、五中全会精神，</w:t>
      </w:r>
      <w:r>
        <w:rPr>
          <w:rFonts w:ascii="宋体" w:hAnsi="宋体" w:cs="宋体"/>
          <w:sz w:val="28"/>
          <w:szCs w:val="28"/>
        </w:rPr>
        <w:t>和</w:t>
      </w:r>
      <w:r>
        <w:rPr>
          <w:rFonts w:hint="eastAsia" w:ascii="宋体" w:hAnsi="宋体" w:cs="宋体"/>
          <w:sz w:val="28"/>
          <w:szCs w:val="28"/>
        </w:rPr>
        <w:t>习近平</w:t>
      </w:r>
      <w:r>
        <w:rPr>
          <w:rFonts w:ascii="宋体" w:hAnsi="宋体" w:cs="宋体"/>
          <w:sz w:val="28"/>
          <w:szCs w:val="28"/>
        </w:rPr>
        <w:t>新时代中国特色社会主义思想，按照乡村振兴战略“产业兴旺、生态宜居、乡风文明、治理有效、生活富裕”的总要求，立足云南省实际、因地制宜，统筹推进全省农村经济建设、政治建设、文化建设、社会建设、生态文明建设和党的建设，印发实施了《云南省乡村振兴战略规划（2018-2022年）》，先后开展了“一县一业”示范县创建、“十大名品”品牌推介、明确“精准脱贫十大行动”等一系列重点工作，力求以优势产业带动乡村发展、以生态建设保障乡村环境、以特色文化构建乡村文明、以高效治理推动乡村运行、以农民增收改善乡村生活</w:t>
      </w:r>
      <w:r>
        <w:rPr>
          <w:rFonts w:hint="eastAsia" w:ascii="宋体" w:hAnsi="宋体" w:cs="宋体"/>
          <w:sz w:val="28"/>
          <w:szCs w:val="28"/>
        </w:rPr>
        <w:t>。将通过产业兴村强县、三区（粮食生产功能区、重要农产品保护区和特色农产品优势区）建设、农产品加工提升、农产品质量提升、科技装备提升、绿色发展、品牌培育与市场拓展、开放农业升级、产业精准脱贫、深化农村改革十大行动，推进乡村振兴。</w:t>
      </w:r>
    </w:p>
    <w:p>
      <w:pPr>
        <w:widowControl/>
        <w:spacing w:line="360" w:lineRule="auto"/>
        <w:ind w:firstLine="560" w:firstLineChars="200"/>
        <w:rPr>
          <w:rFonts w:ascii="宋体" w:hAnsi="宋体" w:cs="宋体"/>
          <w:sz w:val="28"/>
          <w:szCs w:val="28"/>
        </w:rPr>
      </w:pPr>
      <w:r>
        <w:rPr>
          <w:rFonts w:hint="eastAsia" w:ascii="宋体" w:hAnsi="宋体" w:cs="宋体"/>
          <w:sz w:val="28"/>
          <w:szCs w:val="28"/>
        </w:rPr>
        <w:t>中国共产党云南省第十届委员会第十一次全体会议审议通过了《中共云南省委关于制定云南省国民经济和社会发展第十四个五年规划和二〇三五年远景目标的建议》。全会提出了“十四五”时期要壮大支柱产业，全力打造世界一流“三张牌”，培育战略性新兴产业，大力建设“数字云南”，推动产业体系优化升级。要大力推动乡村振兴和新型城镇化，提高高原特色农业质量效益和竞争力，实施乡村建设行动，深化农村改革，推进以人为核心的新型城镇化。</w:t>
      </w:r>
    </w:p>
    <w:p>
      <w:pPr>
        <w:widowControl/>
        <w:spacing w:line="360" w:lineRule="auto"/>
        <w:ind w:firstLine="560" w:firstLineChars="200"/>
        <w:rPr>
          <w:rFonts w:ascii="宋体" w:hAnsi="宋体" w:cs="宋体"/>
          <w:sz w:val="28"/>
          <w:szCs w:val="28"/>
        </w:rPr>
      </w:pPr>
      <w:r>
        <w:rPr>
          <w:rFonts w:hint="eastAsia" w:ascii="宋体" w:hAnsi="宋体" w:cs="宋体"/>
          <w:sz w:val="28"/>
          <w:szCs w:val="28"/>
        </w:rPr>
        <w:t>“十四五”时期是我县与全国全省全市同步进入小康社会的初期阶段，也是嵩明县以新发展理念引领高质量跨越式发展，建设富强民主文明和谐美丽嵩明的重要时期。为认真贯彻党的十九大精神和中央经济工作会议、中央农村工作会议，云南省委农村工作会议以及昆明市委农村工作会议精神，认真贯彻落实习近平总书记考察云南重要讲话精神，嵩明县委、政府决定编制嵩明县“十四五”高原特色农业发展规划，用于指导全县农业农村工作。</w:t>
      </w:r>
    </w:p>
    <w:p>
      <w:pPr>
        <w:pStyle w:val="4"/>
      </w:pPr>
      <w:bookmarkStart w:id="3" w:name="_Toc74150943"/>
      <w:bookmarkStart w:id="4" w:name="_Toc6129"/>
      <w:r>
        <w:t>1.2</w:t>
      </w:r>
      <w:r>
        <w:rPr>
          <w:rFonts w:hint="eastAsia"/>
        </w:rPr>
        <w:t>目的与意义</w:t>
      </w:r>
      <w:bookmarkEnd w:id="3"/>
      <w:bookmarkEnd w:id="4"/>
    </w:p>
    <w:p>
      <w:pPr>
        <w:widowControl/>
        <w:spacing w:line="360" w:lineRule="auto"/>
        <w:ind w:firstLine="592" w:firstLineChars="200"/>
        <w:rPr>
          <w:rFonts w:ascii="宋体" w:hAnsi="宋体" w:cs="宋体"/>
          <w:sz w:val="28"/>
          <w:szCs w:val="28"/>
        </w:rPr>
      </w:pPr>
      <w:r>
        <w:rPr>
          <w:rFonts w:hint="eastAsia" w:ascii="宋体" w:hAnsi="宋体" w:cs="宋体"/>
          <w:spacing w:val="8"/>
          <w:kern w:val="0"/>
          <w:sz w:val="28"/>
          <w:szCs w:val="28"/>
        </w:rPr>
        <w:t>科学编制好“十四五”规划</w:t>
      </w:r>
      <w:r>
        <w:rPr>
          <w:rFonts w:hint="eastAsia"/>
          <w:sz w:val="28"/>
          <w:szCs w:val="28"/>
        </w:rPr>
        <w:t>，</w:t>
      </w:r>
      <w:r>
        <w:rPr>
          <w:rFonts w:hint="eastAsia" w:ascii="宋体" w:hAnsi="宋体" w:cs="宋体"/>
          <w:spacing w:val="8"/>
          <w:kern w:val="0"/>
          <w:sz w:val="28"/>
          <w:szCs w:val="28"/>
        </w:rPr>
        <w:t>对推进现代化建设具有重大意义。在高原特色现代农业发展规划中，</w:t>
      </w:r>
      <w:r>
        <w:rPr>
          <w:rFonts w:hint="eastAsia" w:ascii="宋体" w:hAnsi="宋体" w:cs="宋体"/>
          <w:sz w:val="28"/>
          <w:szCs w:val="28"/>
        </w:rPr>
        <w:t>坚持政治引领，紧紧盯住开启全面建设社会主义现代化国家新征程这个奋斗目标。坚持新发展理念、落实“三个着力”要求、发挥区位优势，科学谋划推动高质量发展的思路、目标、任务。强化战略导向，牢牢把握区域发展的历史方位和战略定位。紧盯国家战略部署，认真研究支撑地区未来发展的战略任务。开拓战略思维，牢牢抓住重大改革、重大政策、重大项目。坚持以人民为中心，强化问题导向，增强规划的引领和约束作用，实实在在地办好大事、难事。要保持战略定力，牢牢咬住建设富饶美丽幸福新农村这个愿景。</w:t>
      </w:r>
    </w:p>
    <w:p>
      <w:pPr>
        <w:widowControl/>
        <w:spacing w:line="360" w:lineRule="auto"/>
        <w:ind w:firstLine="560" w:firstLineChars="200"/>
        <w:rPr>
          <w:rFonts w:ascii="宋体" w:hAnsi="宋体" w:cs="宋体"/>
          <w:sz w:val="28"/>
          <w:szCs w:val="28"/>
        </w:rPr>
      </w:pPr>
      <w:r>
        <w:rPr>
          <w:rFonts w:hint="eastAsia" w:ascii="宋体" w:hAnsi="宋体" w:cs="宋体"/>
          <w:sz w:val="28"/>
          <w:szCs w:val="28"/>
        </w:rPr>
        <w:t>以服务乡村振兴战略实施、支撑农业农村现代化为主旨，从“三农”全局出发谋划农业现代化发展，把党中央对新时期“三农”发展的决策部署作为规划编制的根本遵循和基本依据。坚持目标导向和问题导向相统一，以农业现代化供给侧结构性改革为主线，抓住当前和今后一段时期制约农业现代化向全程全面高质高效转型升级的主要短板弱项，深入研究，问计于民，集中攻关，提出符合实际、针对性和可操作性强的措施。</w:t>
      </w:r>
    </w:p>
    <w:p>
      <w:pPr>
        <w:pStyle w:val="4"/>
      </w:pPr>
      <w:bookmarkStart w:id="5" w:name="_Toc15266"/>
      <w:bookmarkStart w:id="6" w:name="_Toc74150944"/>
      <w:r>
        <w:t>1.</w:t>
      </w:r>
      <w:r>
        <w:rPr>
          <w:rFonts w:hint="eastAsia"/>
        </w:rPr>
        <w:t>3规划期限与范围</w:t>
      </w:r>
      <w:bookmarkEnd w:id="5"/>
      <w:bookmarkEnd w:id="6"/>
    </w:p>
    <w:p>
      <w:pPr>
        <w:spacing w:line="360" w:lineRule="auto"/>
        <w:ind w:firstLine="560" w:firstLineChars="200"/>
        <w:rPr>
          <w:rFonts w:ascii="宋体" w:cs="宋体"/>
          <w:sz w:val="28"/>
          <w:szCs w:val="28"/>
        </w:rPr>
      </w:pPr>
      <w:r>
        <w:rPr>
          <w:rFonts w:hint="eastAsia" w:ascii="宋体" w:hAnsi="宋体" w:cs="宋体"/>
          <w:sz w:val="28"/>
          <w:szCs w:val="28"/>
        </w:rPr>
        <w:t>规划基期为2020年，规划实施期限为</w:t>
      </w:r>
      <w:r>
        <w:rPr>
          <w:rFonts w:ascii="宋体" w:hAnsi="宋体" w:cs="宋体"/>
          <w:sz w:val="28"/>
          <w:szCs w:val="28"/>
        </w:rPr>
        <w:t>2021</w:t>
      </w:r>
      <w:r>
        <w:rPr>
          <w:rFonts w:hint="eastAsia" w:ascii="宋体" w:hAnsi="宋体" w:cs="宋体"/>
          <w:sz w:val="28"/>
          <w:szCs w:val="28"/>
        </w:rPr>
        <w:t>～</w:t>
      </w:r>
      <w:r>
        <w:rPr>
          <w:rFonts w:ascii="宋体" w:hAnsi="宋体" w:cs="宋体"/>
          <w:sz w:val="28"/>
          <w:szCs w:val="28"/>
        </w:rPr>
        <w:t>2025</w:t>
      </w:r>
      <w:r>
        <w:rPr>
          <w:rFonts w:hint="eastAsia" w:ascii="宋体" w:hAnsi="宋体" w:cs="宋体"/>
          <w:sz w:val="28"/>
          <w:szCs w:val="28"/>
        </w:rPr>
        <w:t>年。</w:t>
      </w:r>
    </w:p>
    <w:p>
      <w:pPr>
        <w:spacing w:line="360" w:lineRule="auto"/>
        <w:ind w:firstLine="560" w:firstLineChars="200"/>
        <w:rPr>
          <w:rFonts w:ascii="宋体" w:hAnsi="宋体" w:cs="宋体"/>
          <w:sz w:val="28"/>
          <w:szCs w:val="28"/>
        </w:rPr>
      </w:pPr>
      <w:r>
        <w:rPr>
          <w:rFonts w:hint="eastAsia" w:ascii="宋体" w:hAnsi="宋体" w:cs="宋体"/>
          <w:sz w:val="28"/>
          <w:szCs w:val="28"/>
        </w:rPr>
        <w:t>规划范围为嵩明县行政管辖区域，包括杨林镇、小街镇、牛栏江镇、嵩阳街道办、杨桥街道办共</w:t>
      </w:r>
      <w:r>
        <w:rPr>
          <w:rFonts w:ascii="宋体" w:hAnsi="宋体" w:cs="宋体"/>
          <w:sz w:val="28"/>
          <w:szCs w:val="28"/>
        </w:rPr>
        <w:t>3</w:t>
      </w:r>
      <w:r>
        <w:rPr>
          <w:rFonts w:hint="eastAsia" w:ascii="宋体" w:hAnsi="宋体" w:cs="宋体"/>
          <w:sz w:val="28"/>
          <w:szCs w:val="28"/>
        </w:rPr>
        <w:t>镇</w:t>
      </w:r>
      <w:r>
        <w:rPr>
          <w:rFonts w:ascii="宋体" w:hAnsi="宋体" w:cs="宋体"/>
          <w:sz w:val="28"/>
          <w:szCs w:val="28"/>
        </w:rPr>
        <w:t>2</w:t>
      </w:r>
      <w:r>
        <w:rPr>
          <w:rFonts w:hint="eastAsia" w:ascii="宋体" w:hAnsi="宋体" w:cs="宋体"/>
          <w:sz w:val="28"/>
          <w:szCs w:val="28"/>
        </w:rPr>
        <w:t>街道，</w:t>
      </w:r>
      <w:r>
        <w:rPr>
          <w:rFonts w:ascii="宋体" w:hAnsi="宋体" w:cs="宋体"/>
          <w:sz w:val="28"/>
          <w:szCs w:val="28"/>
        </w:rPr>
        <w:t>75</w:t>
      </w:r>
      <w:r>
        <w:rPr>
          <w:rFonts w:hint="eastAsia" w:ascii="宋体" w:hAnsi="宋体" w:cs="宋体"/>
          <w:sz w:val="28"/>
          <w:szCs w:val="28"/>
        </w:rPr>
        <w:t>个村（居）委会，</w:t>
      </w:r>
      <w:r>
        <w:rPr>
          <w:rFonts w:ascii="宋体" w:hAnsi="宋体" w:cs="宋体"/>
          <w:sz w:val="28"/>
          <w:szCs w:val="28"/>
        </w:rPr>
        <w:t>5</w:t>
      </w:r>
      <w:r>
        <w:rPr>
          <w:rFonts w:hint="eastAsia" w:ascii="宋体" w:hAnsi="宋体" w:cs="宋体"/>
          <w:sz w:val="28"/>
          <w:szCs w:val="28"/>
        </w:rPr>
        <w:t>95个村民小组，</w:t>
      </w:r>
      <w:r>
        <w:rPr>
          <w:rFonts w:ascii="宋体" w:hAnsi="宋体" w:cs="宋体"/>
          <w:sz w:val="28"/>
          <w:szCs w:val="28"/>
        </w:rPr>
        <w:t>46</w:t>
      </w:r>
      <w:r>
        <w:rPr>
          <w:rFonts w:hint="eastAsia" w:ascii="宋体" w:hAnsi="宋体" w:cs="宋体"/>
          <w:sz w:val="28"/>
          <w:szCs w:val="28"/>
        </w:rPr>
        <w:t>7个自然村，共计830.54平方公里。</w:t>
      </w:r>
    </w:p>
    <w:p>
      <w:pPr>
        <w:sectPr>
          <w:footerReference r:id="rId8" w:type="default"/>
          <w:pgSz w:w="11906" w:h="16838"/>
          <w:pgMar w:top="1417" w:right="1417" w:bottom="1417" w:left="1417" w:header="851" w:footer="992" w:gutter="0"/>
          <w:pgNumType w:start="1"/>
          <w:cols w:space="720" w:num="1"/>
          <w:docGrid w:type="lines" w:linePitch="312" w:charSpace="0"/>
        </w:sectPr>
      </w:pPr>
    </w:p>
    <w:p>
      <w:pPr>
        <w:pStyle w:val="3"/>
        <w:rPr>
          <w:rStyle w:val="36"/>
          <w:b w:val="0"/>
          <w:bCs w:val="0"/>
          <w:kern w:val="2"/>
        </w:rPr>
      </w:pPr>
      <w:bookmarkStart w:id="7" w:name="_Toc32201"/>
      <w:bookmarkStart w:id="8" w:name="_Toc74150945"/>
      <w:r>
        <w:rPr>
          <w:rFonts w:ascii="宋体" w:hAnsi="宋体" w:cs="宋体"/>
          <w:szCs w:val="36"/>
        </w:rPr>
        <w:t xml:space="preserve">2 </w:t>
      </w:r>
      <w:r>
        <w:rPr>
          <w:rFonts w:hint="eastAsia" w:ascii="宋体" w:hAnsi="宋体" w:cs="宋体"/>
          <w:szCs w:val="36"/>
        </w:rPr>
        <w:t>发展条件分析</w:t>
      </w:r>
      <w:bookmarkEnd w:id="7"/>
      <w:bookmarkEnd w:id="8"/>
    </w:p>
    <w:p>
      <w:pPr>
        <w:pStyle w:val="4"/>
      </w:pPr>
      <w:bookmarkStart w:id="9" w:name="_Toc53235344"/>
      <w:bookmarkStart w:id="10" w:name="_Toc74150946"/>
      <w:r>
        <w:t>2</w:t>
      </w:r>
      <w:r>
        <w:rPr>
          <w:rFonts w:hint="eastAsia"/>
        </w:rPr>
        <w:t>.</w:t>
      </w:r>
      <w:r>
        <w:t>1</w:t>
      </w:r>
      <w:r>
        <w:rPr>
          <w:rFonts w:hint="eastAsia"/>
        </w:rPr>
        <w:t>基本概况</w:t>
      </w:r>
      <w:bookmarkEnd w:id="9"/>
      <w:bookmarkEnd w:id="10"/>
    </w:p>
    <w:p>
      <w:pPr>
        <w:pStyle w:val="5"/>
        <w:rPr>
          <w:rFonts w:asciiTheme="majorEastAsia" w:hAnsiTheme="majorEastAsia" w:eastAsiaTheme="majorEastAsia"/>
          <w:szCs w:val="30"/>
        </w:rPr>
      </w:pPr>
      <w:bookmarkStart w:id="11" w:name="_Toc422392564"/>
      <w:bookmarkStart w:id="12" w:name="_Toc74150947"/>
      <w:r>
        <w:rPr>
          <w:rFonts w:hint="eastAsia" w:asciiTheme="majorEastAsia" w:hAnsiTheme="majorEastAsia" w:eastAsiaTheme="majorEastAsia"/>
          <w:szCs w:val="30"/>
        </w:rPr>
        <w:t>2.1.1区位条件</w:t>
      </w:r>
      <w:bookmarkEnd w:id="11"/>
      <w:bookmarkEnd w:id="12"/>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嵩明是昆明重要的城市功能拓展区和云南滇中新区东部核心区的重要组成部分，区位交通优势突出，距昆明市区43公里，距长水国际机场直线距离12公里，沪昆高铁、渝昆高铁（在建）、杭瑞高速、渝昆高速等重要交通干线在此交汇，铁路、高铁、公路、机场立体交通网络健全，正逐步成为滇中综合交通枢纽中心。</w:t>
      </w:r>
    </w:p>
    <w:p>
      <w:pPr>
        <w:pStyle w:val="5"/>
        <w:rPr>
          <w:rFonts w:asciiTheme="majorEastAsia" w:hAnsiTheme="majorEastAsia" w:eastAsiaTheme="majorEastAsia"/>
          <w:szCs w:val="30"/>
        </w:rPr>
      </w:pPr>
      <w:bookmarkStart w:id="13" w:name="_Toc422392565"/>
      <w:bookmarkStart w:id="14" w:name="_Toc74150948"/>
      <w:r>
        <w:rPr>
          <w:rFonts w:hint="eastAsia" w:asciiTheme="majorEastAsia" w:hAnsiTheme="majorEastAsia" w:eastAsiaTheme="majorEastAsia"/>
          <w:szCs w:val="30"/>
        </w:rPr>
        <w:t>2.1.2资源条件</w:t>
      </w:r>
      <w:bookmarkEnd w:id="13"/>
      <w:bookmarkEnd w:id="14"/>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1）地形地貌</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嵩明县国土总面积830.54平方公里，坝区面积414.6平方公里，坝区面积占总面积的48.8%，丘陵占13.4%，山区占37.8%，地势相对平坦。坝区、缓坡区、丘陵区集中连片，为全省第七、昆明市第二大平坝，也是临近昆明国际机场空港周围最近、最大的平坝区，城市建设和产业发展空间广阔。</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2）气候条件</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气候总特征为</w:t>
      </w:r>
      <w:r>
        <w:rPr>
          <w:rFonts w:cs="宋体" w:asciiTheme="minorEastAsia" w:hAnsiTheme="minorEastAsia" w:eastAsiaTheme="minorEastAsia"/>
          <w:sz w:val="28"/>
          <w:szCs w:val="28"/>
        </w:rPr>
        <w:t>夏无酷暑，冬无严寒</w:t>
      </w:r>
      <w:r>
        <w:rPr>
          <w:rFonts w:hint="eastAsia" w:cs="宋体" w:asciiTheme="minorEastAsia" w:hAnsiTheme="minorEastAsia" w:eastAsiaTheme="minorEastAsia"/>
          <w:sz w:val="28"/>
          <w:szCs w:val="28"/>
        </w:rPr>
        <w:t>；雨热同季，干湿分明。</w:t>
      </w:r>
      <w:r>
        <w:rPr>
          <w:rFonts w:cs="宋体" w:asciiTheme="minorEastAsia" w:hAnsiTheme="minorEastAsia" w:eastAsiaTheme="minorEastAsia"/>
          <w:sz w:val="28"/>
          <w:szCs w:val="28"/>
        </w:rPr>
        <w:t>气温年度变化小，日差异大。</w:t>
      </w:r>
      <w:r>
        <w:rPr>
          <w:rFonts w:hint="eastAsia" w:cs="宋体" w:asciiTheme="minorEastAsia" w:hAnsiTheme="minorEastAsia" w:eastAsiaTheme="minorEastAsia"/>
          <w:sz w:val="28"/>
          <w:szCs w:val="28"/>
        </w:rPr>
        <w:t>年平均气温14.7℃，年均降雨量在993 mm，年平均日照长达2073.9 h，属高质范围。森林覆盖率49.6%，质量达到自然保护区、风景名胜区和其他需要特殊保护地区所规定的一级标准，农作物可实现周年生产。</w:t>
      </w:r>
      <w:bookmarkStart w:id="15" w:name="_Toc244595935"/>
    </w:p>
    <w:p>
      <w:pPr>
        <w:spacing w:line="360" w:lineRule="auto"/>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3）土壤条件</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嵩明县域地形相对高差不大，气候变化幅度小，土壤类型不多，共有红壤、棕壤、紫色土、冲击土、沼泽土和水稻土等6个土类，14个亚类，29个土属，51个土种。其中红壤是县境内分布最广的土类，占全县耕地面积的36.9%。</w:t>
      </w:r>
      <w:bookmarkEnd w:id="15"/>
    </w:p>
    <w:p>
      <w:pPr>
        <w:spacing w:line="360" w:lineRule="auto"/>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4）水资源条件</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全县径流面积1730.62 km</w:t>
      </w:r>
      <w:r>
        <w:rPr>
          <w:rFonts w:hint="eastAsia" w:cs="宋体" w:asciiTheme="minorEastAsia" w:hAnsiTheme="minorEastAsia" w:eastAsiaTheme="minorEastAsia"/>
          <w:sz w:val="28"/>
          <w:szCs w:val="28"/>
          <w:vertAlign w:val="superscript"/>
        </w:rPr>
        <w:t>2</w:t>
      </w:r>
      <w:r>
        <w:rPr>
          <w:rFonts w:hint="eastAsia" w:cs="宋体" w:asciiTheme="minorEastAsia" w:hAnsiTheme="minorEastAsia" w:eastAsiaTheme="minorEastAsia"/>
          <w:sz w:val="28"/>
          <w:szCs w:val="28"/>
        </w:rPr>
        <w:t>（含官渡区213.1 km</w:t>
      </w:r>
      <w:r>
        <w:rPr>
          <w:rFonts w:hint="eastAsia" w:cs="宋体" w:asciiTheme="minorEastAsia" w:hAnsiTheme="minorEastAsia" w:eastAsiaTheme="minorEastAsia"/>
          <w:sz w:val="28"/>
          <w:szCs w:val="28"/>
          <w:vertAlign w:val="superscript"/>
        </w:rPr>
        <w:t>2</w:t>
      </w:r>
      <w:r>
        <w:rPr>
          <w:rFonts w:hint="eastAsia" w:cs="宋体" w:asciiTheme="minorEastAsia" w:hAnsiTheme="minorEastAsia" w:eastAsiaTheme="minorEastAsia"/>
          <w:sz w:val="28"/>
          <w:szCs w:val="28"/>
        </w:rPr>
        <w:t>，寻甸县160.23 km</w:t>
      </w:r>
      <w:r>
        <w:rPr>
          <w:rFonts w:hint="eastAsia" w:cs="宋体" w:asciiTheme="minorEastAsia" w:hAnsiTheme="minorEastAsia" w:eastAsiaTheme="minorEastAsia"/>
          <w:sz w:val="28"/>
          <w:szCs w:val="28"/>
          <w:vertAlign w:val="superscript"/>
        </w:rPr>
        <w:t>2</w:t>
      </w:r>
      <w:r>
        <w:rPr>
          <w:rFonts w:hint="eastAsia" w:cs="宋体" w:asciiTheme="minorEastAsia" w:hAnsiTheme="minorEastAsia" w:eastAsiaTheme="minorEastAsia"/>
          <w:sz w:val="28"/>
          <w:szCs w:val="28"/>
        </w:rPr>
        <w:t>的径流进入境内），年均径流深382.6 mm，平均径流量38.28万m</w:t>
      </w:r>
      <w:r>
        <w:rPr>
          <w:rFonts w:hint="eastAsia" w:cs="宋体" w:asciiTheme="minorEastAsia" w:hAnsiTheme="minorEastAsia" w:eastAsiaTheme="minorEastAsia"/>
          <w:sz w:val="28"/>
          <w:szCs w:val="28"/>
          <w:vertAlign w:val="superscript"/>
        </w:rPr>
        <w:t>3</w:t>
      </w:r>
      <w:r>
        <w:rPr>
          <w:rFonts w:hint="eastAsia" w:cs="宋体" w:asciiTheme="minorEastAsia" w:hAnsiTheme="minorEastAsia" w:eastAsiaTheme="minorEastAsia"/>
          <w:sz w:val="28"/>
          <w:szCs w:val="28"/>
        </w:rPr>
        <w:t>/km</w:t>
      </w:r>
      <w:r>
        <w:rPr>
          <w:rFonts w:hint="eastAsia" w:cs="宋体" w:asciiTheme="minorEastAsia" w:hAnsiTheme="minorEastAsia" w:eastAsiaTheme="minorEastAsia"/>
          <w:sz w:val="28"/>
          <w:szCs w:val="28"/>
          <w:vertAlign w:val="superscript"/>
        </w:rPr>
        <w:t>2</w:t>
      </w:r>
      <w:r>
        <w:rPr>
          <w:rFonts w:hint="eastAsia" w:cs="宋体" w:asciiTheme="minorEastAsia" w:hAnsiTheme="minorEastAsia" w:eastAsiaTheme="minorEastAsia"/>
          <w:sz w:val="28"/>
          <w:szCs w:val="28"/>
        </w:rPr>
        <w:t>。嵩明年均地表径流量达5.2亿m</w:t>
      </w:r>
      <w:r>
        <w:rPr>
          <w:rFonts w:hint="eastAsia" w:cs="宋体" w:asciiTheme="minorEastAsia" w:hAnsiTheme="minorEastAsia" w:eastAsiaTheme="minorEastAsia"/>
          <w:sz w:val="28"/>
          <w:szCs w:val="28"/>
          <w:vertAlign w:val="superscript"/>
        </w:rPr>
        <w:t>3</w:t>
      </w:r>
      <w:r>
        <w:rPr>
          <w:rFonts w:hint="eastAsia" w:cs="宋体" w:asciiTheme="minorEastAsia" w:hAnsiTheme="minorEastAsia" w:eastAsiaTheme="minorEastAsia"/>
          <w:sz w:val="28"/>
          <w:szCs w:val="28"/>
        </w:rPr>
        <w:t>，控制蓄水量达1.48亿m</w:t>
      </w:r>
      <w:r>
        <w:rPr>
          <w:rFonts w:hint="eastAsia" w:cs="宋体" w:asciiTheme="minorEastAsia" w:hAnsiTheme="minorEastAsia" w:eastAsiaTheme="minorEastAsia"/>
          <w:sz w:val="28"/>
          <w:szCs w:val="28"/>
          <w:vertAlign w:val="superscript"/>
        </w:rPr>
        <w:t>3</w:t>
      </w:r>
      <w:r>
        <w:rPr>
          <w:rFonts w:hint="eastAsia" w:cs="宋体" w:asciiTheme="minorEastAsia" w:hAnsiTheme="minorEastAsia" w:eastAsiaTheme="minorEastAsia"/>
          <w:sz w:val="28"/>
          <w:szCs w:val="28"/>
        </w:rPr>
        <w:t>。目前，全县共建成水库82座，总容量10902万立方；全县农村饮水安全达标人口21.86万人，农村饮水工程全年供水量587万立方米；全县各类水利设施总灌溉面积22.17千公顷，有效灌溉面积达到18.97千公顷，旱涝保收面积11.33千公顷，机电排溉面积4.27千公顷；县城供水普及率99.2%。</w:t>
      </w:r>
    </w:p>
    <w:p>
      <w:pPr>
        <w:pStyle w:val="4"/>
        <w:ind w:firstLine="200"/>
      </w:pPr>
      <w:bookmarkStart w:id="16" w:name="_Toc74150949"/>
      <w:bookmarkStart w:id="17" w:name="_Toc53235347"/>
      <w:r>
        <w:t>2</w:t>
      </w:r>
      <w:r>
        <w:rPr>
          <w:rFonts w:hint="eastAsia"/>
        </w:rPr>
        <w:t>.</w:t>
      </w:r>
      <w:r>
        <w:t>2</w:t>
      </w:r>
      <w:r>
        <w:rPr>
          <w:rFonts w:hint="eastAsia"/>
        </w:rPr>
        <w:t>发展现状</w:t>
      </w:r>
      <w:bookmarkEnd w:id="16"/>
      <w:bookmarkEnd w:id="17"/>
    </w:p>
    <w:p>
      <w:pPr>
        <w:spacing w:line="360" w:lineRule="auto"/>
        <w:ind w:firstLine="560" w:firstLineChars="200"/>
        <w:rPr>
          <w:rFonts w:ascii="仿宋_GB2312" w:hAnsi="仿宋" w:eastAsia="仿宋_GB2312"/>
          <w:color w:val="FF0000"/>
          <w:sz w:val="30"/>
          <w:szCs w:val="30"/>
        </w:rPr>
      </w:pPr>
      <w:r>
        <w:rPr>
          <w:rFonts w:hint="eastAsia" w:cs="宋体" w:asciiTheme="minorEastAsia" w:hAnsiTheme="minorEastAsia" w:eastAsiaTheme="minorEastAsia"/>
          <w:sz w:val="28"/>
          <w:szCs w:val="28"/>
        </w:rPr>
        <w:t>“十三五”期间，嵩明县以优化农业种养结构，发展高原特色农业，改善农业生态环境，增加农民收入为目标；以改善农业生产条件，推广农业科技，发展规模化、产业化、标准化农业产业为重点；以稳定粮、烟、畜、渔产业，大力发展精细蔬菜、精品花卉产业为导向，抓住国家现代农业示范区、云南高原特色农业示范县、滇中产业聚集区(新区)和国家级经济技术开发区等机遇，坚定信心，扎实工作，锁定目标抓落实，突出重点求实效，在嵩明县委、县政府的坚强领导和上级领导的关心指导下，农业农村局全体干部职工奋力拼搏，嵩明县先后确定为全国农村综合性改革试点试验区、第二批国家农产品质量安全县、云南嵩明国家现代农业示范区、国家农业产业化示范基地、云南滇中国家农业科技园区、全国农业农村创新创业典型县、昆明市农村创业创新园区、云花外贸基地。</w:t>
      </w:r>
    </w:p>
    <w:p>
      <w:pPr>
        <w:pStyle w:val="5"/>
        <w:rPr>
          <w:rFonts w:asciiTheme="majorEastAsia" w:hAnsiTheme="majorEastAsia" w:eastAsiaTheme="majorEastAsia"/>
          <w:szCs w:val="30"/>
        </w:rPr>
      </w:pPr>
      <w:bookmarkStart w:id="18" w:name="_Toc14003"/>
      <w:bookmarkStart w:id="19" w:name="_Toc53235348"/>
      <w:bookmarkStart w:id="20" w:name="_Toc74150950"/>
      <w:bookmarkStart w:id="21" w:name="_Toc533433751"/>
      <w:bookmarkStart w:id="22" w:name="_Toc23409_WPSOffice_Level1"/>
      <w:r>
        <w:rPr>
          <w:rFonts w:hint="eastAsia" w:asciiTheme="majorEastAsia" w:hAnsiTheme="majorEastAsia" w:eastAsiaTheme="majorEastAsia"/>
          <w:szCs w:val="30"/>
        </w:rPr>
        <w:t>2</w:t>
      </w:r>
      <w:r>
        <w:rPr>
          <w:rFonts w:asciiTheme="majorEastAsia" w:hAnsiTheme="majorEastAsia" w:eastAsiaTheme="majorEastAsia"/>
          <w:szCs w:val="30"/>
        </w:rPr>
        <w:t>.2.1经济社会发展现状</w:t>
      </w:r>
      <w:bookmarkEnd w:id="18"/>
      <w:bookmarkEnd w:id="19"/>
      <w:bookmarkEnd w:id="20"/>
      <w:bookmarkEnd w:id="21"/>
      <w:bookmarkEnd w:id="22"/>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近年来，</w:t>
      </w:r>
      <w:r>
        <w:rPr>
          <w:rFonts w:hint="eastAsia" w:asciiTheme="minorEastAsia" w:hAnsiTheme="minorEastAsia" w:eastAsiaTheme="minorEastAsia"/>
          <w:sz w:val="28"/>
          <w:szCs w:val="28"/>
        </w:rPr>
        <w:t>嵩明</w:t>
      </w:r>
      <w:r>
        <w:rPr>
          <w:rFonts w:asciiTheme="minorEastAsia" w:hAnsiTheme="minorEastAsia" w:eastAsiaTheme="minorEastAsia"/>
          <w:sz w:val="28"/>
          <w:szCs w:val="28"/>
        </w:rPr>
        <w:t>县委、县政府全面贯彻党的各项方针政策，深入学习贯彻习近平总书记系列重要讲话和考察云南重要讲话精神，在</w:t>
      </w:r>
      <w:r>
        <w:rPr>
          <w:rFonts w:hint="eastAsia" w:asciiTheme="minorEastAsia" w:hAnsiTheme="minorEastAsia" w:eastAsiaTheme="minorEastAsia"/>
          <w:sz w:val="28"/>
          <w:szCs w:val="28"/>
        </w:rPr>
        <w:t>市</w:t>
      </w:r>
      <w:r>
        <w:rPr>
          <w:rFonts w:asciiTheme="minorEastAsia" w:hAnsiTheme="minorEastAsia" w:eastAsiaTheme="minorEastAsia"/>
          <w:sz w:val="28"/>
          <w:szCs w:val="28"/>
        </w:rPr>
        <w:t>委、</w:t>
      </w:r>
      <w:r>
        <w:rPr>
          <w:rFonts w:hint="eastAsia" w:asciiTheme="minorEastAsia" w:hAnsiTheme="minorEastAsia" w:eastAsiaTheme="minorEastAsia"/>
          <w:sz w:val="28"/>
          <w:szCs w:val="28"/>
        </w:rPr>
        <w:t>市</w:t>
      </w:r>
      <w:r>
        <w:rPr>
          <w:rFonts w:asciiTheme="minorEastAsia" w:hAnsiTheme="minorEastAsia" w:eastAsiaTheme="minorEastAsia"/>
          <w:sz w:val="28"/>
          <w:szCs w:val="28"/>
        </w:rPr>
        <w:t>政府的坚强领导下，全面落实</w:t>
      </w:r>
      <w:r>
        <w:rPr>
          <w:rFonts w:hint="eastAsia" w:asciiTheme="minorEastAsia" w:hAnsiTheme="minorEastAsia" w:eastAsiaTheme="minorEastAsia"/>
          <w:sz w:val="28"/>
          <w:szCs w:val="28"/>
        </w:rPr>
        <w:t>省委省政府、市委市政府</w:t>
      </w:r>
      <w:r>
        <w:rPr>
          <w:rFonts w:asciiTheme="minorEastAsia" w:hAnsiTheme="minorEastAsia" w:eastAsiaTheme="minorEastAsia"/>
          <w:sz w:val="28"/>
          <w:szCs w:val="28"/>
        </w:rPr>
        <w:t>的决策部署，全力做好稳增长、调结构、促改革、惠民生、防风险各项工作。</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嵩明县总人口（常住人口）35.7万人，居住着汉、回、彝、苗等25个民族，主要民族为汉、回、苗、彝。根据地区生产总值统一核算结果，2020年嵩明县地区生产总值为1526704万元，同比增长1.4%。其中，第一产业增加值为228550万元，同比增长5.8%；第二产业增加值为434598万元，同比增长2.2%；第三产业增加值为863556万元，同比下降0.2%。</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2020年1-4季度嵩明县三次产业结构比为15.0：28.5：56.5，呈三、二、一的产业结构模式，第三产业占GDP的比重比一、二产之和高13个百分点。与上年同期对比，第一产业占GDP的比重提高1.0个百分点；第二产业下降0.3个百分点；第三产业下降0.7个百分点。</w:t>
      </w:r>
    </w:p>
    <w:p>
      <w:pPr>
        <w:widowControl/>
        <w:spacing w:line="360" w:lineRule="auto"/>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嵩明县通村公路路面硬化率达</w:t>
      </w:r>
      <w:r>
        <w:rPr>
          <w:rFonts w:cs="宋体" w:asciiTheme="minorEastAsia" w:hAnsiTheme="minorEastAsia" w:eastAsiaTheme="minorEastAsia"/>
          <w:sz w:val="28"/>
          <w:szCs w:val="28"/>
        </w:rPr>
        <w:t>100 %</w:t>
      </w:r>
      <w:r>
        <w:rPr>
          <w:rFonts w:hint="eastAsia" w:cs="宋体" w:asciiTheme="minorEastAsia" w:hAnsiTheme="minorEastAsia" w:eastAsiaTheme="minorEastAsia"/>
          <w:sz w:val="28"/>
          <w:szCs w:val="28"/>
        </w:rPr>
        <w:t>，行政村有线宽带实现全覆盖，农村饮水安全持续巩固</w:t>
      </w:r>
      <w:r>
        <w:rPr>
          <w:rFonts w:hint="eastAsia" w:asciiTheme="minorEastAsia" w:hAnsiTheme="minorEastAsia" w:eastAsiaTheme="minorEastAsia"/>
          <w:sz w:val="28"/>
          <w:szCs w:val="28"/>
        </w:rPr>
        <w:t>，集中供水率达</w:t>
      </w:r>
      <w:r>
        <w:rPr>
          <w:rFonts w:asciiTheme="minorEastAsia" w:hAnsiTheme="minorEastAsia" w:eastAsiaTheme="minorEastAsia"/>
          <w:sz w:val="28"/>
          <w:szCs w:val="28"/>
        </w:rPr>
        <w:t>90%</w:t>
      </w:r>
      <w:r>
        <w:rPr>
          <w:rFonts w:hint="eastAsia" w:asciiTheme="minorEastAsia" w:hAnsiTheme="minorEastAsia" w:eastAsiaTheme="minorEastAsia"/>
          <w:sz w:val="28"/>
          <w:szCs w:val="28"/>
        </w:rPr>
        <w:t>以上；美丽乡村建设有序推进</w:t>
      </w:r>
      <w:r>
        <w:rPr>
          <w:rFonts w:asciiTheme="minorEastAsia" w:hAnsiTheme="minorEastAsia" w:eastAsiaTheme="minorEastAsia"/>
          <w:sz w:val="28"/>
          <w:szCs w:val="28"/>
        </w:rPr>
        <w:t>,</w:t>
      </w:r>
      <w:r>
        <w:rPr>
          <w:rFonts w:hint="eastAsia" w:asciiTheme="minorEastAsia" w:hAnsiTheme="minorEastAsia" w:eastAsiaTheme="minorEastAsia"/>
          <w:sz w:val="28"/>
          <w:szCs w:val="28"/>
        </w:rPr>
        <w:t>2020年农村人居环境各项指标达到要求，农村卫生户厕覆盖率达到90%以上，</w:t>
      </w:r>
      <w:r>
        <w:rPr>
          <w:rFonts w:asciiTheme="minorEastAsia" w:hAnsiTheme="minorEastAsia" w:eastAsiaTheme="minorEastAsia"/>
          <w:sz w:val="28"/>
          <w:szCs w:val="28"/>
        </w:rPr>
        <w:t>全面完成10个非正规垃圾堆放点整治销号工作，生活垃圾得到及时治理</w:t>
      </w:r>
      <w:r>
        <w:rPr>
          <w:rFonts w:hint="eastAsia" w:asciiTheme="minorEastAsia" w:hAnsiTheme="minorEastAsia" w:eastAsiaTheme="minorEastAsia"/>
          <w:sz w:val="28"/>
          <w:szCs w:val="28"/>
        </w:rPr>
        <w:t>，</w:t>
      </w:r>
      <w:r>
        <w:rPr>
          <w:rFonts w:asciiTheme="minorEastAsia" w:hAnsiTheme="minorEastAsia" w:eastAsiaTheme="minorEastAsia"/>
          <w:sz w:val="28"/>
          <w:szCs w:val="28"/>
        </w:rPr>
        <w:t>村庄生活污水收集率达60%以上</w:t>
      </w:r>
      <w:r>
        <w:rPr>
          <w:rFonts w:hint="eastAsia" w:asciiTheme="minorEastAsia" w:hAnsiTheme="minorEastAsia" w:eastAsiaTheme="minorEastAsia"/>
          <w:sz w:val="28"/>
          <w:szCs w:val="28"/>
        </w:rPr>
        <w:t>，秸秆、地膜等农业生产废弃物得到收集处理或资源化利用的自然村比例达到100%，全县累计创建省级卫生村行政村覆盖率达81%。</w:t>
      </w:r>
    </w:p>
    <w:p>
      <w:pPr>
        <w:widowControl/>
        <w:spacing w:line="360" w:lineRule="auto"/>
        <w:ind w:firstLine="560" w:firstLineChars="200"/>
      </w:pPr>
      <w:bookmarkStart w:id="23" w:name="sub766523_8_2"/>
      <w:bookmarkEnd w:id="23"/>
      <w:bookmarkStart w:id="24" w:name="BM8_2"/>
      <w:bookmarkEnd w:id="24"/>
      <w:bookmarkStart w:id="25" w:name="文化"/>
      <w:bookmarkEnd w:id="25"/>
      <w:r>
        <w:rPr>
          <w:rFonts w:hint="eastAsia" w:asciiTheme="minorEastAsia" w:hAnsiTheme="minorEastAsia" w:eastAsiaTheme="minorEastAsia"/>
          <w:sz w:val="28"/>
          <w:szCs w:val="28"/>
        </w:rPr>
        <w:t>嵩明县有省市县三级文物保护单位29个，省市县三级非物质文化遗产保护项目41项，民间艺</w:t>
      </w:r>
      <w:r>
        <w:rPr>
          <w:rFonts w:hint="eastAsia" w:ascii="宋体" w:hAnsi="宋体" w:cs="宋体"/>
          <w:spacing w:val="8"/>
          <w:sz w:val="28"/>
          <w:szCs w:val="28"/>
        </w:rPr>
        <w:t>术风格独异，素有“花灯之乡”“龙狮之乡”的美誉。2006年嵩明花灯被批准列入云南省非物质文化遗产保护名录。2000年和2008年小街镇先后两次被文化部授予“全国民间艺术（龙狮）之乡”。</w:t>
      </w:r>
      <w:bookmarkStart w:id="26" w:name="BM8_3"/>
      <w:bookmarkEnd w:id="26"/>
      <w:bookmarkStart w:id="27" w:name="sub766523_8_3"/>
      <w:bookmarkEnd w:id="27"/>
      <w:bookmarkStart w:id="28" w:name="医疗卫生"/>
      <w:bookmarkEnd w:id="28"/>
    </w:p>
    <w:p>
      <w:pPr>
        <w:pStyle w:val="5"/>
        <w:rPr>
          <w:rFonts w:asciiTheme="majorEastAsia" w:hAnsiTheme="majorEastAsia" w:eastAsiaTheme="majorEastAsia"/>
          <w:szCs w:val="30"/>
        </w:rPr>
      </w:pPr>
      <w:bookmarkStart w:id="29" w:name="_Toc74150951"/>
      <w:bookmarkStart w:id="30" w:name="_Toc53235349"/>
      <w:r>
        <w:rPr>
          <w:rFonts w:hint="eastAsia" w:asciiTheme="majorEastAsia" w:hAnsiTheme="majorEastAsia" w:eastAsiaTheme="majorEastAsia"/>
          <w:szCs w:val="30"/>
        </w:rPr>
        <w:t>2</w:t>
      </w:r>
      <w:r>
        <w:rPr>
          <w:rFonts w:asciiTheme="majorEastAsia" w:hAnsiTheme="majorEastAsia" w:eastAsiaTheme="majorEastAsia"/>
          <w:szCs w:val="30"/>
        </w:rPr>
        <w:t>.2.2</w:t>
      </w:r>
      <w:r>
        <w:rPr>
          <w:rFonts w:hint="eastAsia" w:asciiTheme="majorEastAsia" w:hAnsiTheme="majorEastAsia" w:eastAsiaTheme="majorEastAsia"/>
          <w:szCs w:val="30"/>
        </w:rPr>
        <w:t>高原特色农业</w:t>
      </w:r>
      <w:r>
        <w:rPr>
          <w:rFonts w:asciiTheme="majorEastAsia" w:hAnsiTheme="majorEastAsia" w:eastAsiaTheme="majorEastAsia"/>
          <w:szCs w:val="30"/>
        </w:rPr>
        <w:t>发展现状</w:t>
      </w:r>
      <w:bookmarkEnd w:id="29"/>
      <w:bookmarkEnd w:id="30"/>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嵩明县境内河渠纵横，土地肥沃，物产丰富，粮食、蔬菜、鲜花、烤烟、畜牧产业基础扎实，具备一定规模。素有“滇中粮仓”“百合之乡”美称。现已形成了“粮、菜、花、烟、果、畜”六大重要农业产业。全县农业产业结构进一步优化，嵩明县</w:t>
      </w:r>
      <w:r>
        <w:rPr>
          <w:rFonts w:asciiTheme="minorEastAsia" w:hAnsiTheme="minorEastAsia" w:eastAsiaTheme="minorEastAsia"/>
          <w:sz w:val="28"/>
          <w:szCs w:val="28"/>
        </w:rPr>
        <w:t>2016年农林牧渔总产值达26.52亿元，2020年农林牧渔总产值达30.6亿元，增长15.38%；2016年</w:t>
      </w:r>
      <w:r>
        <w:rPr>
          <w:rFonts w:hint="eastAsia" w:asciiTheme="minorEastAsia" w:hAnsiTheme="minorEastAsia" w:eastAsiaTheme="minorEastAsia"/>
          <w:sz w:val="28"/>
          <w:szCs w:val="28"/>
        </w:rPr>
        <w:t>农村常住居民人均可支配收入</w:t>
      </w:r>
      <w:r>
        <w:rPr>
          <w:rFonts w:asciiTheme="minorEastAsia" w:hAnsiTheme="minorEastAsia" w:eastAsiaTheme="minorEastAsia"/>
          <w:sz w:val="28"/>
          <w:szCs w:val="28"/>
        </w:rPr>
        <w:t>12236元，2020年</w:t>
      </w:r>
      <w:r>
        <w:rPr>
          <w:rFonts w:hint="eastAsia" w:asciiTheme="minorEastAsia" w:hAnsiTheme="minorEastAsia" w:eastAsiaTheme="minorEastAsia"/>
          <w:sz w:val="28"/>
          <w:szCs w:val="28"/>
        </w:rPr>
        <w:t>农村常住居民人均可支配收入</w:t>
      </w:r>
      <w:r>
        <w:rPr>
          <w:rFonts w:asciiTheme="minorEastAsia" w:hAnsiTheme="minorEastAsia" w:eastAsiaTheme="minorEastAsia"/>
          <w:sz w:val="28"/>
          <w:szCs w:val="28"/>
        </w:rPr>
        <w:t>17239元，增长了40.89%，总体上农业持续稳定发展。</w:t>
      </w:r>
    </w:p>
    <w:p>
      <w:pPr>
        <w:pStyle w:val="10"/>
        <w:jc w:val="center"/>
      </w:pPr>
      <w:r>
        <w:drawing>
          <wp:inline distT="0" distB="0" distL="0" distR="0">
            <wp:extent cx="4785360" cy="204978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1"/>
        <w:ind w:left="0" w:leftChars="0"/>
        <w:jc w:val="center"/>
        <w:rPr>
          <w:szCs w:val="21"/>
        </w:rPr>
      </w:pPr>
      <w:r>
        <w:rPr>
          <w:rFonts w:hint="eastAsia" w:asciiTheme="minorEastAsia" w:hAnsiTheme="minorEastAsia" w:eastAsiaTheme="minorEastAsia"/>
          <w:szCs w:val="21"/>
        </w:rPr>
        <w:t>图1 嵩明县</w:t>
      </w:r>
      <w:r>
        <w:rPr>
          <w:rFonts w:asciiTheme="minorEastAsia" w:hAnsiTheme="minorEastAsia" w:eastAsiaTheme="minorEastAsia"/>
          <w:szCs w:val="21"/>
        </w:rPr>
        <w:t>2016年</w:t>
      </w:r>
      <w:r>
        <w:rPr>
          <w:rFonts w:hint="eastAsia" w:asciiTheme="minorEastAsia" w:hAnsiTheme="minorEastAsia" w:eastAsiaTheme="minorEastAsia"/>
          <w:szCs w:val="21"/>
        </w:rPr>
        <w:t>—2020年</w:t>
      </w:r>
      <w:r>
        <w:rPr>
          <w:rFonts w:asciiTheme="minorEastAsia" w:hAnsiTheme="minorEastAsia" w:eastAsiaTheme="minorEastAsia"/>
          <w:szCs w:val="21"/>
        </w:rPr>
        <w:t>农林牧渔总产值</w:t>
      </w:r>
      <w:r>
        <w:rPr>
          <w:rFonts w:hint="eastAsia" w:asciiTheme="minorEastAsia" w:hAnsiTheme="minorEastAsia" w:eastAsiaTheme="minorEastAsia"/>
          <w:szCs w:val="21"/>
        </w:rPr>
        <w:t>及人均可支配收入增长率</w:t>
      </w:r>
    </w:p>
    <w:p>
      <w:pPr>
        <w:pStyle w:val="4"/>
      </w:pPr>
      <w:bookmarkStart w:id="31" w:name="_Toc74150952"/>
      <w:bookmarkStart w:id="32" w:name="_Toc53235350"/>
      <w:r>
        <w:rPr>
          <w:rFonts w:hint="eastAsia"/>
        </w:rPr>
        <w:t>2</w:t>
      </w:r>
      <w:r>
        <w:t>.3</w:t>
      </w:r>
      <w:r>
        <w:rPr>
          <w:rFonts w:hint="eastAsia"/>
        </w:rPr>
        <w:t>发展成效</w:t>
      </w:r>
      <w:bookmarkEnd w:id="31"/>
      <w:bookmarkEnd w:id="32"/>
    </w:p>
    <w:p>
      <w:pPr>
        <w:ind w:firstLine="560" w:firstLineChars="200"/>
        <w:rPr>
          <w:sz w:val="28"/>
          <w:szCs w:val="28"/>
        </w:rPr>
      </w:pPr>
      <w:r>
        <w:rPr>
          <w:rFonts w:hint="eastAsia"/>
          <w:sz w:val="28"/>
          <w:szCs w:val="28"/>
        </w:rPr>
        <w:t>在上级部门的指导帮助和县委、县政府的正确领导下，通过全县广大农民群众和农业农村系统工作人员的共同努力，嵩明县农业农村工作取得了显著成效。</w:t>
      </w:r>
    </w:p>
    <w:p>
      <w:pPr>
        <w:pStyle w:val="5"/>
        <w:spacing w:line="360" w:lineRule="auto"/>
        <w:rPr>
          <w:rFonts w:asciiTheme="majorEastAsia" w:hAnsiTheme="majorEastAsia" w:eastAsiaTheme="majorEastAsia"/>
          <w:szCs w:val="30"/>
        </w:rPr>
      </w:pPr>
      <w:bookmarkStart w:id="33" w:name="_Toc53235351"/>
      <w:bookmarkStart w:id="34" w:name="_Toc74150953"/>
      <w:r>
        <w:rPr>
          <w:rFonts w:hint="eastAsia" w:asciiTheme="majorEastAsia" w:hAnsiTheme="majorEastAsia" w:eastAsiaTheme="majorEastAsia"/>
          <w:szCs w:val="30"/>
        </w:rPr>
        <w:t>2</w:t>
      </w:r>
      <w:r>
        <w:rPr>
          <w:rFonts w:asciiTheme="majorEastAsia" w:hAnsiTheme="majorEastAsia" w:eastAsiaTheme="majorEastAsia"/>
          <w:szCs w:val="30"/>
        </w:rPr>
        <w:t>.3.1</w:t>
      </w:r>
      <w:bookmarkEnd w:id="33"/>
      <w:r>
        <w:rPr>
          <w:rFonts w:hint="eastAsia" w:asciiTheme="majorEastAsia" w:hAnsiTheme="majorEastAsia" w:eastAsiaTheme="majorEastAsia"/>
          <w:szCs w:val="30"/>
        </w:rPr>
        <w:t>粮食生产稳定发展</w:t>
      </w:r>
      <w:bookmarkEnd w:id="34"/>
    </w:p>
    <w:p>
      <w:pPr>
        <w:ind w:firstLine="560" w:firstLineChars="200"/>
        <w:rPr>
          <w:rFonts w:asciiTheme="minorEastAsia" w:hAnsiTheme="minorEastAsia" w:eastAsiaTheme="minorEastAsia" w:cstheme="minorHAnsi"/>
          <w:sz w:val="28"/>
          <w:szCs w:val="28"/>
        </w:rPr>
      </w:pPr>
      <w:r>
        <w:rPr>
          <w:rFonts w:asciiTheme="minorEastAsia" w:hAnsiTheme="minorEastAsia" w:eastAsiaTheme="minorEastAsia" w:cstheme="minorHAnsi"/>
          <w:sz w:val="28"/>
          <w:szCs w:val="28"/>
        </w:rPr>
        <w:t>嵩明县高度重视粮食安全生产工作，深入实施藏粮于地、藏粮于技的战略，严守耕地红线，确保粮食安全。与此同时，加大财政投入力度，通过高标准农田建设、永久基本农田划定、“两区”划定等工程建设，</w:t>
      </w:r>
      <w:r>
        <w:rPr>
          <w:rFonts w:asciiTheme="minorEastAsia" w:hAnsiTheme="minorEastAsia" w:eastAsiaTheme="minorEastAsia" w:cstheme="minorHAnsi"/>
          <w:bCs/>
          <w:sz w:val="28"/>
          <w:szCs w:val="28"/>
        </w:rPr>
        <w:t>全面推广测土配方施肥和保护性耕作，提高耕地质量，</w:t>
      </w:r>
      <w:r>
        <w:rPr>
          <w:rFonts w:asciiTheme="minorEastAsia" w:hAnsiTheme="minorEastAsia" w:eastAsiaTheme="minorEastAsia" w:cstheme="minorHAnsi"/>
          <w:sz w:val="28"/>
          <w:szCs w:val="28"/>
        </w:rPr>
        <w:t>粮食种植面积和产量实现稳步增长。2016年到2020年，</w:t>
      </w:r>
      <w:r>
        <w:rPr>
          <w:rFonts w:hint="eastAsia" w:asciiTheme="minorEastAsia" w:hAnsiTheme="minorEastAsia" w:eastAsiaTheme="minorEastAsia" w:cstheme="minorHAnsi"/>
          <w:sz w:val="28"/>
          <w:szCs w:val="28"/>
        </w:rPr>
        <w:t>嵩明</w:t>
      </w:r>
      <w:r>
        <w:rPr>
          <w:rFonts w:asciiTheme="minorEastAsia" w:hAnsiTheme="minorEastAsia" w:eastAsiaTheme="minorEastAsia" w:cstheme="minorHAnsi"/>
          <w:sz w:val="28"/>
          <w:szCs w:val="28"/>
        </w:rPr>
        <w:t>县粮食总产累计完成27.88万吨，累计完成农作物高产创建14.13万亩，农作物间套种56万亩，推广优质稻0.56万亩。</w:t>
      </w:r>
    </w:p>
    <w:p>
      <w:pPr>
        <w:pStyle w:val="5"/>
        <w:spacing w:line="360" w:lineRule="auto"/>
        <w:rPr>
          <w:rFonts w:asciiTheme="majorEastAsia" w:hAnsiTheme="majorEastAsia" w:eastAsiaTheme="majorEastAsia"/>
          <w:szCs w:val="30"/>
        </w:rPr>
      </w:pPr>
      <w:bookmarkStart w:id="35" w:name="_Toc74150954"/>
      <w:r>
        <w:rPr>
          <w:rFonts w:hint="eastAsia" w:asciiTheme="majorEastAsia" w:hAnsiTheme="majorEastAsia" w:eastAsiaTheme="majorEastAsia"/>
          <w:szCs w:val="30"/>
        </w:rPr>
        <w:t>2.3.2农业结构调整优化</w:t>
      </w:r>
      <w:bookmarkEnd w:id="35"/>
    </w:p>
    <w:p>
      <w:pPr>
        <w:spacing w:line="360" w:lineRule="auto"/>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嵩明县狠抓集约化、标准化、设施化生产，围绕“十三五”规划，加大农业结构调整力度，嵩明县蔬菜品种趋于布局合理，市场供应充足，产品质量不断提高。全县绿色蔬菜种植面积由</w:t>
      </w:r>
      <w:r>
        <w:rPr>
          <w:rFonts w:cs="宋体" w:asciiTheme="minorEastAsia" w:hAnsiTheme="minorEastAsia" w:eastAsiaTheme="minorEastAsia"/>
          <w:color w:val="000000"/>
          <w:sz w:val="28"/>
          <w:szCs w:val="28"/>
        </w:rPr>
        <w:t>2016</w:t>
      </w:r>
      <w:r>
        <w:rPr>
          <w:rFonts w:hint="eastAsia" w:cs="宋体" w:asciiTheme="minorEastAsia" w:hAnsiTheme="minorEastAsia" w:eastAsiaTheme="minorEastAsia"/>
          <w:color w:val="000000"/>
          <w:sz w:val="28"/>
          <w:szCs w:val="28"/>
        </w:rPr>
        <w:t>年的</w:t>
      </w:r>
      <w:r>
        <w:rPr>
          <w:rFonts w:cs="宋体" w:asciiTheme="minorEastAsia" w:hAnsiTheme="minorEastAsia" w:eastAsiaTheme="minorEastAsia"/>
          <w:color w:val="000000"/>
          <w:sz w:val="28"/>
          <w:szCs w:val="28"/>
        </w:rPr>
        <w:t>28</w:t>
      </w:r>
      <w:r>
        <w:rPr>
          <w:rFonts w:hint="eastAsia" w:cs="宋体" w:asciiTheme="minorEastAsia" w:hAnsiTheme="minorEastAsia" w:eastAsiaTheme="minorEastAsia"/>
          <w:color w:val="000000"/>
          <w:sz w:val="28"/>
          <w:szCs w:val="28"/>
        </w:rPr>
        <w:t>万亩发展到</w:t>
      </w:r>
      <w:r>
        <w:rPr>
          <w:rFonts w:cs="宋体" w:asciiTheme="minorEastAsia" w:hAnsiTheme="minorEastAsia" w:eastAsiaTheme="minorEastAsia"/>
          <w:color w:val="000000"/>
          <w:sz w:val="28"/>
          <w:szCs w:val="28"/>
        </w:rPr>
        <w:t>2020</w:t>
      </w:r>
      <w:r>
        <w:rPr>
          <w:rFonts w:hint="eastAsia" w:cs="宋体" w:asciiTheme="minorEastAsia" w:hAnsiTheme="minorEastAsia" w:eastAsiaTheme="minorEastAsia"/>
          <w:color w:val="000000"/>
          <w:sz w:val="28"/>
          <w:szCs w:val="28"/>
        </w:rPr>
        <w:t>年的</w:t>
      </w:r>
      <w:r>
        <w:rPr>
          <w:rFonts w:cs="宋体" w:asciiTheme="minorEastAsia" w:hAnsiTheme="minorEastAsia" w:eastAsiaTheme="minorEastAsia"/>
          <w:color w:val="000000"/>
          <w:sz w:val="28"/>
          <w:szCs w:val="28"/>
        </w:rPr>
        <w:t>30.7</w:t>
      </w:r>
      <w:r>
        <w:rPr>
          <w:rFonts w:hint="eastAsia" w:cs="宋体" w:asciiTheme="minorEastAsia" w:hAnsiTheme="minorEastAsia" w:eastAsiaTheme="minorEastAsia"/>
          <w:color w:val="000000"/>
          <w:sz w:val="28"/>
          <w:szCs w:val="28"/>
        </w:rPr>
        <w:t>万亩，增长</w:t>
      </w:r>
      <w:r>
        <w:rPr>
          <w:rFonts w:cs="宋体" w:asciiTheme="minorEastAsia" w:hAnsiTheme="minorEastAsia" w:eastAsiaTheme="minorEastAsia"/>
          <w:color w:val="000000"/>
          <w:sz w:val="28"/>
          <w:szCs w:val="28"/>
        </w:rPr>
        <w:t>9.6%</w:t>
      </w:r>
      <w:r>
        <w:rPr>
          <w:rFonts w:hint="eastAsia" w:cs="宋体" w:asciiTheme="minorEastAsia" w:hAnsiTheme="minorEastAsia" w:eastAsiaTheme="minorEastAsia"/>
          <w:color w:val="000000"/>
          <w:sz w:val="28"/>
          <w:szCs w:val="28"/>
        </w:rPr>
        <w:t>，产量由</w:t>
      </w:r>
      <w:r>
        <w:rPr>
          <w:rFonts w:cs="宋体" w:asciiTheme="minorEastAsia" w:hAnsiTheme="minorEastAsia" w:eastAsiaTheme="minorEastAsia"/>
          <w:color w:val="000000"/>
          <w:sz w:val="28"/>
          <w:szCs w:val="28"/>
        </w:rPr>
        <w:t>2016</w:t>
      </w:r>
      <w:r>
        <w:rPr>
          <w:rFonts w:hint="eastAsia" w:cs="宋体" w:asciiTheme="minorEastAsia" w:hAnsiTheme="minorEastAsia" w:eastAsiaTheme="minorEastAsia"/>
          <w:color w:val="000000"/>
          <w:sz w:val="28"/>
          <w:szCs w:val="28"/>
        </w:rPr>
        <w:t>年的</w:t>
      </w:r>
      <w:r>
        <w:rPr>
          <w:rFonts w:cs="宋体" w:asciiTheme="minorEastAsia" w:hAnsiTheme="minorEastAsia" w:eastAsiaTheme="minorEastAsia"/>
          <w:color w:val="000000"/>
          <w:sz w:val="28"/>
          <w:szCs w:val="28"/>
        </w:rPr>
        <w:t>56</w:t>
      </w:r>
      <w:r>
        <w:rPr>
          <w:rFonts w:hint="eastAsia" w:cs="宋体" w:asciiTheme="minorEastAsia" w:hAnsiTheme="minorEastAsia" w:eastAsiaTheme="minorEastAsia"/>
          <w:color w:val="000000"/>
          <w:sz w:val="28"/>
          <w:szCs w:val="28"/>
        </w:rPr>
        <w:t>万吨发展到</w:t>
      </w:r>
      <w:r>
        <w:rPr>
          <w:rFonts w:cs="宋体" w:asciiTheme="minorEastAsia" w:hAnsiTheme="minorEastAsia" w:eastAsiaTheme="minorEastAsia"/>
          <w:color w:val="000000"/>
          <w:sz w:val="28"/>
          <w:szCs w:val="28"/>
        </w:rPr>
        <w:t>2020</w:t>
      </w:r>
      <w:r>
        <w:rPr>
          <w:rFonts w:hint="eastAsia" w:cs="宋体" w:asciiTheme="minorEastAsia" w:hAnsiTheme="minorEastAsia" w:eastAsiaTheme="minorEastAsia"/>
          <w:color w:val="000000"/>
          <w:sz w:val="28"/>
          <w:szCs w:val="28"/>
        </w:rPr>
        <w:t>年的</w:t>
      </w:r>
      <w:r>
        <w:rPr>
          <w:rFonts w:cs="宋体" w:asciiTheme="minorEastAsia" w:hAnsiTheme="minorEastAsia" w:eastAsiaTheme="minorEastAsia"/>
          <w:color w:val="000000"/>
          <w:sz w:val="28"/>
          <w:szCs w:val="28"/>
        </w:rPr>
        <w:t>64.5</w:t>
      </w:r>
      <w:r>
        <w:rPr>
          <w:rFonts w:hint="eastAsia" w:cs="宋体" w:asciiTheme="minorEastAsia" w:hAnsiTheme="minorEastAsia" w:eastAsiaTheme="minorEastAsia"/>
          <w:color w:val="000000"/>
          <w:sz w:val="28"/>
          <w:szCs w:val="28"/>
        </w:rPr>
        <w:t>万吨，增长</w:t>
      </w:r>
      <w:r>
        <w:rPr>
          <w:rFonts w:cs="宋体" w:asciiTheme="minorEastAsia" w:hAnsiTheme="minorEastAsia" w:eastAsiaTheme="minorEastAsia"/>
          <w:color w:val="000000"/>
          <w:sz w:val="28"/>
          <w:szCs w:val="28"/>
        </w:rPr>
        <w:t>15.2%</w:t>
      </w:r>
      <w:r>
        <w:rPr>
          <w:rFonts w:hint="eastAsia" w:cs="宋体" w:asciiTheme="minorEastAsia" w:hAnsiTheme="minorEastAsia" w:eastAsiaTheme="minorEastAsia"/>
          <w:color w:val="000000"/>
          <w:sz w:val="28"/>
          <w:szCs w:val="28"/>
        </w:rPr>
        <w:t>，总产值由</w:t>
      </w:r>
      <w:r>
        <w:rPr>
          <w:rFonts w:cs="宋体" w:asciiTheme="minorEastAsia" w:hAnsiTheme="minorEastAsia" w:eastAsiaTheme="minorEastAsia"/>
          <w:color w:val="000000"/>
          <w:sz w:val="28"/>
          <w:szCs w:val="28"/>
        </w:rPr>
        <w:t>2016</w:t>
      </w:r>
      <w:r>
        <w:rPr>
          <w:rFonts w:hint="eastAsia" w:cs="宋体" w:asciiTheme="minorEastAsia" w:hAnsiTheme="minorEastAsia" w:eastAsiaTheme="minorEastAsia"/>
          <w:color w:val="000000"/>
          <w:sz w:val="28"/>
          <w:szCs w:val="28"/>
        </w:rPr>
        <w:t>年</w:t>
      </w:r>
      <w:r>
        <w:rPr>
          <w:rFonts w:cs="宋体" w:asciiTheme="minorEastAsia" w:hAnsiTheme="minorEastAsia" w:eastAsiaTheme="minorEastAsia"/>
          <w:color w:val="000000"/>
          <w:sz w:val="28"/>
          <w:szCs w:val="28"/>
        </w:rPr>
        <w:t>5.9</w:t>
      </w:r>
      <w:r>
        <w:rPr>
          <w:rFonts w:hint="eastAsia" w:cs="宋体" w:asciiTheme="minorEastAsia" w:hAnsiTheme="minorEastAsia" w:eastAsiaTheme="minorEastAsia"/>
          <w:color w:val="000000"/>
          <w:sz w:val="28"/>
          <w:szCs w:val="28"/>
        </w:rPr>
        <w:t>亿元发展到</w:t>
      </w:r>
      <w:r>
        <w:rPr>
          <w:rFonts w:cs="宋体" w:asciiTheme="minorEastAsia" w:hAnsiTheme="minorEastAsia" w:eastAsiaTheme="minorEastAsia"/>
          <w:color w:val="000000"/>
          <w:sz w:val="28"/>
          <w:szCs w:val="28"/>
        </w:rPr>
        <w:t>2020</w:t>
      </w:r>
      <w:r>
        <w:rPr>
          <w:rFonts w:hint="eastAsia" w:cs="宋体" w:asciiTheme="minorEastAsia" w:hAnsiTheme="minorEastAsia" w:eastAsiaTheme="minorEastAsia"/>
          <w:color w:val="000000"/>
          <w:sz w:val="28"/>
          <w:szCs w:val="28"/>
        </w:rPr>
        <w:t>年的</w:t>
      </w:r>
      <w:r>
        <w:rPr>
          <w:rFonts w:cs="宋体" w:asciiTheme="minorEastAsia" w:hAnsiTheme="minorEastAsia" w:eastAsiaTheme="minorEastAsia"/>
          <w:color w:val="000000"/>
          <w:sz w:val="28"/>
          <w:szCs w:val="28"/>
        </w:rPr>
        <w:t>9.61</w:t>
      </w:r>
      <w:r>
        <w:rPr>
          <w:rFonts w:hint="eastAsia" w:cs="宋体" w:asciiTheme="minorEastAsia" w:hAnsiTheme="minorEastAsia" w:eastAsiaTheme="minorEastAsia"/>
          <w:color w:val="000000"/>
          <w:sz w:val="28"/>
          <w:szCs w:val="28"/>
        </w:rPr>
        <w:t>亿元，增长</w:t>
      </w:r>
      <w:r>
        <w:rPr>
          <w:rFonts w:cs="宋体" w:asciiTheme="minorEastAsia" w:hAnsiTheme="minorEastAsia" w:eastAsiaTheme="minorEastAsia"/>
          <w:color w:val="000000"/>
          <w:sz w:val="28"/>
          <w:szCs w:val="28"/>
        </w:rPr>
        <w:t>62.9 %</w:t>
      </w:r>
      <w:r>
        <w:rPr>
          <w:rFonts w:hint="eastAsia" w:cs="宋体" w:asciiTheme="minorEastAsia" w:hAnsiTheme="minorEastAsia" w:eastAsiaTheme="minorEastAsia"/>
          <w:color w:val="000000"/>
          <w:sz w:val="28"/>
          <w:szCs w:val="28"/>
        </w:rPr>
        <w:t>；鲜切花产量由</w:t>
      </w:r>
      <w:r>
        <w:rPr>
          <w:rFonts w:cs="宋体" w:asciiTheme="minorEastAsia" w:hAnsiTheme="minorEastAsia" w:eastAsiaTheme="minorEastAsia"/>
          <w:color w:val="000000"/>
          <w:sz w:val="28"/>
          <w:szCs w:val="28"/>
        </w:rPr>
        <w:t>2016</w:t>
      </w:r>
      <w:r>
        <w:rPr>
          <w:rFonts w:hint="eastAsia" w:cs="宋体" w:asciiTheme="minorEastAsia" w:hAnsiTheme="minorEastAsia" w:eastAsiaTheme="minorEastAsia"/>
          <w:color w:val="000000"/>
          <w:sz w:val="28"/>
          <w:szCs w:val="28"/>
        </w:rPr>
        <w:t>年的</w:t>
      </w:r>
      <w:r>
        <w:rPr>
          <w:rFonts w:cs="宋体" w:asciiTheme="minorEastAsia" w:hAnsiTheme="minorEastAsia" w:eastAsiaTheme="minorEastAsia"/>
          <w:color w:val="000000"/>
          <w:sz w:val="28"/>
          <w:szCs w:val="28"/>
        </w:rPr>
        <w:t>8.8</w:t>
      </w:r>
      <w:r>
        <w:rPr>
          <w:rFonts w:hint="eastAsia" w:cs="宋体" w:asciiTheme="minorEastAsia" w:hAnsiTheme="minorEastAsia" w:eastAsiaTheme="minorEastAsia"/>
          <w:color w:val="000000"/>
          <w:sz w:val="28"/>
          <w:szCs w:val="28"/>
        </w:rPr>
        <w:t>亿枝增加到</w:t>
      </w:r>
      <w:r>
        <w:rPr>
          <w:rFonts w:cs="宋体" w:asciiTheme="minorEastAsia" w:hAnsiTheme="minorEastAsia" w:eastAsiaTheme="minorEastAsia"/>
          <w:color w:val="000000"/>
          <w:sz w:val="28"/>
          <w:szCs w:val="28"/>
        </w:rPr>
        <w:t>2020</w:t>
      </w:r>
      <w:r>
        <w:rPr>
          <w:rFonts w:hint="eastAsia" w:cs="宋体" w:asciiTheme="minorEastAsia" w:hAnsiTheme="minorEastAsia" w:eastAsiaTheme="minorEastAsia"/>
          <w:color w:val="000000"/>
          <w:sz w:val="28"/>
          <w:szCs w:val="28"/>
        </w:rPr>
        <w:t>年的</w:t>
      </w:r>
      <w:r>
        <w:rPr>
          <w:rFonts w:cs="宋体" w:asciiTheme="minorEastAsia" w:hAnsiTheme="minorEastAsia" w:eastAsiaTheme="minorEastAsia"/>
          <w:color w:val="000000"/>
          <w:sz w:val="28"/>
          <w:szCs w:val="28"/>
        </w:rPr>
        <w:t>8.92</w:t>
      </w:r>
      <w:r>
        <w:rPr>
          <w:rFonts w:hint="eastAsia" w:cs="宋体" w:asciiTheme="minorEastAsia" w:hAnsiTheme="minorEastAsia" w:eastAsiaTheme="minorEastAsia"/>
          <w:color w:val="000000"/>
          <w:sz w:val="28"/>
          <w:szCs w:val="28"/>
        </w:rPr>
        <w:t>亿枝，增长</w:t>
      </w:r>
      <w:r>
        <w:rPr>
          <w:rFonts w:cs="宋体" w:asciiTheme="minorEastAsia" w:hAnsiTheme="minorEastAsia" w:eastAsiaTheme="minorEastAsia"/>
          <w:color w:val="000000"/>
          <w:sz w:val="28"/>
          <w:szCs w:val="28"/>
        </w:rPr>
        <w:t>1.4%</w:t>
      </w:r>
      <w:r>
        <w:rPr>
          <w:rFonts w:hint="eastAsia" w:cs="宋体" w:asciiTheme="minorEastAsia" w:hAnsiTheme="minorEastAsia" w:eastAsiaTheme="minorEastAsia"/>
          <w:color w:val="000000"/>
          <w:sz w:val="28"/>
          <w:szCs w:val="28"/>
        </w:rPr>
        <w:t>，总产值由</w:t>
      </w:r>
      <w:r>
        <w:rPr>
          <w:rFonts w:cs="宋体" w:asciiTheme="minorEastAsia" w:hAnsiTheme="minorEastAsia" w:eastAsiaTheme="minorEastAsia"/>
          <w:color w:val="000000"/>
          <w:sz w:val="28"/>
          <w:szCs w:val="28"/>
        </w:rPr>
        <w:t>2016</w:t>
      </w:r>
      <w:r>
        <w:rPr>
          <w:rFonts w:hint="eastAsia" w:cs="宋体" w:asciiTheme="minorEastAsia" w:hAnsiTheme="minorEastAsia" w:eastAsiaTheme="minorEastAsia"/>
          <w:color w:val="000000"/>
          <w:sz w:val="28"/>
          <w:szCs w:val="28"/>
        </w:rPr>
        <w:t>年的</w:t>
      </w:r>
      <w:r>
        <w:rPr>
          <w:rFonts w:cs="宋体" w:asciiTheme="minorEastAsia" w:hAnsiTheme="minorEastAsia" w:eastAsiaTheme="minorEastAsia"/>
          <w:color w:val="000000"/>
          <w:sz w:val="28"/>
          <w:szCs w:val="28"/>
        </w:rPr>
        <w:t>5.47</w:t>
      </w:r>
      <w:r>
        <w:rPr>
          <w:rFonts w:hint="eastAsia" w:cs="宋体" w:asciiTheme="minorEastAsia" w:hAnsiTheme="minorEastAsia" w:eastAsiaTheme="minorEastAsia"/>
          <w:color w:val="000000"/>
          <w:sz w:val="28"/>
          <w:szCs w:val="28"/>
        </w:rPr>
        <w:t>亿元增加到</w:t>
      </w:r>
      <w:r>
        <w:rPr>
          <w:rFonts w:cs="宋体" w:asciiTheme="minorEastAsia" w:hAnsiTheme="minorEastAsia" w:eastAsiaTheme="minorEastAsia"/>
          <w:color w:val="000000"/>
          <w:sz w:val="28"/>
          <w:szCs w:val="28"/>
        </w:rPr>
        <w:t>2020</w:t>
      </w:r>
      <w:r>
        <w:rPr>
          <w:rFonts w:hint="eastAsia" w:cs="宋体" w:asciiTheme="minorEastAsia" w:hAnsiTheme="minorEastAsia" w:eastAsiaTheme="minorEastAsia"/>
          <w:color w:val="000000"/>
          <w:sz w:val="28"/>
          <w:szCs w:val="28"/>
        </w:rPr>
        <w:t>年的</w:t>
      </w:r>
      <w:r>
        <w:rPr>
          <w:rFonts w:cs="宋体" w:asciiTheme="minorEastAsia" w:hAnsiTheme="minorEastAsia" w:eastAsiaTheme="minorEastAsia"/>
          <w:color w:val="000000"/>
          <w:sz w:val="28"/>
          <w:szCs w:val="28"/>
        </w:rPr>
        <w:t>9.3</w:t>
      </w:r>
      <w:r>
        <w:rPr>
          <w:rFonts w:hint="eastAsia" w:cs="宋体" w:asciiTheme="minorEastAsia" w:hAnsiTheme="minorEastAsia" w:eastAsiaTheme="minorEastAsia"/>
          <w:color w:val="000000"/>
          <w:sz w:val="28"/>
          <w:szCs w:val="28"/>
        </w:rPr>
        <w:t>亿元，增长</w:t>
      </w:r>
      <w:r>
        <w:rPr>
          <w:rFonts w:cs="宋体" w:asciiTheme="minorEastAsia" w:hAnsiTheme="minorEastAsia" w:eastAsiaTheme="minorEastAsia"/>
          <w:color w:val="000000"/>
          <w:sz w:val="28"/>
          <w:szCs w:val="28"/>
        </w:rPr>
        <w:t>70%</w:t>
      </w:r>
      <w:r>
        <w:rPr>
          <w:rFonts w:hint="eastAsia" w:cs="宋体" w:asciiTheme="minorEastAsia" w:hAnsiTheme="minorEastAsia" w:eastAsiaTheme="minorEastAsia"/>
          <w:color w:val="000000"/>
          <w:sz w:val="28"/>
          <w:szCs w:val="28"/>
        </w:rPr>
        <w:t>。</w:t>
      </w:r>
    </w:p>
    <w:p>
      <w:pPr>
        <w:rPr>
          <w:rFonts w:asciiTheme="minorEastAsia" w:hAnsiTheme="minorEastAsia"/>
          <w:color w:val="000000"/>
          <w:sz w:val="30"/>
          <w:szCs w:val="30"/>
        </w:rPr>
      </w:pPr>
      <w:r>
        <w:rPr>
          <w:rFonts w:asciiTheme="minorEastAsia" w:hAnsiTheme="minorEastAsia"/>
          <w:color w:val="000000"/>
          <w:sz w:val="30"/>
          <w:szCs w:val="30"/>
        </w:rPr>
        <w:drawing>
          <wp:inline distT="0" distB="0" distL="0" distR="0">
            <wp:extent cx="6162675" cy="299085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0"/>
        <w:jc w:val="center"/>
      </w:pPr>
      <w:r>
        <w:rPr>
          <w:rFonts w:hint="eastAsia"/>
        </w:rPr>
        <w:drawing>
          <wp:inline distT="0" distB="0" distL="0" distR="0">
            <wp:extent cx="5029200" cy="2600325"/>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畜牧业平稳发展。</w:t>
      </w:r>
      <w:r>
        <w:rPr>
          <w:rFonts w:asciiTheme="minorEastAsia" w:hAnsiTheme="minorEastAsia" w:eastAsiaTheme="minorEastAsia"/>
          <w:sz w:val="28"/>
          <w:szCs w:val="28"/>
        </w:rPr>
        <w:t>2016年到2020年畜牧业产值累计完成36.85亿元，肉类总产完成13.4万吨，禽蛋产量完成16425吨。</w:t>
      </w:r>
    </w:p>
    <w:p>
      <w:pPr>
        <w:pStyle w:val="2"/>
        <w:ind w:firstLine="600"/>
        <w:rPr>
          <w:rFonts w:asciiTheme="minorEastAsia" w:hAnsiTheme="minorEastAsia"/>
          <w:color w:val="000000"/>
          <w:sz w:val="30"/>
          <w:szCs w:val="30"/>
          <w:shd w:val="clear" w:color="auto" w:fill="FFFFFF"/>
        </w:rPr>
      </w:pPr>
      <w:r>
        <w:rPr>
          <w:rFonts w:hint="eastAsia" w:asciiTheme="minorEastAsia" w:hAnsiTheme="minorEastAsia"/>
          <w:color w:val="000000"/>
          <w:sz w:val="30"/>
          <w:szCs w:val="30"/>
          <w:shd w:val="clear" w:color="auto" w:fill="FFFFFF"/>
        </w:rPr>
        <w:t>经过多年的发展，嵩明县烤烟基础设施建设已经比较完善。烟水工程建设、机耕路建设、烤房建设等均能够满足2万余亩烤烟种植面积的需要。由于烤烟生产的计划指令性等特征，嵩明县烤烟按照稳量稳产、优质高效的目标发展。</w:t>
      </w:r>
    </w:p>
    <w:p>
      <w:pPr>
        <w:ind w:firstLine="600" w:firstLineChars="200"/>
        <w:rPr>
          <w:rFonts w:asciiTheme="minorEastAsia" w:hAnsiTheme="minorEastAsia"/>
          <w:color w:val="000000"/>
          <w:sz w:val="30"/>
          <w:szCs w:val="30"/>
          <w:shd w:val="clear" w:color="auto" w:fill="FFFFFF"/>
        </w:rPr>
      </w:pPr>
      <w:r>
        <w:rPr>
          <w:rFonts w:hint="eastAsia" w:asciiTheme="minorEastAsia" w:hAnsiTheme="minorEastAsia"/>
          <w:color w:val="000000"/>
          <w:sz w:val="30"/>
          <w:szCs w:val="30"/>
          <w:shd w:val="clear" w:color="auto" w:fill="FFFFFF"/>
        </w:rPr>
        <w:t>嵩明县旅游产业高速发展，大健康产业链初具雏形，推动健康旅游升级。年度旅游总收入高速增长，旅游接待能力稳步提升。嘉丽泽3A景区、百花箐山谷休闲度假产业提档升级。嵩明农业基础优势突出，绿色食品和花主题节庆为主的旅游资源优势显著，与周边县市旅游资源开发存在差异性及共生性。农业旅游产业基础较好。</w:t>
      </w:r>
    </w:p>
    <w:p>
      <w:pPr>
        <w:pStyle w:val="5"/>
        <w:spacing w:line="360" w:lineRule="auto"/>
        <w:rPr>
          <w:rFonts w:asciiTheme="majorEastAsia" w:hAnsiTheme="majorEastAsia" w:eastAsiaTheme="majorEastAsia"/>
          <w:szCs w:val="30"/>
        </w:rPr>
      </w:pPr>
      <w:bookmarkStart w:id="36" w:name="_Toc18061"/>
      <w:bookmarkStart w:id="37" w:name="_Toc74150955"/>
      <w:r>
        <w:rPr>
          <w:rFonts w:asciiTheme="majorEastAsia" w:hAnsiTheme="majorEastAsia" w:eastAsiaTheme="majorEastAsia"/>
          <w:szCs w:val="30"/>
        </w:rPr>
        <w:t>2.</w:t>
      </w:r>
      <w:r>
        <w:rPr>
          <w:rFonts w:hint="eastAsia" w:asciiTheme="majorEastAsia" w:hAnsiTheme="majorEastAsia" w:eastAsiaTheme="majorEastAsia"/>
          <w:szCs w:val="30"/>
        </w:rPr>
        <w:t>3</w:t>
      </w:r>
      <w:r>
        <w:rPr>
          <w:rFonts w:asciiTheme="majorEastAsia" w:hAnsiTheme="majorEastAsia" w:eastAsiaTheme="majorEastAsia"/>
          <w:szCs w:val="30"/>
        </w:rPr>
        <w:t>.</w:t>
      </w:r>
      <w:bookmarkEnd w:id="36"/>
      <w:r>
        <w:rPr>
          <w:rFonts w:asciiTheme="majorEastAsia" w:hAnsiTheme="majorEastAsia" w:eastAsiaTheme="majorEastAsia"/>
          <w:szCs w:val="30"/>
        </w:rPr>
        <w:t>3</w:t>
      </w:r>
      <w:r>
        <w:rPr>
          <w:rFonts w:hint="eastAsia" w:asciiTheme="majorEastAsia" w:hAnsiTheme="majorEastAsia" w:eastAsiaTheme="majorEastAsia"/>
          <w:szCs w:val="30"/>
        </w:rPr>
        <w:t>农业基础设施取得新突破</w:t>
      </w:r>
      <w:bookmarkEnd w:id="37"/>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2016</w:t>
      </w:r>
      <w:r>
        <w:rPr>
          <w:rFonts w:hint="eastAsia" w:asciiTheme="minorEastAsia" w:hAnsiTheme="minorEastAsia" w:eastAsiaTheme="minorEastAsia"/>
          <w:sz w:val="28"/>
          <w:szCs w:val="28"/>
        </w:rPr>
        <w:t>-</w:t>
      </w:r>
      <w:r>
        <w:rPr>
          <w:rFonts w:asciiTheme="minorEastAsia" w:hAnsiTheme="minorEastAsia" w:eastAsiaTheme="minorEastAsia"/>
          <w:sz w:val="28"/>
          <w:szCs w:val="28"/>
        </w:rPr>
        <w:t>2020年，</w:t>
      </w:r>
      <w:r>
        <w:rPr>
          <w:rFonts w:hint="eastAsia" w:asciiTheme="minorEastAsia" w:hAnsiTheme="minorEastAsia" w:eastAsiaTheme="minorEastAsia"/>
          <w:sz w:val="28"/>
          <w:szCs w:val="28"/>
        </w:rPr>
        <w:t>嵩明</w:t>
      </w:r>
      <w:r>
        <w:rPr>
          <w:rFonts w:asciiTheme="minorEastAsia" w:hAnsiTheme="minorEastAsia" w:eastAsiaTheme="minorEastAsia"/>
          <w:sz w:val="28"/>
          <w:szCs w:val="28"/>
        </w:rPr>
        <w:t>县</w:t>
      </w:r>
      <w:r>
        <w:rPr>
          <w:rFonts w:hint="eastAsia" w:asciiTheme="minorEastAsia" w:hAnsiTheme="minorEastAsia" w:eastAsiaTheme="minorEastAsia"/>
          <w:sz w:val="28"/>
          <w:szCs w:val="28"/>
        </w:rPr>
        <w:t>农业</w:t>
      </w:r>
      <w:r>
        <w:rPr>
          <w:rFonts w:asciiTheme="minorEastAsia" w:hAnsiTheme="minorEastAsia" w:eastAsiaTheme="minorEastAsia"/>
          <w:sz w:val="28"/>
          <w:szCs w:val="28"/>
        </w:rPr>
        <w:t>基础设施建设取得新突破</w:t>
      </w:r>
      <w:r>
        <w:rPr>
          <w:rFonts w:hint="eastAsia" w:asciiTheme="minorEastAsia" w:hAnsiTheme="minorEastAsia" w:eastAsiaTheme="minorEastAsia"/>
          <w:sz w:val="28"/>
          <w:szCs w:val="28"/>
        </w:rPr>
        <w:t>。</w:t>
      </w:r>
      <w:r>
        <w:rPr>
          <w:rFonts w:asciiTheme="minorEastAsia" w:hAnsiTheme="minorEastAsia" w:eastAsiaTheme="minorEastAsia"/>
          <w:sz w:val="28"/>
          <w:szCs w:val="28"/>
        </w:rPr>
        <w:t>实施农田建设项目5.5万亩，完成投资7400.43万元。</w:t>
      </w:r>
      <w:r>
        <w:rPr>
          <w:rFonts w:hint="eastAsia" w:ascii="宋体" w:hAnsi="宋体" w:cs="宋体"/>
          <w:sz w:val="28"/>
          <w:szCs w:val="28"/>
        </w:rPr>
        <w:t>农田水利、机耕路桥、农业机械等方面都有了较大的发展。</w:t>
      </w:r>
    </w:p>
    <w:p>
      <w:pPr>
        <w:pStyle w:val="5"/>
        <w:spacing w:line="360" w:lineRule="auto"/>
        <w:rPr>
          <w:rFonts w:asciiTheme="majorEastAsia" w:hAnsiTheme="majorEastAsia" w:eastAsiaTheme="majorEastAsia"/>
          <w:szCs w:val="30"/>
        </w:rPr>
      </w:pPr>
      <w:bookmarkStart w:id="38" w:name="_Toc7078"/>
      <w:bookmarkStart w:id="39" w:name="_Toc74150956"/>
      <w:r>
        <w:rPr>
          <w:rFonts w:asciiTheme="majorEastAsia" w:hAnsiTheme="majorEastAsia" w:eastAsiaTheme="majorEastAsia"/>
          <w:szCs w:val="30"/>
        </w:rPr>
        <w:t>2.</w:t>
      </w:r>
      <w:r>
        <w:rPr>
          <w:rFonts w:hint="eastAsia" w:asciiTheme="majorEastAsia" w:hAnsiTheme="majorEastAsia" w:eastAsiaTheme="majorEastAsia"/>
          <w:szCs w:val="30"/>
        </w:rPr>
        <w:t>3</w:t>
      </w:r>
      <w:r>
        <w:rPr>
          <w:rFonts w:asciiTheme="majorEastAsia" w:hAnsiTheme="majorEastAsia" w:eastAsiaTheme="majorEastAsia"/>
          <w:szCs w:val="30"/>
        </w:rPr>
        <w:t>.</w:t>
      </w:r>
      <w:bookmarkEnd w:id="38"/>
      <w:r>
        <w:rPr>
          <w:rFonts w:asciiTheme="majorEastAsia" w:hAnsiTheme="majorEastAsia" w:eastAsiaTheme="majorEastAsia"/>
          <w:szCs w:val="30"/>
        </w:rPr>
        <w:t>4农业面源污染</w:t>
      </w:r>
      <w:r>
        <w:rPr>
          <w:rFonts w:hint="eastAsia" w:asciiTheme="majorEastAsia" w:hAnsiTheme="majorEastAsia" w:eastAsiaTheme="majorEastAsia"/>
          <w:szCs w:val="30"/>
        </w:rPr>
        <w:t>有效</w:t>
      </w:r>
      <w:r>
        <w:rPr>
          <w:rFonts w:asciiTheme="majorEastAsia" w:hAnsiTheme="majorEastAsia" w:eastAsiaTheme="majorEastAsia"/>
          <w:szCs w:val="30"/>
        </w:rPr>
        <w:t>治理</w:t>
      </w:r>
      <w:bookmarkEnd w:id="39"/>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2016</w:t>
      </w:r>
      <w:r>
        <w:rPr>
          <w:rFonts w:hint="eastAsia" w:asciiTheme="minorEastAsia" w:hAnsiTheme="minorEastAsia" w:eastAsiaTheme="minorEastAsia"/>
          <w:sz w:val="28"/>
          <w:szCs w:val="28"/>
        </w:rPr>
        <w:t>-</w:t>
      </w:r>
      <w:r>
        <w:rPr>
          <w:rFonts w:asciiTheme="minorEastAsia" w:hAnsiTheme="minorEastAsia" w:eastAsiaTheme="minorEastAsia"/>
          <w:sz w:val="28"/>
          <w:szCs w:val="28"/>
        </w:rPr>
        <w:t>2020年，持续开展化肥农药减量行动，全面推进有机肥替代化肥、畜禽粪污资源化利用、农作物秸秆综合利用、废弃农膜回收、病虫害绿色防控等行动，切实推进农业面源污染防控。</w:t>
      </w:r>
      <w:r>
        <w:rPr>
          <w:rFonts w:hint="eastAsia" w:asciiTheme="minorEastAsia" w:hAnsiTheme="minorEastAsia" w:eastAsiaTheme="minorEastAsia"/>
          <w:sz w:val="28"/>
          <w:szCs w:val="28"/>
        </w:rPr>
        <w:t>嵩明县</w:t>
      </w:r>
      <w:r>
        <w:rPr>
          <w:rFonts w:asciiTheme="minorEastAsia" w:hAnsiTheme="minorEastAsia" w:eastAsiaTheme="minorEastAsia"/>
          <w:sz w:val="28"/>
          <w:szCs w:val="28"/>
        </w:rPr>
        <w:t>农业面源污染治理能力</w:t>
      </w:r>
      <w:r>
        <w:rPr>
          <w:rFonts w:hint="eastAsia" w:asciiTheme="minorEastAsia" w:hAnsiTheme="minorEastAsia" w:eastAsiaTheme="minorEastAsia"/>
          <w:sz w:val="28"/>
          <w:szCs w:val="28"/>
        </w:rPr>
        <w:t>不断</w:t>
      </w:r>
      <w:r>
        <w:rPr>
          <w:rFonts w:asciiTheme="minorEastAsia" w:hAnsiTheme="minorEastAsia" w:eastAsiaTheme="minorEastAsia"/>
          <w:sz w:val="28"/>
          <w:szCs w:val="28"/>
        </w:rPr>
        <w:t>提升</w:t>
      </w:r>
      <w:r>
        <w:rPr>
          <w:rFonts w:hint="eastAsia" w:asciiTheme="minorEastAsia" w:hAnsiTheme="minorEastAsia" w:eastAsiaTheme="minorEastAsia"/>
          <w:sz w:val="28"/>
          <w:szCs w:val="28"/>
        </w:rPr>
        <w:t>。</w:t>
      </w:r>
      <w:r>
        <w:rPr>
          <w:rFonts w:asciiTheme="minorEastAsia" w:hAnsiTheme="minorEastAsia" w:eastAsiaTheme="minorEastAsia"/>
          <w:sz w:val="28"/>
          <w:szCs w:val="28"/>
        </w:rPr>
        <w:t>2016年以来，</w:t>
      </w:r>
      <w:r>
        <w:rPr>
          <w:rFonts w:hint="eastAsia" w:asciiTheme="minorEastAsia" w:hAnsiTheme="minorEastAsia" w:eastAsiaTheme="minorEastAsia"/>
          <w:sz w:val="28"/>
          <w:szCs w:val="28"/>
        </w:rPr>
        <w:t>全</w:t>
      </w:r>
      <w:r>
        <w:rPr>
          <w:rFonts w:asciiTheme="minorEastAsia" w:hAnsiTheme="minorEastAsia" w:eastAsiaTheme="minorEastAsia"/>
          <w:sz w:val="28"/>
          <w:szCs w:val="28"/>
        </w:rPr>
        <w:t>县累计实施测土配方施肥推广面积51万亩，实施全生物降解膜推广应用2000亩，完成秸秆还田37万亩，农作物秸秆资源化利用率达85%，完成秸秆饲料化利用9.6万吨，畜禽粪污资源化利用量72万吨，畜禽粪污资源化利用率达90%</w:t>
      </w:r>
      <w:r>
        <w:rPr>
          <w:rFonts w:hint="eastAsia" w:asciiTheme="minorEastAsia" w:hAnsiTheme="minorEastAsia" w:eastAsiaTheme="minorEastAsia"/>
          <w:sz w:val="28"/>
          <w:szCs w:val="28"/>
        </w:rPr>
        <w:t>。</w:t>
      </w:r>
      <w:r>
        <w:rPr>
          <w:rFonts w:asciiTheme="minorEastAsia" w:hAnsiTheme="minorEastAsia" w:eastAsiaTheme="minorEastAsia"/>
          <w:sz w:val="28"/>
          <w:szCs w:val="28"/>
        </w:rPr>
        <w:t>全县改灶5000眼，推广太阳能热水器3400台，建有大中型沼气池3座，目前嵩明县废弃果蔬规模化大型生物天然气工程日处理废弃果蔬可达2400吨。</w:t>
      </w:r>
    </w:p>
    <w:p>
      <w:pPr>
        <w:pStyle w:val="5"/>
        <w:spacing w:line="360" w:lineRule="auto"/>
        <w:rPr>
          <w:rFonts w:asciiTheme="majorEastAsia" w:hAnsiTheme="majorEastAsia" w:eastAsiaTheme="majorEastAsia"/>
          <w:szCs w:val="30"/>
        </w:rPr>
      </w:pPr>
      <w:bookmarkStart w:id="40" w:name="_Toc27029"/>
      <w:bookmarkStart w:id="41" w:name="_Toc74150957"/>
      <w:r>
        <w:rPr>
          <w:rFonts w:asciiTheme="majorEastAsia" w:hAnsiTheme="majorEastAsia" w:eastAsiaTheme="majorEastAsia"/>
          <w:szCs w:val="30"/>
        </w:rPr>
        <w:t>2.</w:t>
      </w:r>
      <w:r>
        <w:rPr>
          <w:rFonts w:hint="eastAsia" w:asciiTheme="majorEastAsia" w:hAnsiTheme="majorEastAsia" w:eastAsiaTheme="majorEastAsia"/>
          <w:szCs w:val="30"/>
        </w:rPr>
        <w:t>3</w:t>
      </w:r>
      <w:r>
        <w:rPr>
          <w:rFonts w:asciiTheme="majorEastAsia" w:hAnsiTheme="majorEastAsia" w:eastAsiaTheme="majorEastAsia"/>
          <w:szCs w:val="30"/>
        </w:rPr>
        <w:t>.5</w:t>
      </w:r>
      <w:bookmarkEnd w:id="40"/>
      <w:bookmarkStart w:id="42" w:name="_Toc26210"/>
      <w:r>
        <w:rPr>
          <w:rFonts w:asciiTheme="majorEastAsia" w:hAnsiTheme="majorEastAsia" w:eastAsiaTheme="majorEastAsia"/>
          <w:szCs w:val="30"/>
        </w:rPr>
        <w:t>农村改革不断深化</w:t>
      </w:r>
      <w:bookmarkEnd w:id="41"/>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一是完成</w:t>
      </w:r>
      <w:r>
        <w:rPr>
          <w:rFonts w:hint="eastAsia" w:asciiTheme="minorEastAsia" w:hAnsiTheme="minorEastAsia" w:eastAsiaTheme="minorEastAsia" w:cstheme="minorHAnsi"/>
          <w:sz w:val="28"/>
          <w:szCs w:val="28"/>
        </w:rPr>
        <w:t>农村土地承包经营权确权登记颁证</w:t>
      </w:r>
      <w:r>
        <w:rPr>
          <w:rFonts w:asciiTheme="minorEastAsia" w:hAnsiTheme="minorEastAsia" w:eastAsiaTheme="minorEastAsia"/>
          <w:sz w:val="28"/>
          <w:szCs w:val="28"/>
        </w:rPr>
        <w:t>工作。全县共完成确权面积393675.262亩，确权地块269938块，全县74个村（居）委会，已颁证74个，向农户颁发《经营权证》56124本，占应颁证农户58462户的96%。</w:t>
      </w:r>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二是全面完成农村集体产权制度改革。开展清产核资，村组资产达25.11亿元，增长18.33%，认定集体经济组织成员身份74927户280970人。成立74个（股份）经济联合社，591个（股份）经济合作社，颁发股权证75175本。</w:t>
      </w:r>
    </w:p>
    <w:p>
      <w:pPr>
        <w:pStyle w:val="5"/>
        <w:spacing w:line="360" w:lineRule="auto"/>
        <w:rPr>
          <w:rFonts w:asciiTheme="majorEastAsia" w:hAnsiTheme="majorEastAsia" w:eastAsiaTheme="majorEastAsia"/>
          <w:szCs w:val="30"/>
        </w:rPr>
      </w:pPr>
      <w:bookmarkStart w:id="43" w:name="_Toc74150958"/>
      <w:r>
        <w:rPr>
          <w:rFonts w:asciiTheme="majorEastAsia" w:hAnsiTheme="majorEastAsia" w:eastAsiaTheme="majorEastAsia"/>
          <w:szCs w:val="30"/>
        </w:rPr>
        <w:t>2.</w:t>
      </w:r>
      <w:r>
        <w:rPr>
          <w:rFonts w:hint="eastAsia" w:asciiTheme="majorEastAsia" w:hAnsiTheme="majorEastAsia" w:eastAsiaTheme="majorEastAsia"/>
          <w:szCs w:val="30"/>
        </w:rPr>
        <w:t>3</w:t>
      </w:r>
      <w:r>
        <w:rPr>
          <w:rFonts w:asciiTheme="majorEastAsia" w:hAnsiTheme="majorEastAsia" w:eastAsiaTheme="majorEastAsia"/>
          <w:szCs w:val="30"/>
        </w:rPr>
        <w:t>.6</w:t>
      </w:r>
      <w:bookmarkEnd w:id="42"/>
      <w:bookmarkStart w:id="44" w:name="_Toc5125"/>
      <w:r>
        <w:rPr>
          <w:rFonts w:asciiTheme="majorEastAsia" w:hAnsiTheme="majorEastAsia" w:eastAsiaTheme="majorEastAsia"/>
          <w:szCs w:val="30"/>
        </w:rPr>
        <w:t>脱贫攻坚圆满收官</w:t>
      </w:r>
      <w:bookmarkEnd w:id="43"/>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严格落实“四个不摘”要求，聚焦“三落实”“三精准”“三保障”，强化投入支持、补齐短板弱项、激发内生动力，2020年安排财政专项扶贫项目资金3151.9万元，持续提升“两不愁三保障”成色，963户3470名建档立卡贫困户和5个省级建档立卡贫困村高质量脱贫退出，圆满通过2020年国家和省市成效收官考核。</w:t>
      </w:r>
    </w:p>
    <w:p>
      <w:pPr>
        <w:pStyle w:val="5"/>
        <w:spacing w:line="360" w:lineRule="auto"/>
        <w:rPr>
          <w:rFonts w:asciiTheme="minorEastAsia" w:hAnsiTheme="minorEastAsia" w:eastAsiaTheme="minorEastAsia"/>
          <w:b w:val="0"/>
          <w:bCs w:val="0"/>
          <w:szCs w:val="30"/>
        </w:rPr>
      </w:pPr>
      <w:bookmarkStart w:id="45" w:name="_Toc32670"/>
      <w:bookmarkStart w:id="46" w:name="_Toc74150959"/>
      <w:r>
        <w:rPr>
          <w:rFonts w:asciiTheme="minorEastAsia" w:hAnsiTheme="minorEastAsia" w:eastAsiaTheme="minorEastAsia"/>
          <w:szCs w:val="30"/>
        </w:rPr>
        <w:t>2.</w:t>
      </w:r>
      <w:r>
        <w:rPr>
          <w:rFonts w:hint="eastAsia" w:asciiTheme="minorEastAsia" w:hAnsiTheme="minorEastAsia" w:eastAsiaTheme="minorEastAsia"/>
          <w:szCs w:val="30"/>
        </w:rPr>
        <w:t>3</w:t>
      </w:r>
      <w:r>
        <w:rPr>
          <w:rFonts w:asciiTheme="minorEastAsia" w:hAnsiTheme="minorEastAsia" w:eastAsiaTheme="minorEastAsia"/>
          <w:szCs w:val="30"/>
        </w:rPr>
        <w:t>.7</w:t>
      </w:r>
      <w:bookmarkEnd w:id="45"/>
      <w:r>
        <w:rPr>
          <w:rFonts w:asciiTheme="minorEastAsia" w:hAnsiTheme="minorEastAsia" w:eastAsiaTheme="minorEastAsia"/>
          <w:szCs w:val="30"/>
        </w:rPr>
        <w:t>人居环境持续</w:t>
      </w:r>
      <w:r>
        <w:rPr>
          <w:rFonts w:hint="eastAsia" w:asciiTheme="minorEastAsia" w:hAnsiTheme="minorEastAsia" w:eastAsiaTheme="minorEastAsia"/>
          <w:szCs w:val="30"/>
        </w:rPr>
        <w:t>改善</w:t>
      </w:r>
      <w:bookmarkEnd w:id="46"/>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嵩明县以村庄环境整治为重点，以建设美丽宜居乡村为导向，结合国家卫生县城复审、爱国卫生七个专项等工作，立足实际，积极稳妥的推进农村人居环境整治工作，坚决打赢乡村振兴的第一场硬仗。从分类推进农村“厕所革命”、全面推进农村生活垃圾治理、梯次推进农村生活污水治理、推进村庄规划编制、提升村容村貌、完善长效管护机制六方面为主攻方向。积极动员群众参与整治，因地制宜拓展优化“三清一改”（清理农村生活垃圾、清理村内塘沟、清理畜禽养殖粪污等农业生产废弃物，改变影响农村人居环境的不良习惯）内容，着力解决村庄环境“脏乱差”问题，持续改善农村人居环境。</w:t>
      </w:r>
    </w:p>
    <w:p>
      <w:pPr>
        <w:pStyle w:val="4"/>
      </w:pPr>
      <w:bookmarkStart w:id="47" w:name="_Toc74150960"/>
      <w:r>
        <w:t>2.</w:t>
      </w:r>
      <w:r>
        <w:rPr>
          <w:rFonts w:hint="eastAsia"/>
        </w:rPr>
        <w:t>4</w:t>
      </w:r>
      <w:bookmarkEnd w:id="44"/>
      <w:r>
        <w:rPr>
          <w:rFonts w:hint="eastAsia"/>
        </w:rPr>
        <w:t>农业产业优势与存在问题</w:t>
      </w:r>
      <w:bookmarkEnd w:id="47"/>
    </w:p>
    <w:p>
      <w:pPr>
        <w:pStyle w:val="5"/>
        <w:spacing w:line="360" w:lineRule="auto"/>
        <w:rPr>
          <w:rFonts w:asciiTheme="majorEastAsia" w:hAnsiTheme="majorEastAsia" w:eastAsiaTheme="majorEastAsia"/>
          <w:szCs w:val="30"/>
        </w:rPr>
      </w:pPr>
      <w:bookmarkStart w:id="48" w:name="_Toc19346"/>
      <w:bookmarkStart w:id="49" w:name="_Toc74150961"/>
      <w:r>
        <w:rPr>
          <w:rFonts w:hint="eastAsia" w:asciiTheme="majorEastAsia" w:hAnsiTheme="majorEastAsia" w:eastAsiaTheme="majorEastAsia"/>
          <w:szCs w:val="30"/>
        </w:rPr>
        <w:t>2.4.1</w:t>
      </w:r>
      <w:bookmarkEnd w:id="48"/>
      <w:r>
        <w:rPr>
          <w:rFonts w:hint="eastAsia" w:asciiTheme="majorEastAsia" w:hAnsiTheme="majorEastAsia" w:eastAsiaTheme="majorEastAsia"/>
          <w:szCs w:val="30"/>
        </w:rPr>
        <w:t>产业优势</w:t>
      </w:r>
      <w:bookmarkEnd w:id="49"/>
    </w:p>
    <w:p>
      <w:pPr>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1）粮、菜、花产业规模优势明显</w:t>
      </w:r>
    </w:p>
    <w:p>
      <w:pPr>
        <w:spacing w:line="360" w:lineRule="auto"/>
        <w:ind w:firstLine="560" w:firstLineChars="200"/>
        <w:rPr>
          <w:rFonts w:ascii="宋体" w:hAnsi="宋体" w:cs="宋体"/>
          <w:color w:val="000000"/>
          <w:sz w:val="28"/>
          <w:szCs w:val="28"/>
        </w:rPr>
      </w:pPr>
      <w:r>
        <w:rPr>
          <w:rFonts w:hint="eastAsia" w:asciiTheme="minorEastAsia" w:hAnsiTheme="minorEastAsia"/>
          <w:color w:val="000000"/>
          <w:sz w:val="28"/>
          <w:szCs w:val="28"/>
          <w:shd w:val="clear" w:color="auto" w:fill="FFFFFF"/>
        </w:rPr>
        <w:t>嵩明坝区是昆明市的第二大坝子。</w:t>
      </w:r>
      <w:r>
        <w:rPr>
          <w:rFonts w:hint="eastAsia" w:ascii="宋体" w:hAnsi="宋体" w:cs="宋体"/>
          <w:color w:val="000000"/>
          <w:sz w:val="28"/>
          <w:szCs w:val="28"/>
        </w:rPr>
        <w:t>地势平坦，光、热、水、土资源较好，具有“冬无严寒，夏无酷暑，春暖干燥，秋凉湿润”的气候特点，具有最适宜的农业生产条件。</w:t>
      </w:r>
    </w:p>
    <w:p>
      <w:pPr>
        <w:spacing w:line="360" w:lineRule="auto"/>
        <w:ind w:firstLine="560" w:firstLineChars="200"/>
        <w:rPr>
          <w:rFonts w:asciiTheme="minorEastAsia" w:hAnsiTheme="minorEastAsia"/>
          <w:color w:val="000000"/>
          <w:sz w:val="28"/>
          <w:szCs w:val="28"/>
          <w:shd w:val="clear" w:color="auto" w:fill="FFFFFF"/>
        </w:rPr>
      </w:pPr>
      <w:r>
        <w:rPr>
          <w:rFonts w:hint="eastAsia" w:ascii="宋体" w:hAnsi="宋体" w:cs="宋体"/>
          <w:color w:val="000000"/>
          <w:sz w:val="28"/>
          <w:szCs w:val="28"/>
        </w:rPr>
        <w:t>嵩明</w:t>
      </w:r>
      <w:r>
        <w:rPr>
          <w:rFonts w:hint="eastAsia" w:asciiTheme="minorEastAsia" w:hAnsiTheme="minorEastAsia"/>
          <w:color w:val="000000"/>
          <w:sz w:val="28"/>
          <w:szCs w:val="28"/>
          <w:shd w:val="clear" w:color="auto" w:fill="FFFFFF"/>
        </w:rPr>
        <w:t>曾作为全国商品粮基地县、优质蚕豆生产基地县，对全市粮食安全发挥过重要作用。长期以来，具有嵩明特色的粮食生产格局为：坝区以水稻、蚕豆为主，半山区以玉米、麦类为主，高寒山区以马铃薯、小杂粮为主。近年来，以典型示范、辐射带动的方式，推广应用新技术、新成果，推进规模化种植、标准化生产及产业化经营，保障农业增效、农民增收及粮食作物综合生产能力和市场竞争能力。随着城镇化进程的加快及农业产业结构的调整，嵩明县坝区粮食播种面积逐年减少，蔬菜、花卉等比较效益较高的作物种植面积逐年增加，</w:t>
      </w:r>
      <w:r>
        <w:rPr>
          <w:rFonts w:asciiTheme="minorEastAsia" w:hAnsiTheme="minorEastAsia"/>
          <w:color w:val="000000"/>
          <w:sz w:val="28"/>
          <w:szCs w:val="28"/>
          <w:shd w:val="clear" w:color="auto" w:fill="FFFFFF"/>
        </w:rPr>
        <w:t>粮食产能</w:t>
      </w:r>
      <w:r>
        <w:rPr>
          <w:rFonts w:hint="eastAsia" w:asciiTheme="minorEastAsia" w:hAnsiTheme="minorEastAsia"/>
          <w:color w:val="000000"/>
          <w:sz w:val="28"/>
          <w:szCs w:val="28"/>
          <w:shd w:val="clear" w:color="auto" w:fill="FFFFFF"/>
        </w:rPr>
        <w:t>处于稳定</w:t>
      </w:r>
      <w:r>
        <w:rPr>
          <w:rFonts w:asciiTheme="minorEastAsia" w:hAnsiTheme="minorEastAsia"/>
          <w:color w:val="000000"/>
          <w:sz w:val="28"/>
          <w:szCs w:val="28"/>
          <w:shd w:val="clear" w:color="auto" w:fill="FFFFFF"/>
        </w:rPr>
        <w:t>巩固</w:t>
      </w:r>
      <w:r>
        <w:rPr>
          <w:rFonts w:hint="eastAsia" w:asciiTheme="minorEastAsia" w:hAnsiTheme="minorEastAsia"/>
          <w:color w:val="000000"/>
          <w:sz w:val="28"/>
          <w:szCs w:val="28"/>
          <w:shd w:val="clear" w:color="auto" w:fill="FFFFFF"/>
        </w:rPr>
        <w:t>当中。</w:t>
      </w:r>
    </w:p>
    <w:p>
      <w:pPr>
        <w:spacing w:line="360" w:lineRule="auto"/>
        <w:ind w:firstLine="560" w:firstLineChars="200"/>
        <w:rPr>
          <w:rFonts w:ascii="宋体" w:hAnsi="宋体" w:cs="宋体"/>
          <w:color w:val="000000"/>
          <w:sz w:val="28"/>
          <w:szCs w:val="28"/>
        </w:rPr>
      </w:pPr>
      <w:r>
        <w:rPr>
          <w:rFonts w:hint="eastAsia" w:ascii="宋体" w:hAnsi="宋体" w:cs="宋体"/>
          <w:sz w:val="28"/>
          <w:szCs w:val="28"/>
        </w:rPr>
        <w:t>嵩明县</w:t>
      </w:r>
      <w:r>
        <w:rPr>
          <w:rFonts w:hint="eastAsia" w:ascii="宋体" w:hAnsi="宋体" w:cs="宋体"/>
          <w:color w:val="000000"/>
          <w:sz w:val="28"/>
          <w:szCs w:val="28"/>
        </w:rPr>
        <w:t>蔬菜具有较好的产品优势。</w:t>
      </w:r>
      <w:r>
        <w:rPr>
          <w:rFonts w:hint="eastAsia" w:ascii="宋体" w:hAnsi="宋体" w:cs="宋体"/>
          <w:sz w:val="28"/>
          <w:szCs w:val="28"/>
        </w:rPr>
        <w:t>叶</w:t>
      </w:r>
      <w:r>
        <w:rPr>
          <w:rFonts w:hint="eastAsia" w:ascii="宋体" w:hAnsi="宋体" w:cs="宋体"/>
          <w:color w:val="000000"/>
          <w:sz w:val="28"/>
          <w:szCs w:val="28"/>
        </w:rPr>
        <w:t>菜类可周年种植，具有十分明显的周年供应、错季上市优势；蔬菜产量较高，品质较好，产销成本低；油麦菜、意大利生菜、上海青、黄白等主导品种商品率达96.3％，远销北京、广东、上海、福建、东南亚等地。</w:t>
      </w:r>
      <w:r>
        <w:rPr>
          <w:rFonts w:hint="eastAsia" w:ascii="宋体" w:hAnsi="宋体" w:cs="宋体"/>
          <w:sz w:val="28"/>
          <w:szCs w:val="28"/>
        </w:rPr>
        <w:t>已建成了蔬菜高标准商品化育苗基地2600亩，优质种苗统供率达97%；建成了4个农业部蔬菜标准园；建成了10万亩规模化种植基地，成为以叶</w:t>
      </w:r>
      <w:r>
        <w:rPr>
          <w:rFonts w:hint="eastAsia" w:ascii="宋体" w:hAnsi="宋体" w:cs="宋体"/>
          <w:color w:val="000000"/>
          <w:sz w:val="28"/>
          <w:szCs w:val="28"/>
        </w:rPr>
        <w:t>菜类为主的生产基地，规模和效益位居全市前列。是云南省常年蔬菜优势产区。</w:t>
      </w:r>
    </w:p>
    <w:p>
      <w:pPr>
        <w:spacing w:line="360" w:lineRule="auto"/>
        <w:ind w:firstLine="560" w:firstLineChars="200"/>
        <w:rPr>
          <w:rFonts w:ascii="宋体" w:hAnsi="宋体" w:cs="宋体"/>
          <w:color w:val="000000"/>
          <w:sz w:val="28"/>
          <w:szCs w:val="28"/>
        </w:rPr>
      </w:pPr>
      <w:r>
        <w:rPr>
          <w:rFonts w:hint="eastAsia" w:asciiTheme="minorEastAsia" w:hAnsiTheme="minorEastAsia"/>
          <w:color w:val="000000"/>
          <w:sz w:val="28"/>
          <w:szCs w:val="28"/>
          <w:shd w:val="clear" w:color="auto" w:fill="FFFFFF"/>
        </w:rPr>
        <w:t>嵩明</w:t>
      </w:r>
      <w:r>
        <w:rPr>
          <w:rFonts w:ascii="宋体" w:hAnsi="宋体"/>
          <w:color w:val="000000"/>
          <w:sz w:val="28"/>
          <w:szCs w:val="28"/>
          <w:shd w:val="clear" w:color="auto" w:fill="FFFFFF"/>
        </w:rPr>
        <w:t>是世界园艺界公认的最适合花卉生长的区域之一</w:t>
      </w:r>
      <w:r>
        <w:rPr>
          <w:rFonts w:hint="eastAsia" w:asciiTheme="minorEastAsia" w:hAnsiTheme="minorEastAsia"/>
          <w:color w:val="000000"/>
          <w:sz w:val="28"/>
          <w:szCs w:val="28"/>
          <w:shd w:val="clear" w:color="auto" w:fill="FFFFFF"/>
        </w:rPr>
        <w:t>。嵩明花卉是昆明花卉的典型代表。</w:t>
      </w:r>
      <w:r>
        <w:rPr>
          <w:rFonts w:hint="eastAsia" w:ascii="宋体" w:hAnsi="宋体"/>
          <w:color w:val="000000"/>
          <w:sz w:val="28"/>
          <w:szCs w:val="28"/>
          <w:shd w:val="clear" w:color="auto" w:fill="FFFFFF"/>
        </w:rPr>
        <w:t>经过</w:t>
      </w:r>
      <w:r>
        <w:rPr>
          <w:rFonts w:hint="eastAsia" w:asciiTheme="minorEastAsia" w:hAnsiTheme="minorEastAsia"/>
          <w:color w:val="000000"/>
          <w:sz w:val="28"/>
          <w:szCs w:val="28"/>
          <w:shd w:val="clear" w:color="auto" w:fill="FFFFFF"/>
        </w:rPr>
        <w:t>多</w:t>
      </w:r>
      <w:r>
        <w:rPr>
          <w:rFonts w:ascii="宋体" w:hAnsi="宋体"/>
          <w:color w:val="000000"/>
          <w:sz w:val="28"/>
          <w:szCs w:val="28"/>
          <w:shd w:val="clear" w:color="auto" w:fill="FFFFFF"/>
        </w:rPr>
        <w:t>年</w:t>
      </w:r>
      <w:r>
        <w:rPr>
          <w:rFonts w:hint="eastAsia" w:ascii="宋体" w:hAnsi="宋体"/>
          <w:color w:val="000000"/>
          <w:sz w:val="28"/>
          <w:szCs w:val="28"/>
          <w:shd w:val="clear" w:color="auto" w:fill="FFFFFF"/>
        </w:rPr>
        <w:t>的发展，产业结构调整</w:t>
      </w:r>
      <w:r>
        <w:rPr>
          <w:rFonts w:hint="eastAsia" w:asciiTheme="minorEastAsia" w:hAnsiTheme="minorEastAsia"/>
          <w:color w:val="000000"/>
          <w:sz w:val="28"/>
          <w:szCs w:val="28"/>
          <w:shd w:val="clear" w:color="auto" w:fill="FFFFFF"/>
        </w:rPr>
        <w:t>力度不断</w:t>
      </w:r>
      <w:r>
        <w:rPr>
          <w:rFonts w:hint="eastAsia" w:ascii="宋体" w:hAnsi="宋体"/>
          <w:color w:val="000000"/>
          <w:sz w:val="28"/>
          <w:szCs w:val="28"/>
          <w:shd w:val="clear" w:color="auto" w:fill="FFFFFF"/>
        </w:rPr>
        <w:t>加大，花卉</w:t>
      </w:r>
      <w:r>
        <w:rPr>
          <w:rFonts w:hint="eastAsia" w:asciiTheme="minorEastAsia" w:hAnsiTheme="minorEastAsia"/>
          <w:color w:val="000000"/>
          <w:sz w:val="28"/>
          <w:szCs w:val="28"/>
          <w:shd w:val="clear" w:color="auto" w:fill="FFFFFF"/>
        </w:rPr>
        <w:t>生产</w:t>
      </w:r>
      <w:r>
        <w:rPr>
          <w:rFonts w:hint="eastAsia" w:ascii="宋体" w:hAnsi="宋体"/>
          <w:color w:val="000000"/>
          <w:sz w:val="28"/>
          <w:szCs w:val="28"/>
          <w:shd w:val="clear" w:color="auto" w:fill="FFFFFF"/>
        </w:rPr>
        <w:t>面积逐年增加，规模逐步扩大。已形成了具有嵩明特色的生产格局，鲜切花基地县、优质大花蕙兰花基地县</w:t>
      </w:r>
      <w:r>
        <w:rPr>
          <w:rFonts w:hint="eastAsia" w:asciiTheme="minorEastAsia" w:hAnsiTheme="minorEastAsia"/>
          <w:color w:val="000000"/>
          <w:sz w:val="28"/>
          <w:szCs w:val="28"/>
          <w:shd w:val="clear" w:color="auto" w:fill="FFFFFF"/>
        </w:rPr>
        <w:t>已经实至名归。</w:t>
      </w:r>
      <w:r>
        <w:rPr>
          <w:rFonts w:ascii="宋体" w:hAnsi="宋体"/>
          <w:color w:val="000000"/>
          <w:sz w:val="28"/>
          <w:szCs w:val="28"/>
          <w:shd w:val="clear" w:color="auto" w:fill="FFFFFF"/>
        </w:rPr>
        <w:t>形成鲜切花、种苗、种球、盆花、盆景、园林园艺多元化产业格局，花卉产业在国内外具有较强的市场竞争力。</w:t>
      </w:r>
    </w:p>
    <w:p>
      <w:pPr>
        <w:spacing w:line="360" w:lineRule="auto"/>
        <w:ind w:firstLine="562" w:firstLineChars="200"/>
        <w:rPr>
          <w:rFonts w:ascii="宋体" w:hAnsi="宋体" w:cs="宋体"/>
          <w:b/>
          <w:color w:val="000000"/>
          <w:sz w:val="28"/>
          <w:szCs w:val="28"/>
        </w:rPr>
      </w:pPr>
      <w:bookmarkStart w:id="50" w:name="_Toc9427234"/>
      <w:bookmarkStart w:id="51" w:name="_Toc10461351"/>
      <w:bookmarkStart w:id="52" w:name="_Toc10468772"/>
      <w:bookmarkStart w:id="53" w:name="_Toc9193188"/>
      <w:bookmarkStart w:id="54" w:name="_Toc10077698"/>
      <w:r>
        <w:rPr>
          <w:rFonts w:hint="eastAsia" w:ascii="宋体" w:hAnsi="宋体" w:cs="宋体"/>
          <w:b/>
          <w:color w:val="000000"/>
          <w:sz w:val="28"/>
          <w:szCs w:val="28"/>
        </w:rPr>
        <w:t>2）农业科研基础雄厚</w:t>
      </w:r>
    </w:p>
    <w:p>
      <w:pPr>
        <w:spacing w:line="360" w:lineRule="auto"/>
        <w:ind w:firstLine="560" w:firstLineChars="200"/>
        <w:rPr>
          <w:rFonts w:ascii="宋体" w:hAnsi="宋体" w:cs="宋体"/>
          <w:b/>
          <w:color w:val="000000"/>
          <w:sz w:val="28"/>
          <w:szCs w:val="28"/>
        </w:rPr>
      </w:pPr>
      <w:r>
        <w:rPr>
          <w:rFonts w:hint="eastAsia" w:ascii="宋体" w:hAnsi="宋体" w:cs="宋体"/>
          <w:sz w:val="28"/>
          <w:szCs w:val="28"/>
        </w:rPr>
        <w:t>嵩明县境内集聚了包括省市农业科研院所在内的几十家农业科研机构，具有很强的农业科研实力。嵩明县</w:t>
      </w:r>
      <w:r>
        <w:rPr>
          <w:rFonts w:hint="eastAsia" w:asciiTheme="minorEastAsia" w:hAnsiTheme="minorEastAsia"/>
          <w:color w:val="000000"/>
          <w:sz w:val="30"/>
          <w:szCs w:val="30"/>
        </w:rPr>
        <w:t>先后被确定为全国农村综合性改革试点试验区、第二批国家农产品质量安全县、云南嵩明国家现代农业示范区、国家农业产业化示范基地、云南滇中国家农业科技园区、云南高原特色农业示范县、昆明市农村创业创新园区、云花外贸基地等等。科技助推农业产业发展取得实效。</w:t>
      </w:r>
      <w:r>
        <w:rPr>
          <w:rFonts w:hint="eastAsia" w:ascii="宋体" w:hAnsi="宋体" w:cs="宋体"/>
          <w:sz w:val="28"/>
          <w:szCs w:val="28"/>
        </w:rPr>
        <w:t>持续开展“一控两减三基本”示范推广，推行绿色农产品种植技术，广泛使用集约化育苗、水肥一体化、病虫害绿色防控等绿色生产技术。种植、养殖、加工、运销以及品牌建设等各个环节的科技推动作用日益明显。</w:t>
      </w:r>
    </w:p>
    <w:bookmarkEnd w:id="50"/>
    <w:bookmarkEnd w:id="51"/>
    <w:bookmarkEnd w:id="52"/>
    <w:bookmarkEnd w:id="53"/>
    <w:bookmarkEnd w:id="54"/>
    <w:p>
      <w:pPr>
        <w:spacing w:line="360" w:lineRule="auto"/>
        <w:ind w:firstLine="562" w:firstLineChars="200"/>
        <w:rPr>
          <w:rFonts w:ascii="宋体" w:hAnsi="宋体" w:cs="宋体"/>
          <w:b/>
          <w:color w:val="000000"/>
          <w:sz w:val="28"/>
          <w:szCs w:val="28"/>
        </w:rPr>
      </w:pPr>
      <w:bookmarkStart w:id="55" w:name="_Toc10461352"/>
      <w:bookmarkStart w:id="56" w:name="_Toc9193189"/>
      <w:bookmarkStart w:id="57" w:name="_Toc10077699"/>
      <w:bookmarkStart w:id="58" w:name="_Toc9427235"/>
      <w:bookmarkStart w:id="59" w:name="_Toc10468773"/>
      <w:r>
        <w:rPr>
          <w:rFonts w:hint="eastAsia" w:ascii="宋体" w:hAnsi="宋体" w:cs="宋体"/>
          <w:b/>
          <w:color w:val="000000"/>
          <w:sz w:val="28"/>
          <w:szCs w:val="28"/>
        </w:rPr>
        <w:t>3）</w:t>
      </w:r>
      <w:bookmarkEnd w:id="55"/>
      <w:bookmarkEnd w:id="56"/>
      <w:bookmarkEnd w:id="57"/>
      <w:bookmarkEnd w:id="58"/>
      <w:bookmarkEnd w:id="59"/>
      <w:r>
        <w:rPr>
          <w:rFonts w:hint="eastAsia" w:ascii="宋体" w:hAnsi="宋体" w:cs="宋体"/>
          <w:b/>
          <w:color w:val="000000"/>
          <w:sz w:val="28"/>
          <w:szCs w:val="28"/>
        </w:rPr>
        <w:t>农业产业发展的软硬件条件不断改善</w:t>
      </w:r>
    </w:p>
    <w:p>
      <w:pPr>
        <w:spacing w:line="360" w:lineRule="auto"/>
        <w:ind w:firstLine="560" w:firstLineChars="200"/>
        <w:rPr>
          <w:rFonts w:ascii="宋体" w:hAnsi="宋体" w:cs="宋体"/>
          <w:sz w:val="28"/>
          <w:szCs w:val="28"/>
        </w:rPr>
      </w:pPr>
      <w:r>
        <w:rPr>
          <w:rFonts w:hint="eastAsia" w:ascii="宋体" w:hAnsi="宋体" w:cs="宋体"/>
          <w:sz w:val="28"/>
          <w:szCs w:val="28"/>
        </w:rPr>
        <w:t>嵩明县县紧紧围绕提高综合经济实力为核心，以推进农村工业化、城镇化和农业产业化为突破口，以改善发展环境、扩大对内对外开放为重点，以体制创新、科技创新和环境创新为动力，在工业强县、农业稳县、科教兴县和非公经济富县上有突破性进展，县域经济基本实现了健康有序地发展。县域经济基本形成以农业为基础，县乡工业为主导，服务业快速发展的良性格局，为努力实现全县经济社会跨越式发展打下了坚实的基础。</w:t>
      </w:r>
    </w:p>
    <w:p>
      <w:pPr>
        <w:spacing w:line="360" w:lineRule="auto"/>
        <w:ind w:firstLine="560" w:firstLineChars="200"/>
        <w:rPr>
          <w:rFonts w:ascii="宋体" w:hAnsi="宋体" w:cs="宋体"/>
          <w:sz w:val="28"/>
          <w:szCs w:val="28"/>
        </w:rPr>
      </w:pPr>
      <w:r>
        <w:rPr>
          <w:rFonts w:hint="eastAsia" w:ascii="宋体" w:hAnsi="宋体" w:cs="宋体"/>
          <w:sz w:val="28"/>
          <w:szCs w:val="28"/>
        </w:rPr>
        <w:t>嵩明县先后被确定为全国农村综合性改革试点试验区、第二批国家农产品质量安全县、云南嵩明国家现代农业示范区、国家农业产业化示范基地、云南滇中国家农业科技园区、“全国农村创业创新园区”“国家级星创天地”“云南省小企业创业示范基地”“昆明小企业创业示范基地”“云花外贸基地”等。</w:t>
      </w:r>
    </w:p>
    <w:p>
      <w:pPr>
        <w:ind w:firstLine="560" w:firstLineChars="200"/>
        <w:rPr>
          <w:rFonts w:ascii="宋体" w:hAnsi="宋体" w:cs="宋体"/>
          <w:sz w:val="28"/>
          <w:szCs w:val="28"/>
        </w:rPr>
      </w:pPr>
      <w:r>
        <w:rPr>
          <w:rFonts w:hint="eastAsia" w:ascii="宋体" w:hAnsi="宋体" w:cs="宋体"/>
          <w:sz w:val="28"/>
          <w:szCs w:val="28"/>
        </w:rPr>
        <w:t>嵩明</w:t>
      </w:r>
      <w:r>
        <w:rPr>
          <w:rFonts w:ascii="宋体" w:hAnsi="宋体" w:cs="宋体"/>
          <w:sz w:val="28"/>
          <w:szCs w:val="28"/>
        </w:rPr>
        <w:t>县</w:t>
      </w:r>
      <w:r>
        <w:rPr>
          <w:rFonts w:hint="eastAsia" w:ascii="宋体" w:hAnsi="宋体" w:cs="宋体"/>
          <w:sz w:val="28"/>
          <w:szCs w:val="28"/>
        </w:rPr>
        <w:t>农业</w:t>
      </w:r>
      <w:r>
        <w:rPr>
          <w:rFonts w:ascii="宋体" w:hAnsi="宋体" w:cs="宋体"/>
          <w:sz w:val="28"/>
          <w:szCs w:val="28"/>
        </w:rPr>
        <w:t>基础设施建设取得</w:t>
      </w:r>
      <w:r>
        <w:rPr>
          <w:rFonts w:hint="eastAsia" w:ascii="宋体" w:hAnsi="宋体" w:cs="宋体"/>
          <w:sz w:val="28"/>
          <w:szCs w:val="28"/>
        </w:rPr>
        <w:t>了</w:t>
      </w:r>
      <w:r>
        <w:rPr>
          <w:rFonts w:ascii="宋体" w:hAnsi="宋体" w:cs="宋体"/>
          <w:sz w:val="28"/>
          <w:szCs w:val="28"/>
        </w:rPr>
        <w:t>新</w:t>
      </w:r>
      <w:r>
        <w:rPr>
          <w:rFonts w:hint="eastAsia" w:ascii="宋体" w:hAnsi="宋体" w:cs="宋体"/>
          <w:sz w:val="28"/>
          <w:szCs w:val="28"/>
        </w:rPr>
        <w:t>的</w:t>
      </w:r>
      <w:r>
        <w:rPr>
          <w:rFonts w:ascii="宋体" w:hAnsi="宋体" w:cs="宋体"/>
          <w:sz w:val="28"/>
          <w:szCs w:val="28"/>
        </w:rPr>
        <w:t>突破</w:t>
      </w:r>
      <w:r>
        <w:rPr>
          <w:rFonts w:hint="eastAsia" w:ascii="宋体" w:hAnsi="宋体" w:cs="宋体"/>
          <w:sz w:val="28"/>
          <w:szCs w:val="28"/>
        </w:rPr>
        <w:t>。“十三五”期间</w:t>
      </w:r>
      <w:r>
        <w:rPr>
          <w:rFonts w:ascii="宋体" w:hAnsi="宋体" w:cs="宋体"/>
          <w:sz w:val="28"/>
          <w:szCs w:val="28"/>
        </w:rPr>
        <w:t>实施农田建设项目5.5万亩，</w:t>
      </w:r>
      <w:r>
        <w:rPr>
          <w:rFonts w:hint="eastAsia" w:ascii="宋体" w:hAnsi="宋体" w:cs="宋体"/>
          <w:sz w:val="28"/>
          <w:szCs w:val="28"/>
        </w:rPr>
        <w:t>农田水利、机耕路桥、农业机械等方面都有了较大的发展。</w:t>
      </w:r>
      <w:r>
        <w:rPr>
          <w:rFonts w:ascii="宋体" w:hAnsi="宋体" w:cs="宋体"/>
          <w:sz w:val="28"/>
          <w:szCs w:val="28"/>
        </w:rPr>
        <w:t>完成</w:t>
      </w:r>
      <w:r>
        <w:rPr>
          <w:rFonts w:hint="eastAsia" w:ascii="宋体" w:hAnsi="宋体" w:cs="宋体"/>
          <w:sz w:val="28"/>
          <w:szCs w:val="28"/>
        </w:rPr>
        <w:t>农村土地承包经营权确权登记颁证</w:t>
      </w:r>
      <w:r>
        <w:rPr>
          <w:rFonts w:ascii="宋体" w:hAnsi="宋体" w:cs="宋体"/>
          <w:sz w:val="28"/>
          <w:szCs w:val="28"/>
        </w:rPr>
        <w:t>工作</w:t>
      </w:r>
      <w:r>
        <w:rPr>
          <w:rFonts w:hint="eastAsia" w:ascii="宋体" w:hAnsi="宋体" w:cs="宋体"/>
          <w:sz w:val="28"/>
          <w:szCs w:val="28"/>
        </w:rPr>
        <w:t>；深化</w:t>
      </w:r>
      <w:r>
        <w:rPr>
          <w:rFonts w:ascii="宋体" w:hAnsi="宋体" w:cs="宋体"/>
          <w:sz w:val="28"/>
          <w:szCs w:val="28"/>
        </w:rPr>
        <w:t>农村集体产权制度改革</w:t>
      </w:r>
      <w:r>
        <w:rPr>
          <w:rFonts w:hint="eastAsia" w:ascii="宋体" w:hAnsi="宋体" w:cs="宋体"/>
          <w:sz w:val="28"/>
          <w:szCs w:val="28"/>
        </w:rPr>
        <w:t>。</w:t>
      </w:r>
      <w:r>
        <w:rPr>
          <w:rFonts w:ascii="宋体" w:hAnsi="宋体" w:cs="宋体"/>
          <w:sz w:val="28"/>
          <w:szCs w:val="28"/>
        </w:rPr>
        <w:t>培育新型农业经营主体</w:t>
      </w:r>
      <w:r>
        <w:rPr>
          <w:rFonts w:hint="eastAsia" w:ascii="宋体" w:hAnsi="宋体" w:cs="宋体"/>
          <w:sz w:val="28"/>
          <w:szCs w:val="28"/>
        </w:rPr>
        <w:t>。</w:t>
      </w:r>
      <w:r>
        <w:rPr>
          <w:rFonts w:ascii="宋体" w:hAnsi="宋体" w:cs="宋体"/>
          <w:sz w:val="28"/>
          <w:szCs w:val="28"/>
        </w:rPr>
        <w:t>加大家庭农场培育力度，2020年认定县级家庭农场23户，推荐6户参加2020年昆明市市级示范家庭农场评选。鼓励企业申报农业龙头企业，组织云南伊利乳业有限责任公司、云南星耀生物制品有限公司、嵩明七叶花中药材种植专业合作社3家企业申报市级龙头企业；组织云南森汇食品有限责任公司、云南农垦金汇粮油产业有限公司、昆明海盛园艺有限公司3家企业申报省级龙头企业。目前全县农业产业化龙头企业22家，其中，省级龙头企业6家，市级龙头企业16家。推动农民专业合作社发展。全县共有在工商部门注册登记的农民专业合作社201个，加入专业合作社的农户超过5241户，带动农户12000户以上，规模销售农产品产值超过1.1亿元。</w:t>
      </w:r>
    </w:p>
    <w:p>
      <w:pPr>
        <w:pStyle w:val="5"/>
        <w:spacing w:line="360" w:lineRule="auto"/>
        <w:rPr>
          <w:rFonts w:asciiTheme="majorEastAsia" w:hAnsiTheme="majorEastAsia" w:eastAsiaTheme="majorEastAsia"/>
          <w:szCs w:val="30"/>
        </w:rPr>
      </w:pPr>
      <w:bookmarkStart w:id="60" w:name="_Toc74150962"/>
      <w:r>
        <w:rPr>
          <w:rFonts w:hint="eastAsia" w:asciiTheme="majorEastAsia" w:hAnsiTheme="majorEastAsia" w:eastAsiaTheme="majorEastAsia"/>
          <w:szCs w:val="30"/>
        </w:rPr>
        <w:t>2.4.2存在问题</w:t>
      </w:r>
      <w:bookmarkEnd w:id="60"/>
    </w:p>
    <w:p>
      <w:pPr>
        <w:ind w:firstLine="562" w:firstLineChars="200"/>
        <w:rPr>
          <w:rFonts w:ascii="宋体" w:hAnsi="宋体" w:cs="宋体"/>
          <w:b/>
          <w:color w:val="000000"/>
          <w:sz w:val="28"/>
          <w:szCs w:val="28"/>
        </w:rPr>
      </w:pPr>
      <w:r>
        <w:rPr>
          <w:rFonts w:hint="eastAsia" w:ascii="宋体" w:hAnsi="宋体" w:cs="宋体"/>
          <w:b/>
          <w:color w:val="000000"/>
          <w:sz w:val="28"/>
          <w:szCs w:val="28"/>
        </w:rPr>
        <w:t>1）农业综合效益不高</w:t>
      </w:r>
    </w:p>
    <w:p>
      <w:pPr>
        <w:ind w:firstLine="560" w:firstLineChars="200"/>
        <w:rPr>
          <w:rFonts w:ascii="宋体" w:hAnsi="宋体" w:cs="宋体"/>
          <w:sz w:val="28"/>
          <w:szCs w:val="28"/>
        </w:rPr>
      </w:pPr>
      <w:r>
        <w:rPr>
          <w:rFonts w:ascii="宋体" w:hAnsi="宋体" w:cs="宋体"/>
          <w:sz w:val="28"/>
          <w:szCs w:val="28"/>
        </w:rPr>
        <w:t>农业经济总体上仍然存在着规模不大、结构不优、亮点不多等问题</w:t>
      </w:r>
      <w:r>
        <w:rPr>
          <w:rFonts w:hint="eastAsia" w:ascii="宋体" w:hAnsi="宋体" w:cs="宋体"/>
          <w:sz w:val="28"/>
          <w:szCs w:val="28"/>
        </w:rPr>
        <w:t>。</w:t>
      </w:r>
      <w:r>
        <w:rPr>
          <w:rFonts w:ascii="宋体" w:hAnsi="宋体" w:cs="宋体"/>
          <w:sz w:val="28"/>
          <w:szCs w:val="28"/>
        </w:rPr>
        <w:t>蔬菜等主要农产品阶段性供过于求和供给不足并存，农业供给质量亟待提高</w:t>
      </w:r>
      <w:r>
        <w:rPr>
          <w:rFonts w:hint="eastAsia" w:ascii="宋体" w:hAnsi="宋体" w:cs="宋体"/>
          <w:sz w:val="28"/>
          <w:szCs w:val="28"/>
        </w:rPr>
        <w:t>。嵩明县“十三五”期间培养的农业龙头企业、农村致富带头人较少，带动作用不明显。农业高新技术的研发与农业生产的需求结合不紧密，农业科技成果转化率低，科技进步贡献率为57 %，低于全国平均水平。</w:t>
      </w:r>
      <w:r>
        <w:rPr>
          <w:sz w:val="28"/>
          <w:szCs w:val="28"/>
        </w:rPr>
        <w:t>一定程度上影响了农业产业升级的步伐</w:t>
      </w:r>
      <w:r>
        <w:rPr>
          <w:rFonts w:hint="eastAsia"/>
          <w:sz w:val="28"/>
          <w:szCs w:val="28"/>
        </w:rPr>
        <w:t>。特别是在优势主导产业</w:t>
      </w:r>
      <w:r>
        <w:rPr>
          <w:sz w:val="28"/>
          <w:szCs w:val="28"/>
        </w:rPr>
        <w:t>良种选育、</w:t>
      </w:r>
      <w:r>
        <w:rPr>
          <w:rFonts w:hint="eastAsia"/>
          <w:sz w:val="28"/>
          <w:szCs w:val="28"/>
        </w:rPr>
        <w:t>病虫害防治</w:t>
      </w:r>
      <w:r>
        <w:rPr>
          <w:sz w:val="28"/>
          <w:szCs w:val="28"/>
        </w:rPr>
        <w:t>、废弃物资源化、农业生态环境保护、农产品深加工</w:t>
      </w:r>
      <w:r>
        <w:rPr>
          <w:rFonts w:hint="eastAsia"/>
          <w:sz w:val="28"/>
          <w:szCs w:val="28"/>
        </w:rPr>
        <w:t>、营售渠道</w:t>
      </w:r>
      <w:r>
        <w:rPr>
          <w:sz w:val="28"/>
          <w:szCs w:val="28"/>
        </w:rPr>
        <w:t>等环节</w:t>
      </w:r>
      <w:r>
        <w:rPr>
          <w:rFonts w:hint="eastAsia"/>
          <w:sz w:val="28"/>
          <w:szCs w:val="28"/>
        </w:rPr>
        <w:t>先进科技支撑不足。从国外引进良种的难度增加，种业“卡脖子”技术的突破尚待时日。</w:t>
      </w:r>
      <w:r>
        <w:rPr>
          <w:rFonts w:ascii="宋体" w:hAnsi="宋体" w:cs="宋体"/>
          <w:sz w:val="28"/>
          <w:szCs w:val="28"/>
        </w:rPr>
        <w:t>农民适应生产力发展和市场竞争的能力不足，</w:t>
      </w:r>
      <w:r>
        <w:rPr>
          <w:rFonts w:hint="eastAsia" w:ascii="宋体" w:hAnsi="宋体" w:cs="宋体"/>
          <w:sz w:val="28"/>
          <w:szCs w:val="28"/>
        </w:rPr>
        <w:t>高素质</w:t>
      </w:r>
      <w:r>
        <w:rPr>
          <w:rFonts w:ascii="宋体" w:hAnsi="宋体" w:cs="宋体"/>
          <w:sz w:val="28"/>
          <w:szCs w:val="28"/>
        </w:rPr>
        <w:t>农民队伍建设亟需加强</w:t>
      </w:r>
      <w:r>
        <w:rPr>
          <w:rFonts w:hint="eastAsia" w:ascii="宋体" w:hAnsi="宋体" w:cs="宋体"/>
          <w:sz w:val="28"/>
          <w:szCs w:val="28"/>
        </w:rPr>
        <w:t>。</w:t>
      </w:r>
    </w:p>
    <w:p>
      <w:pPr>
        <w:ind w:firstLine="562" w:firstLineChars="200"/>
        <w:rPr>
          <w:rFonts w:ascii="宋体" w:hAnsi="宋体" w:cs="宋体"/>
          <w:b/>
          <w:color w:val="000000"/>
          <w:sz w:val="28"/>
          <w:szCs w:val="28"/>
        </w:rPr>
      </w:pPr>
      <w:bookmarkStart w:id="61" w:name="_Toc53235365"/>
      <w:r>
        <w:rPr>
          <w:rFonts w:hint="eastAsia" w:ascii="宋体" w:hAnsi="宋体" w:cs="宋体"/>
          <w:b/>
          <w:color w:val="000000"/>
          <w:sz w:val="28"/>
          <w:szCs w:val="28"/>
        </w:rPr>
        <w:t>2）农产品竞争力不强</w:t>
      </w:r>
    </w:p>
    <w:p>
      <w:pPr>
        <w:ind w:firstLine="560" w:firstLineChars="200"/>
        <w:rPr>
          <w:rFonts w:ascii="宋体" w:hAnsi="宋体" w:cs="宋体"/>
          <w:sz w:val="28"/>
          <w:szCs w:val="28"/>
        </w:rPr>
      </w:pPr>
      <w:r>
        <w:rPr>
          <w:rFonts w:ascii="宋体" w:hAnsi="宋体" w:cs="宋体"/>
          <w:sz w:val="28"/>
          <w:szCs w:val="28"/>
        </w:rPr>
        <w:t>随着产业结构调整和城市化进程的步伐加快，粮食保总产的任务十分艰巨；</w:t>
      </w:r>
      <w:r>
        <w:rPr>
          <w:rFonts w:hint="eastAsia" w:ascii="宋体" w:hAnsi="宋体" w:cs="宋体"/>
          <w:sz w:val="28"/>
          <w:szCs w:val="28"/>
        </w:rPr>
        <w:t>全县无公害农产品、绿色有机食品和地理标志农产品数量较少，品牌不多。生产规范化、标准化不够，</w:t>
      </w:r>
      <w:r>
        <w:rPr>
          <w:rFonts w:hint="eastAsia"/>
          <w:sz w:val="28"/>
          <w:szCs w:val="28"/>
        </w:rPr>
        <w:t>除了蔬菜，全县诸多农产品尚未统一生产标准，农产品质量安全和质量追溯体系还不健全。</w:t>
      </w:r>
      <w:r>
        <w:rPr>
          <w:rFonts w:hint="eastAsia" w:ascii="宋体" w:hAnsi="宋体" w:cs="宋体"/>
          <w:sz w:val="28"/>
          <w:szCs w:val="28"/>
        </w:rPr>
        <w:t>低值农产品多，优质优价的少，市场竞争力不强。农产品加工不足，精深加工更少，附加值低。市场培育不足，销售渠道单一，营销力度不够。龙头企业不多，大的市场主体少，存在“小散弱”的问题，农产品难以向高端化、品牌化、规模化发展。</w:t>
      </w:r>
    </w:p>
    <w:bookmarkEnd w:id="61"/>
    <w:p>
      <w:pPr>
        <w:ind w:firstLine="562" w:firstLineChars="200"/>
        <w:rPr>
          <w:rFonts w:ascii="宋体" w:hAnsi="宋体" w:cs="宋体"/>
          <w:b/>
          <w:color w:val="000000"/>
          <w:sz w:val="28"/>
          <w:szCs w:val="28"/>
        </w:rPr>
      </w:pPr>
      <w:bookmarkStart w:id="62" w:name="_Toc53235366"/>
      <w:r>
        <w:rPr>
          <w:rFonts w:hint="eastAsia" w:ascii="宋体" w:hAnsi="宋体" w:cs="宋体"/>
          <w:b/>
          <w:color w:val="000000"/>
          <w:sz w:val="28"/>
          <w:szCs w:val="28"/>
        </w:rPr>
        <w:t>3）农业设施建设用地困难</w:t>
      </w:r>
    </w:p>
    <w:p>
      <w:pPr>
        <w:rPr>
          <w:rFonts w:ascii="宋体" w:hAnsi="宋体" w:cs="宋体"/>
          <w:sz w:val="28"/>
          <w:szCs w:val="28"/>
        </w:rPr>
      </w:pPr>
      <w:r>
        <w:rPr>
          <w:rFonts w:hint="eastAsia" w:asciiTheme="minorEastAsia" w:hAnsiTheme="minorEastAsia"/>
          <w:color w:val="000000"/>
          <w:sz w:val="30"/>
          <w:szCs w:val="30"/>
        </w:rPr>
        <w:t xml:space="preserve">   </w:t>
      </w:r>
      <w:r>
        <w:rPr>
          <w:rFonts w:hint="eastAsia" w:ascii="宋体" w:hAnsi="宋体" w:cs="宋体"/>
          <w:sz w:val="28"/>
          <w:szCs w:val="28"/>
        </w:rPr>
        <w:t xml:space="preserve"> 当前由传统农业向现代农业转型过程中，嵩明县农业设施建设用地指标难以落实，不同程度影响和制约农业产业链的培育和延长，制约着现代农业的发展。生鲜</w:t>
      </w:r>
      <w:r>
        <w:rPr>
          <w:rFonts w:hint="eastAsia" w:ascii="宋体" w:hAnsi="宋体"/>
          <w:sz w:val="28"/>
          <w:szCs w:val="28"/>
        </w:rPr>
        <w:t>物流以常温物流或自然物流形式为主，采后贮运预冷库、冷藏周转库、分级包装机械设备等设施装备建设滞后，在采摘、运输、储存等物流环节上的损失率高。</w:t>
      </w:r>
    </w:p>
    <w:bookmarkEnd w:id="62"/>
    <w:p>
      <w:pPr>
        <w:widowControl/>
        <w:spacing w:after="0"/>
        <w:jc w:val="left"/>
        <w:rPr>
          <w:rFonts w:ascii="宋体" w:hAnsi="宋体" w:cs="宋体"/>
          <w:b/>
          <w:bCs/>
          <w:color w:val="000000"/>
          <w:kern w:val="44"/>
          <w:sz w:val="36"/>
          <w:szCs w:val="36"/>
        </w:rPr>
      </w:pPr>
      <w:r>
        <w:rPr>
          <w:rFonts w:ascii="宋体" w:hAnsi="宋体" w:cs="宋体"/>
          <w:color w:val="000000"/>
          <w:szCs w:val="36"/>
        </w:rPr>
        <w:br w:type="page"/>
      </w:r>
    </w:p>
    <w:p>
      <w:pPr>
        <w:pStyle w:val="3"/>
        <w:rPr>
          <w:rFonts w:ascii="宋体" w:hAnsi="宋体" w:cs="宋体"/>
          <w:color w:val="000000"/>
          <w:szCs w:val="36"/>
        </w:rPr>
      </w:pPr>
      <w:bookmarkStart w:id="63" w:name="_Toc74150963"/>
      <w:r>
        <w:rPr>
          <w:rFonts w:ascii="宋体" w:hAnsi="宋体" w:cs="宋体"/>
          <w:color w:val="000000"/>
          <w:szCs w:val="36"/>
        </w:rPr>
        <w:t xml:space="preserve">3 </w:t>
      </w:r>
      <w:r>
        <w:rPr>
          <w:rFonts w:hint="eastAsia" w:ascii="宋体" w:hAnsi="宋体" w:cs="宋体"/>
          <w:color w:val="000000"/>
          <w:szCs w:val="36"/>
        </w:rPr>
        <w:t>发展思路与目标</w:t>
      </w:r>
      <w:bookmarkEnd w:id="63"/>
    </w:p>
    <w:p>
      <w:pPr>
        <w:pStyle w:val="4"/>
      </w:pPr>
      <w:bookmarkStart w:id="64" w:name="_Toc7216"/>
      <w:bookmarkStart w:id="65" w:name="_Toc4471"/>
      <w:bookmarkStart w:id="66" w:name="_Toc19739"/>
      <w:bookmarkStart w:id="67" w:name="_Toc74150964"/>
      <w:bookmarkStart w:id="68" w:name="_Toc6461"/>
      <w:r>
        <w:rPr>
          <w:rFonts w:hint="eastAsia"/>
        </w:rPr>
        <w:t>3.1指导思想</w:t>
      </w:r>
      <w:bookmarkEnd w:id="64"/>
      <w:bookmarkEnd w:id="65"/>
      <w:bookmarkEnd w:id="66"/>
      <w:bookmarkEnd w:id="67"/>
      <w:bookmarkEnd w:id="68"/>
    </w:p>
    <w:p>
      <w:pPr>
        <w:spacing w:line="360" w:lineRule="auto"/>
        <w:ind w:firstLine="560" w:firstLineChars="200"/>
      </w:pPr>
      <w:r>
        <w:rPr>
          <w:rFonts w:hint="eastAsia"/>
          <w:sz w:val="28"/>
          <w:szCs w:val="28"/>
        </w:rPr>
        <w:t>坚持以习近平新时代中国特色社会主义思想为指导，全面贯彻落实中央农村工作会议和省委市委经济工作会议、省委市委农村工作会议精神，紧扣巩固拓展脱贫攻坚成果同乡村振兴有效衔接，补齐“三农”发展短板，扎实推进各项工作，坚决稳住农业农村这个“基本盘”，切实发挥好“三农”压舱石作用，为全县经济社会发展提供有力支撑。根据省委、省政府提出的全力打造世界一流“绿色能源”“绿色食品”“健康生活目的地”三张牌的重大战略决策，立足嵩明县独特的农业生态资源优势，以特色农业产业提质增效和转型升级为主线，以农业观光、科技扶贫、农产品健康养生和多民族和谐发展文化体验为重点，融聚众智、整合资源，突出绿色化、优质化、特色化、品牌化发展。</w:t>
      </w:r>
    </w:p>
    <w:p>
      <w:pPr>
        <w:pStyle w:val="4"/>
      </w:pPr>
      <w:bookmarkStart w:id="69" w:name="_Toc53235370"/>
      <w:bookmarkStart w:id="70" w:name="_Toc74150965"/>
      <w:r>
        <w:rPr>
          <w:rFonts w:hint="eastAsia"/>
        </w:rPr>
        <w:t>3</w:t>
      </w:r>
      <w:r>
        <w:t>.2</w:t>
      </w:r>
      <w:r>
        <w:rPr>
          <w:rFonts w:hint="eastAsia"/>
        </w:rPr>
        <w:t>发展思路</w:t>
      </w:r>
      <w:bookmarkEnd w:id="69"/>
      <w:bookmarkEnd w:id="70"/>
    </w:p>
    <w:p>
      <w:pPr>
        <w:spacing w:line="360" w:lineRule="auto"/>
        <w:ind w:firstLine="560" w:firstLineChars="200"/>
      </w:pPr>
      <w:r>
        <w:rPr>
          <w:rFonts w:hint="eastAsia" w:asciiTheme="minorEastAsia" w:hAnsiTheme="minorEastAsia" w:eastAsiaTheme="minorEastAsia"/>
          <w:sz w:val="28"/>
          <w:szCs w:val="28"/>
        </w:rPr>
        <w:t>以党的十九大和十九届历次全会精神</w:t>
      </w:r>
      <w:bookmarkStart w:id="294" w:name="_GoBack"/>
      <w:bookmarkEnd w:id="294"/>
      <w:r>
        <w:rPr>
          <w:rFonts w:hint="eastAsia" w:asciiTheme="minorEastAsia" w:hAnsiTheme="minorEastAsia" w:eastAsiaTheme="minorEastAsia"/>
          <w:sz w:val="28"/>
          <w:szCs w:val="28"/>
        </w:rPr>
        <w:t>为引领，以云南省人民政府《关于创建“一县一业”示范，加快打造世界一流“绿色食品牌”的指导意见》《云南省乡村振兴战略规划（2018-2022年）》</w:t>
      </w:r>
      <w:r>
        <w:rPr>
          <w:rFonts w:hint="eastAsia" w:ascii="宋体" w:hAnsi="宋体" w:cs="宋体"/>
          <w:spacing w:val="8"/>
          <w:kern w:val="0"/>
          <w:sz w:val="28"/>
          <w:szCs w:val="28"/>
        </w:rPr>
        <w:t>《关于全面深化改革扎实推进高原特色农业现代化的意见》等</w:t>
      </w:r>
      <w:r>
        <w:rPr>
          <w:rFonts w:hint="eastAsia" w:asciiTheme="minorEastAsia" w:hAnsiTheme="minorEastAsia" w:eastAsiaTheme="minorEastAsia"/>
          <w:sz w:val="28"/>
          <w:szCs w:val="28"/>
        </w:rPr>
        <w:t>为指导，坚持绿色兴农、质量兴农、品牌强农，深入推进农业供给侧结构性改革，打好“绿色食品牌”，提升高原特色农业质量，加快构建现代农业产业体系、生产体系、经营体系，提高农业创新力、竞争力和全要素生产率，推动乡村产业振兴。</w:t>
      </w:r>
    </w:p>
    <w:p>
      <w:pPr>
        <w:pStyle w:val="4"/>
      </w:pPr>
      <w:bookmarkStart w:id="71" w:name="_Toc53235371"/>
      <w:bookmarkStart w:id="72" w:name="_Toc74150966"/>
      <w:r>
        <w:rPr>
          <w:rFonts w:hint="eastAsia"/>
        </w:rPr>
        <w:t>3</w:t>
      </w:r>
      <w:r>
        <w:t>.3</w:t>
      </w:r>
      <w:r>
        <w:rPr>
          <w:rFonts w:hint="eastAsia"/>
        </w:rPr>
        <w:t>发展原则</w:t>
      </w:r>
      <w:bookmarkEnd w:id="71"/>
      <w:bookmarkEnd w:id="72"/>
    </w:p>
    <w:p>
      <w:pPr>
        <w:pStyle w:val="5"/>
        <w:spacing w:line="360" w:lineRule="auto"/>
        <w:rPr>
          <w:rFonts w:asciiTheme="majorEastAsia" w:hAnsiTheme="majorEastAsia" w:eastAsiaTheme="majorEastAsia"/>
          <w:szCs w:val="30"/>
        </w:rPr>
      </w:pPr>
      <w:bookmarkStart w:id="73" w:name="_Toc422392573"/>
      <w:bookmarkStart w:id="74" w:name="_Toc74150967"/>
      <w:r>
        <w:rPr>
          <w:rFonts w:hint="eastAsia" w:asciiTheme="majorEastAsia" w:hAnsiTheme="majorEastAsia" w:eastAsiaTheme="majorEastAsia"/>
          <w:szCs w:val="30"/>
        </w:rPr>
        <w:t>3.3.1生态首位原则</w:t>
      </w:r>
      <w:bookmarkEnd w:id="73"/>
      <w:bookmarkEnd w:id="74"/>
    </w:p>
    <w:p>
      <w:pPr>
        <w:spacing w:line="360" w:lineRule="auto"/>
        <w:ind w:firstLine="560" w:firstLineChars="200"/>
        <w:rPr>
          <w:sz w:val="28"/>
          <w:szCs w:val="28"/>
        </w:rPr>
      </w:pPr>
      <w:r>
        <w:rPr>
          <w:rFonts w:hint="eastAsia" w:ascii="宋体" w:hAnsi="宋体" w:cs="宋体"/>
          <w:color w:val="000000" w:themeColor="text1"/>
          <w:sz w:val="28"/>
          <w:szCs w:val="28"/>
          <w:shd w:val="clear" w:color="auto" w:fill="FFFFFF"/>
          <w14:textFill>
            <w14:solidFill>
              <w14:schemeClr w14:val="tx1"/>
            </w14:solidFill>
          </w14:textFill>
        </w:rPr>
        <w:t>按照国家、省、市、县关于在长江流域重点水域实施禁捕的工作要求，做好牛栏江（嵩明段）流域重点水域十年禁渔持续性的工作。</w:t>
      </w:r>
      <w:r>
        <w:rPr>
          <w:rFonts w:ascii="宋体" w:hAnsi="宋体" w:cs="宋体"/>
          <w:color w:val="000000" w:themeColor="text1"/>
          <w:sz w:val="28"/>
          <w:szCs w:val="28"/>
          <w:shd w:val="clear" w:color="auto" w:fill="FFFFFF"/>
          <w14:textFill>
            <w14:solidFill>
              <w14:schemeClr w14:val="tx1"/>
            </w14:solidFill>
          </w14:textFill>
        </w:rPr>
        <w:t>嵩明县地处</w:t>
      </w:r>
      <w:r>
        <w:rPr>
          <w:rFonts w:hint="eastAsia" w:ascii="宋体" w:hAnsi="宋体" w:cs="宋体"/>
          <w:color w:val="000000" w:themeColor="text1"/>
          <w:sz w:val="28"/>
          <w:szCs w:val="28"/>
          <w:shd w:val="clear" w:color="auto" w:fill="FFFFFF"/>
          <w14:textFill>
            <w14:solidFill>
              <w14:schemeClr w14:val="tx1"/>
            </w14:solidFill>
          </w14:textFill>
        </w:rPr>
        <w:t>滇池保护“一江八河”控制区，保护与发展的矛盾突出，必须坚持生态优先、绿色发展，持续加强生态文明建设和环境保护。优先考虑嵩明作为牛栏江水源保护区对保护生态环境的特殊要求，加快建设低碳循环农业生产体系，优化农业生</w:t>
      </w:r>
      <w:r>
        <w:rPr>
          <w:rFonts w:hint="eastAsia"/>
          <w:sz w:val="28"/>
          <w:szCs w:val="28"/>
        </w:rPr>
        <w:t>态经济系统，控制生产过程中有害物质投入和废弃物排放，减轻环境污染，建立和完善农业资源利用与保护制度，加强生物多样性保护，实施生态保护工程，治理农业生态环境，实现人与资源、生态和环境的和谐发展，确保绿色经济发展的资源环境基础。</w:t>
      </w:r>
    </w:p>
    <w:p>
      <w:pPr>
        <w:pStyle w:val="5"/>
        <w:spacing w:line="360" w:lineRule="auto"/>
        <w:rPr>
          <w:rFonts w:asciiTheme="majorEastAsia" w:hAnsiTheme="majorEastAsia" w:eastAsiaTheme="majorEastAsia"/>
          <w:szCs w:val="30"/>
        </w:rPr>
      </w:pPr>
      <w:bookmarkStart w:id="75" w:name="_Toc422392575"/>
      <w:bookmarkStart w:id="76" w:name="_Toc74150968"/>
      <w:r>
        <w:rPr>
          <w:rFonts w:hint="eastAsia" w:asciiTheme="majorEastAsia" w:hAnsiTheme="majorEastAsia" w:eastAsiaTheme="majorEastAsia"/>
          <w:szCs w:val="30"/>
        </w:rPr>
        <w:t>3.3.2特色高效原则</w:t>
      </w:r>
      <w:bookmarkEnd w:id="75"/>
      <w:bookmarkEnd w:id="76"/>
    </w:p>
    <w:p>
      <w:pPr>
        <w:spacing w:line="360" w:lineRule="auto"/>
        <w:ind w:firstLine="560" w:firstLineChars="200"/>
        <w:rPr>
          <w:sz w:val="28"/>
          <w:szCs w:val="28"/>
        </w:rPr>
      </w:pPr>
      <w:r>
        <w:rPr>
          <w:rFonts w:hint="eastAsia"/>
          <w:sz w:val="28"/>
          <w:szCs w:val="28"/>
        </w:rPr>
        <w:t>充分考虑嵩明气候、植物和土地的垂直空间差异特征，分区分层布局农业，宜农则农，宜牧则牧，宜林则林，因地制宜地组织适度规模生产，发展特色高效农业，充分发挥生态品质、周年生产和均衡上市优势，重点在特色、绿色和品质上做文章，走精品、高端、高效发展道路。</w:t>
      </w:r>
      <w:r>
        <w:rPr>
          <w:sz w:val="28"/>
          <w:szCs w:val="28"/>
        </w:rPr>
        <w:t>发挥自身优势，抓住粮食</w:t>
      </w:r>
      <w:r>
        <w:rPr>
          <w:rFonts w:hint="eastAsia"/>
          <w:sz w:val="28"/>
          <w:szCs w:val="28"/>
        </w:rPr>
        <w:t>、蔬菜、花卉这些</w:t>
      </w:r>
      <w:r>
        <w:rPr>
          <w:sz w:val="28"/>
          <w:szCs w:val="28"/>
        </w:rPr>
        <w:t>核心竞争力，延伸</w:t>
      </w:r>
      <w:r>
        <w:rPr>
          <w:rFonts w:hint="eastAsia"/>
          <w:sz w:val="28"/>
          <w:szCs w:val="28"/>
        </w:rPr>
        <w:t>作物</w:t>
      </w:r>
      <w:r>
        <w:rPr>
          <w:sz w:val="28"/>
          <w:szCs w:val="28"/>
        </w:rPr>
        <w:t>产业链、提升价值链、打造供应链，不断提高农业质量效益和竞争力，实现粮食安全和现代高效农业相统一。</w:t>
      </w:r>
    </w:p>
    <w:p>
      <w:pPr>
        <w:pStyle w:val="5"/>
        <w:spacing w:line="360" w:lineRule="auto"/>
        <w:rPr>
          <w:rFonts w:asciiTheme="majorEastAsia" w:hAnsiTheme="majorEastAsia" w:eastAsiaTheme="majorEastAsia"/>
          <w:szCs w:val="30"/>
        </w:rPr>
      </w:pPr>
      <w:bookmarkStart w:id="77" w:name="_Toc74150969"/>
      <w:bookmarkStart w:id="78" w:name="_Toc422392577"/>
      <w:r>
        <w:rPr>
          <w:rFonts w:hint="eastAsia" w:asciiTheme="majorEastAsia" w:hAnsiTheme="majorEastAsia" w:eastAsiaTheme="majorEastAsia"/>
          <w:szCs w:val="30"/>
        </w:rPr>
        <w:t>3.3.3品牌为本原则</w:t>
      </w:r>
      <w:bookmarkEnd w:id="77"/>
      <w:bookmarkEnd w:id="78"/>
    </w:p>
    <w:p>
      <w:pPr>
        <w:spacing w:line="360" w:lineRule="auto"/>
        <w:ind w:firstLine="560" w:firstLineChars="200"/>
        <w:rPr>
          <w:rFonts w:eastAsia="黑体"/>
          <w:sz w:val="28"/>
          <w:szCs w:val="28"/>
        </w:rPr>
      </w:pPr>
      <w:r>
        <w:rPr>
          <w:sz w:val="28"/>
          <w:szCs w:val="28"/>
        </w:rPr>
        <w:t>大力实施农业“品牌化战略”，积极推行“三品一标”</w:t>
      </w:r>
      <w:r>
        <w:rPr>
          <w:rFonts w:hint="eastAsia"/>
          <w:sz w:val="28"/>
          <w:szCs w:val="28"/>
        </w:rPr>
        <w:t>（ 无公害农产品、绿色食品、有机农产品和农产品地理标志）</w:t>
      </w:r>
      <w:r>
        <w:rPr>
          <w:sz w:val="28"/>
          <w:szCs w:val="28"/>
        </w:rPr>
        <w:t>农产品认证，做强做大农业品牌，提高农产品市场竞争力。</w:t>
      </w:r>
      <w:r>
        <w:rPr>
          <w:rFonts w:hint="eastAsia"/>
          <w:sz w:val="28"/>
          <w:szCs w:val="28"/>
        </w:rPr>
        <w:t>通过科技创新提升农产品科技含量；通过农业标准化生产提高农产品质量；根据资源禀赋条件，大力发展有鲜明地方特色的农产品，创建区域特色农产品品牌；通过整合品牌资源，做大做强品牌；政府在加快“三品一标”、中国驰名商标、云南名牌、云南著名商标等品牌建设方面给予企业指导帮助；做好加强农产品质量安全监管服务；建立基地备案制度，加快建设农产品质量安全可追溯制度。</w:t>
      </w:r>
    </w:p>
    <w:p>
      <w:pPr>
        <w:pStyle w:val="4"/>
      </w:pPr>
      <w:bookmarkStart w:id="79" w:name="_Toc74150970"/>
      <w:bookmarkStart w:id="80" w:name="_Toc53235379"/>
      <w:r>
        <w:rPr>
          <w:rFonts w:hint="eastAsia"/>
        </w:rPr>
        <w:t>3</w:t>
      </w:r>
      <w:r>
        <w:t>.</w:t>
      </w:r>
      <w:r>
        <w:rPr>
          <w:rFonts w:hint="eastAsia"/>
        </w:rPr>
        <w:t>4发展目标</w:t>
      </w:r>
      <w:bookmarkEnd w:id="79"/>
      <w:bookmarkEnd w:id="80"/>
    </w:p>
    <w:p>
      <w:pPr>
        <w:pStyle w:val="5"/>
        <w:spacing w:line="360" w:lineRule="auto"/>
        <w:rPr>
          <w:rFonts w:asciiTheme="majorEastAsia" w:hAnsiTheme="majorEastAsia" w:eastAsiaTheme="majorEastAsia"/>
          <w:szCs w:val="30"/>
        </w:rPr>
      </w:pPr>
      <w:bookmarkStart w:id="81" w:name="_Toc53235380"/>
      <w:bookmarkStart w:id="82" w:name="_Toc74150971"/>
      <w:r>
        <w:rPr>
          <w:rFonts w:hint="eastAsia" w:asciiTheme="majorEastAsia" w:hAnsiTheme="majorEastAsia" w:eastAsiaTheme="majorEastAsia"/>
          <w:szCs w:val="30"/>
        </w:rPr>
        <w:t>3</w:t>
      </w:r>
      <w:r>
        <w:rPr>
          <w:rFonts w:asciiTheme="majorEastAsia" w:hAnsiTheme="majorEastAsia" w:eastAsiaTheme="majorEastAsia"/>
          <w:szCs w:val="30"/>
        </w:rPr>
        <w:t>.</w:t>
      </w:r>
      <w:r>
        <w:rPr>
          <w:rFonts w:hint="eastAsia" w:asciiTheme="majorEastAsia" w:hAnsiTheme="majorEastAsia" w:eastAsiaTheme="majorEastAsia"/>
          <w:szCs w:val="30"/>
        </w:rPr>
        <w:t>4</w:t>
      </w:r>
      <w:r>
        <w:rPr>
          <w:rFonts w:asciiTheme="majorEastAsia" w:hAnsiTheme="majorEastAsia" w:eastAsiaTheme="majorEastAsia"/>
          <w:szCs w:val="30"/>
        </w:rPr>
        <w:t>.1</w:t>
      </w:r>
      <w:r>
        <w:rPr>
          <w:rFonts w:hint="eastAsia" w:asciiTheme="majorEastAsia" w:hAnsiTheme="majorEastAsia" w:eastAsiaTheme="majorEastAsia"/>
          <w:szCs w:val="30"/>
        </w:rPr>
        <w:t>总体目标</w:t>
      </w:r>
      <w:bookmarkEnd w:id="81"/>
      <w:bookmarkEnd w:id="82"/>
    </w:p>
    <w:p>
      <w:pPr>
        <w:spacing w:line="360" w:lineRule="auto"/>
        <w:ind w:firstLine="560" w:firstLineChars="200"/>
        <w:rPr>
          <w:sz w:val="28"/>
          <w:szCs w:val="28"/>
        </w:rPr>
      </w:pPr>
      <w:r>
        <w:rPr>
          <w:rFonts w:hint="eastAsia" w:asciiTheme="minorEastAsia" w:hAnsiTheme="minorEastAsia"/>
          <w:color w:val="000000"/>
          <w:sz w:val="28"/>
          <w:szCs w:val="28"/>
          <w:shd w:val="clear" w:color="auto" w:fill="FFFFFF"/>
        </w:rPr>
        <w:t>“十四五”期间，</w:t>
      </w:r>
      <w:r>
        <w:rPr>
          <w:rFonts w:asciiTheme="minorEastAsia" w:hAnsiTheme="minorEastAsia"/>
          <w:color w:val="000000"/>
          <w:sz w:val="28"/>
          <w:szCs w:val="28"/>
          <w:shd w:val="clear" w:color="auto" w:fill="FFFFFF"/>
        </w:rPr>
        <w:t>优先发展农业农村</w:t>
      </w:r>
      <w:r>
        <w:rPr>
          <w:rFonts w:hint="eastAsia" w:asciiTheme="minorEastAsia" w:hAnsiTheme="minorEastAsia"/>
          <w:color w:val="000000"/>
          <w:sz w:val="28"/>
          <w:szCs w:val="28"/>
          <w:shd w:val="clear" w:color="auto" w:fill="FFFFFF"/>
        </w:rPr>
        <w:t>，主攻高原特色现代农业高端发展，着力</w:t>
      </w:r>
      <w:r>
        <w:rPr>
          <w:rFonts w:asciiTheme="minorEastAsia" w:hAnsiTheme="minorEastAsia"/>
          <w:color w:val="000000"/>
          <w:sz w:val="28"/>
          <w:szCs w:val="28"/>
          <w:shd w:val="clear" w:color="auto" w:fill="FFFFFF"/>
        </w:rPr>
        <w:t>打造高科技、高品质、高品位的“三高”农产品</w:t>
      </w:r>
      <w:r>
        <w:rPr>
          <w:rFonts w:hint="eastAsia" w:asciiTheme="minorEastAsia" w:hAnsiTheme="minorEastAsia"/>
          <w:color w:val="000000"/>
          <w:sz w:val="28"/>
          <w:szCs w:val="28"/>
          <w:shd w:val="clear" w:color="auto" w:fill="FFFFFF"/>
        </w:rPr>
        <w:t>，实施“品牌化战略”，将嵩明打造成为高原特色现代农业发展的先导区、示范区和核心区。</w:t>
      </w:r>
      <w:r>
        <w:rPr>
          <w:rFonts w:hint="eastAsia"/>
          <w:sz w:val="28"/>
          <w:szCs w:val="28"/>
        </w:rPr>
        <w:t>规划期末，在保障粮食安全的基础上，将嵩明建成昆明领先、云南一流、全国知名的精细蔬菜、品牌花卉产业体系。推动农产品加工、仓储物流、都市精品农业等相关产业全面升级，产业结构进一步优化，产业化程度显著提高，竞争力全面提升，科技支撑能力显著增强。</w:t>
      </w:r>
      <w:r>
        <w:rPr>
          <w:rFonts w:hint="eastAsia" w:asciiTheme="minorEastAsia" w:hAnsiTheme="minorEastAsia" w:eastAsiaTheme="minorEastAsia"/>
          <w:sz w:val="28"/>
          <w:szCs w:val="28"/>
        </w:rPr>
        <w:t>农业产业持续稳定发展。到2025年，全县农林牧渔业总产值达到50亿元以上，农业综合生产能力显著提升。</w:t>
      </w:r>
    </w:p>
    <w:p>
      <w:pPr>
        <w:pStyle w:val="5"/>
        <w:spacing w:line="360" w:lineRule="auto"/>
        <w:rPr>
          <w:rFonts w:asciiTheme="majorEastAsia" w:hAnsiTheme="majorEastAsia" w:eastAsiaTheme="majorEastAsia"/>
          <w:szCs w:val="30"/>
        </w:rPr>
      </w:pPr>
      <w:bookmarkStart w:id="83" w:name="_Toc53235381"/>
      <w:bookmarkStart w:id="84" w:name="_Toc74150972"/>
      <w:r>
        <w:rPr>
          <w:rFonts w:hint="eastAsia" w:asciiTheme="majorEastAsia" w:hAnsiTheme="majorEastAsia" w:eastAsiaTheme="majorEastAsia"/>
          <w:szCs w:val="30"/>
        </w:rPr>
        <w:t>3</w:t>
      </w:r>
      <w:r>
        <w:rPr>
          <w:rFonts w:asciiTheme="majorEastAsia" w:hAnsiTheme="majorEastAsia" w:eastAsiaTheme="majorEastAsia"/>
          <w:szCs w:val="30"/>
        </w:rPr>
        <w:t>.</w:t>
      </w:r>
      <w:r>
        <w:rPr>
          <w:rFonts w:hint="eastAsia" w:asciiTheme="majorEastAsia" w:hAnsiTheme="majorEastAsia" w:eastAsiaTheme="majorEastAsia"/>
          <w:szCs w:val="30"/>
        </w:rPr>
        <w:t>4</w:t>
      </w:r>
      <w:r>
        <w:rPr>
          <w:rFonts w:asciiTheme="majorEastAsia" w:hAnsiTheme="majorEastAsia" w:eastAsiaTheme="majorEastAsia"/>
          <w:szCs w:val="30"/>
        </w:rPr>
        <w:t>.2</w:t>
      </w:r>
      <w:r>
        <w:rPr>
          <w:rFonts w:hint="eastAsia" w:asciiTheme="majorEastAsia" w:hAnsiTheme="majorEastAsia" w:eastAsiaTheme="majorEastAsia"/>
          <w:szCs w:val="30"/>
        </w:rPr>
        <w:t>具体目标</w:t>
      </w:r>
      <w:bookmarkEnd w:id="83"/>
      <w:bookmarkEnd w:id="84"/>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打造世界一流“绿色食品牌”。落实“一二三”行动，努力争创“一县一业”示范县，倾力打造“嵩明蔬菜”绿色食品牌。</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“三品一标”认证实现大突破。到2025年，全县“三品一标”农产品新增20个以上。</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主要农产品综合生产能力显著提高。到2025年，实施高标准农田建设5万亩，稳定粮食播种面积18.3万亩（复种），粮食总产达5.1万吨以上；花卉种植面积达到3万亩，鲜切花产量10亿枝，花卉产业总产值达到15亿元；蔬菜种植面积达到70万亩（含复种指数），总产量200万吨，总产值达30亿元，外销量占总产的95%以上；生猪出栏8-10万头，牛出栏1万头，羊出栏2万头，家禽出栏140万羽，肉类总产1.4万吨，奶产量1.7万吨，蛋产量0.3万吨，畜牧业产值达到6.5亿元以上，畜牧业产值保持占农林牧渔业总产值的30%以上。</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农业产业化经营水平大幅提升。到2025年，培育新型农业经营主体50个，新增或升级省、市级农业龙头企业5家。</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农村常驻居民收入快速增长。到2025年，农村常驻居民人均可支配收入达2.5万元以上。</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推进农业绿色发展。推动农业投入品规范化经营、科学化施用，持续开展化肥农药减量行动，全面推进有机肥替代化肥、畜禽粪污资源化利用、农作物秸秆综合利用、废弃农膜回收、病虫害绿色防控等行动，切实推进农业面源污染防控。</w:t>
      </w:r>
    </w:p>
    <w:p>
      <w:pPr>
        <w:pStyle w:val="3"/>
        <w:rPr>
          <w:rFonts w:eastAsia="黑体"/>
          <w:b w:val="0"/>
          <w:szCs w:val="36"/>
        </w:rPr>
      </w:pPr>
      <w:r>
        <w:rPr>
          <w:szCs w:val="36"/>
        </w:rPr>
        <w:br w:type="page"/>
      </w:r>
      <w:bookmarkStart w:id="85" w:name="_Toc53235382"/>
      <w:bookmarkStart w:id="86" w:name="_Toc74150973"/>
      <w:r>
        <w:rPr>
          <w:rFonts w:hint="eastAsia" w:ascii="宋体" w:hAnsi="宋体" w:cs="宋体"/>
          <w:color w:val="000000"/>
          <w:szCs w:val="36"/>
        </w:rPr>
        <w:t>4 主导产业发展目标与布局</w:t>
      </w:r>
      <w:bookmarkEnd w:id="85"/>
      <w:bookmarkEnd w:id="86"/>
    </w:p>
    <w:p>
      <w:pPr>
        <w:pStyle w:val="4"/>
      </w:pPr>
      <w:bookmarkStart w:id="87" w:name="_Toc53235383"/>
      <w:bookmarkStart w:id="88" w:name="_Toc74150974"/>
      <w:r>
        <w:t>4.1</w:t>
      </w:r>
      <w:r>
        <w:rPr>
          <w:rFonts w:hint="eastAsia"/>
        </w:rPr>
        <w:t>粮食产业</w:t>
      </w:r>
      <w:bookmarkEnd w:id="87"/>
      <w:bookmarkEnd w:id="88"/>
    </w:p>
    <w:p>
      <w:pPr>
        <w:pStyle w:val="5"/>
        <w:spacing w:line="360" w:lineRule="auto"/>
        <w:rPr>
          <w:rFonts w:asciiTheme="majorEastAsia" w:hAnsiTheme="majorEastAsia" w:eastAsiaTheme="majorEastAsia"/>
          <w:szCs w:val="30"/>
        </w:rPr>
      </w:pPr>
      <w:bookmarkStart w:id="89" w:name="_Toc74150975"/>
      <w:bookmarkStart w:id="90" w:name="_Toc11634"/>
      <w:r>
        <w:rPr>
          <w:rFonts w:hint="eastAsia" w:asciiTheme="majorEastAsia" w:hAnsiTheme="majorEastAsia" w:eastAsiaTheme="majorEastAsia"/>
          <w:szCs w:val="30"/>
        </w:rPr>
        <w:t>4</w:t>
      </w:r>
      <w:r>
        <w:rPr>
          <w:rFonts w:asciiTheme="majorEastAsia" w:hAnsiTheme="majorEastAsia" w:eastAsiaTheme="majorEastAsia"/>
          <w:szCs w:val="30"/>
        </w:rPr>
        <w:t>.1.</w:t>
      </w:r>
      <w:r>
        <w:rPr>
          <w:rFonts w:hint="eastAsia" w:asciiTheme="majorEastAsia" w:hAnsiTheme="majorEastAsia" w:eastAsiaTheme="majorEastAsia"/>
          <w:szCs w:val="30"/>
        </w:rPr>
        <w:t>1发展目标</w:t>
      </w:r>
      <w:bookmarkEnd w:id="89"/>
      <w:bookmarkEnd w:id="90"/>
    </w:p>
    <w:p>
      <w:pPr>
        <w:spacing w:line="360" w:lineRule="auto"/>
        <w:ind w:firstLine="560" w:firstLineChars="200"/>
        <w:rPr>
          <w:rFonts w:ascii="宋体" w:cs="宋体"/>
          <w:color w:val="000000"/>
          <w:sz w:val="28"/>
          <w:szCs w:val="28"/>
          <w:shd w:val="clear" w:color="auto" w:fill="FFFFFF"/>
        </w:rPr>
      </w:pPr>
      <w:r>
        <w:rPr>
          <w:rFonts w:hint="eastAsia" w:ascii="宋体" w:hAnsi="宋体" w:cs="宋体"/>
          <w:sz w:val="28"/>
          <w:szCs w:val="28"/>
          <w:shd w:val="clear" w:color="auto" w:fill="FFFFFF"/>
        </w:rPr>
        <w:t>守住国家粮食安全底线，落实藏粮于地、藏粮于技战略。牢牢把住粮食安全主动权，稳定粮食播种面积，抓好田间管理，着力提高粮食生产效益。以高产创建作平台，科技创新为支撑，推广科技增粮，良种良法；鼓励耕地流转，适度规模经营；着力提高单产水平和复种指数，提升粮食品质和总产。到</w:t>
      </w:r>
      <w:r>
        <w:rPr>
          <w:rFonts w:ascii="宋体" w:hAnsi="宋体" w:cs="宋体"/>
          <w:sz w:val="28"/>
          <w:szCs w:val="28"/>
          <w:shd w:val="clear" w:color="auto" w:fill="FFFFFF"/>
        </w:rPr>
        <w:t>2025</w:t>
      </w:r>
      <w:r>
        <w:rPr>
          <w:rFonts w:hint="eastAsia" w:ascii="宋体" w:hAnsi="宋体" w:cs="宋体"/>
          <w:sz w:val="28"/>
          <w:szCs w:val="28"/>
          <w:shd w:val="clear" w:color="auto" w:fill="FFFFFF"/>
        </w:rPr>
        <w:t>年，粮食播种面积稳定在</w:t>
      </w:r>
      <w:r>
        <w:rPr>
          <w:rFonts w:ascii="宋体" w:hAnsi="宋体" w:cs="宋体"/>
          <w:sz w:val="28"/>
          <w:szCs w:val="28"/>
          <w:shd w:val="clear" w:color="auto" w:fill="FFFFFF"/>
        </w:rPr>
        <w:t>1</w:t>
      </w:r>
      <w:r>
        <w:rPr>
          <w:rFonts w:hint="eastAsia" w:ascii="宋体" w:hAnsi="宋体" w:cs="宋体"/>
          <w:sz w:val="28"/>
          <w:szCs w:val="28"/>
          <w:shd w:val="clear" w:color="auto" w:fill="FFFFFF"/>
        </w:rPr>
        <w:t>8.3万亩（其中：大春粮食播种面积9.8万亩，小春粮</w:t>
      </w:r>
      <w:r>
        <w:rPr>
          <w:rFonts w:hint="eastAsia" w:ascii="宋体" w:hAnsi="宋体" w:cs="宋体"/>
          <w:color w:val="000000"/>
          <w:sz w:val="28"/>
          <w:szCs w:val="28"/>
          <w:shd w:val="clear" w:color="auto" w:fill="FFFFFF"/>
        </w:rPr>
        <w:t>食播种面积8.5万亩），粮食总产量稳定在5.1万吨以上，粮食作物品种良种全覆盖，高标准建设基础设施、高起点调整产业结构、高水平推进产业发展，建成优质粮食生产基地。</w:t>
      </w:r>
    </w:p>
    <w:p>
      <w:pPr>
        <w:pStyle w:val="5"/>
        <w:spacing w:line="360" w:lineRule="auto"/>
        <w:rPr>
          <w:rFonts w:asciiTheme="majorEastAsia" w:hAnsiTheme="majorEastAsia" w:eastAsiaTheme="majorEastAsia"/>
          <w:szCs w:val="30"/>
        </w:rPr>
      </w:pPr>
      <w:bookmarkStart w:id="91" w:name="_Toc74150976"/>
      <w:bookmarkStart w:id="92" w:name="_Toc11801"/>
      <w:r>
        <w:rPr>
          <w:rFonts w:hint="eastAsia" w:asciiTheme="majorEastAsia" w:hAnsiTheme="majorEastAsia" w:eastAsiaTheme="majorEastAsia"/>
          <w:szCs w:val="30"/>
        </w:rPr>
        <w:t>4</w:t>
      </w:r>
      <w:r>
        <w:rPr>
          <w:rFonts w:asciiTheme="majorEastAsia" w:hAnsiTheme="majorEastAsia" w:eastAsiaTheme="majorEastAsia"/>
          <w:szCs w:val="30"/>
        </w:rPr>
        <w:t>.1.</w:t>
      </w:r>
      <w:r>
        <w:rPr>
          <w:rFonts w:hint="eastAsia" w:asciiTheme="majorEastAsia" w:hAnsiTheme="majorEastAsia" w:eastAsiaTheme="majorEastAsia"/>
          <w:szCs w:val="30"/>
        </w:rPr>
        <w:t>2产业布局</w:t>
      </w:r>
      <w:bookmarkEnd w:id="91"/>
      <w:bookmarkEnd w:id="92"/>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sz w:val="28"/>
          <w:szCs w:val="28"/>
          <w:shd w:val="clear" w:color="auto" w:fill="FFFFFF"/>
        </w:rPr>
        <w:t>优化粮食生产空间布局。以小街镇、牛栏江镇及牛栏江河道两侧的优质粮食区为创建重点区域，突出抓好高标准农田建设、农业机械推进和农业科技推广服务能力提升三大重点建设内容；以杨林镇、小街镇、牛栏江镇的山区、半山区为突破，重点进行高标准农田建设、良种覆盖工作，发展优质特色小杂粮作物区；杨林镇核桃、落水一带和牛栏江镇的荒田、大</w:t>
      </w:r>
      <w:r>
        <w:rPr>
          <w:rFonts w:hint="eastAsia" w:ascii="宋体" w:hAnsi="宋体" w:cs="宋体"/>
          <w:color w:val="000000"/>
          <w:sz w:val="28"/>
          <w:szCs w:val="28"/>
          <w:shd w:val="clear" w:color="auto" w:fill="FFFFFF"/>
        </w:rPr>
        <w:t>箐、坝子边缘半山区以发展规模化畜牧养殖为契机，发展优质玉米种植区，促进粮牧互动发展，粮食基地与养殖基地有机融合，实现粮食产业经济效益、社会效益和生态效益协调发展，以巩固脱贫成果，助力乡村振兴。</w:t>
      </w:r>
    </w:p>
    <w:p>
      <w:pPr>
        <w:spacing w:line="360" w:lineRule="auto"/>
        <w:ind w:firstLine="562" w:firstLineChars="200"/>
        <w:rPr>
          <w:rFonts w:ascii="宋体" w:cs="宋体"/>
          <w:b/>
          <w:bCs/>
          <w:sz w:val="28"/>
          <w:szCs w:val="28"/>
          <w:shd w:val="clear" w:color="auto" w:fill="FFFFFF"/>
        </w:rPr>
      </w:pPr>
      <w:r>
        <w:rPr>
          <w:rFonts w:hint="eastAsia" w:ascii="宋体" w:hAnsi="宋体" w:cs="宋体"/>
          <w:b/>
          <w:color w:val="000000"/>
          <w:sz w:val="28"/>
          <w:szCs w:val="28"/>
          <w:shd w:val="clear" w:color="auto" w:fill="FFFFFF"/>
        </w:rPr>
        <w:t>水稻（旱稻）</w:t>
      </w:r>
      <w:r>
        <w:rPr>
          <w:rFonts w:hint="eastAsia" w:ascii="宋体" w:hAnsi="宋体" w:cs="宋体"/>
          <w:color w:val="000000"/>
          <w:sz w:val="28"/>
          <w:szCs w:val="28"/>
          <w:shd w:val="clear" w:color="auto" w:fill="FFFFFF"/>
        </w:rPr>
        <w:t>：结合嵩明县“一江八河”治理项目的推进，发展优质水</w:t>
      </w:r>
      <w:r>
        <w:rPr>
          <w:rFonts w:hint="eastAsia" w:ascii="宋体" w:hAnsi="宋体" w:cs="宋体"/>
          <w:sz w:val="28"/>
          <w:szCs w:val="28"/>
          <w:shd w:val="clear" w:color="auto" w:fill="FFFFFF"/>
        </w:rPr>
        <w:t>稻种植。扩大优质云粳系列水稻种植面积。在确保粮食安全的前提下，稳步推进旱稻发展。“十四五”期间，解决好水旱轮作休耕技术的推广力度，在嵩阳、杨桥、杨林、小街、牛栏江推广种植千亩。着力提高单产水平和复种指数，提升粮食品质和总产。</w:t>
      </w:r>
    </w:p>
    <w:p>
      <w:pPr>
        <w:spacing w:line="360" w:lineRule="auto"/>
        <w:ind w:firstLine="562" w:firstLineChars="200"/>
        <w:rPr>
          <w:rFonts w:ascii="宋体" w:cs="宋体"/>
          <w:color w:val="000000"/>
          <w:sz w:val="28"/>
          <w:szCs w:val="28"/>
          <w:shd w:val="clear" w:color="auto" w:fill="FFFFFF"/>
        </w:rPr>
      </w:pPr>
      <w:r>
        <w:rPr>
          <w:rFonts w:hint="eastAsia" w:ascii="宋体" w:hAnsi="宋体" w:cs="宋体"/>
          <w:b/>
          <w:bCs/>
          <w:sz w:val="28"/>
          <w:szCs w:val="28"/>
          <w:shd w:val="clear" w:color="auto" w:fill="FFFFFF"/>
        </w:rPr>
        <w:t>玉米：</w:t>
      </w:r>
      <w:r>
        <w:rPr>
          <w:rFonts w:hint="eastAsia" w:ascii="宋体" w:hAnsi="宋体" w:cs="宋体"/>
          <w:sz w:val="28"/>
          <w:szCs w:val="28"/>
          <w:shd w:val="clear" w:color="auto" w:fill="FFFFFF"/>
        </w:rPr>
        <w:t>种植面积稳定在7</w:t>
      </w:r>
      <w:r>
        <w:rPr>
          <w:rFonts w:ascii="宋体" w:hAnsi="宋体" w:cs="宋体"/>
          <w:sz w:val="28"/>
          <w:szCs w:val="28"/>
          <w:shd w:val="clear" w:color="auto" w:fill="FFFFFF"/>
        </w:rPr>
        <w:t>0000</w:t>
      </w:r>
      <w:r>
        <w:rPr>
          <w:rFonts w:hint="eastAsia" w:ascii="宋体" w:hAnsi="宋体" w:cs="宋体"/>
          <w:sz w:val="28"/>
          <w:szCs w:val="28"/>
          <w:shd w:val="clear" w:color="auto" w:fill="FFFFFF"/>
        </w:rPr>
        <w:t>亩。推广种植优质高效的高杆大穗型、</w:t>
      </w:r>
      <w:r>
        <w:rPr>
          <w:rFonts w:hint="eastAsia" w:ascii="宋体" w:hAnsi="宋体" w:cs="宋体"/>
          <w:color w:val="000000"/>
          <w:sz w:val="28"/>
          <w:szCs w:val="28"/>
          <w:shd w:val="clear" w:color="auto" w:fill="FFFFFF"/>
        </w:rPr>
        <w:t>抗病性、抗寒性强的品种。增加鲜食玉米种植面积，重点在嵩阳、杨桥、杨林水源条件较好的乡镇推广种植甜玉米、糯玉米万亩种植。保障产品供给，满足消费需求。</w:t>
      </w:r>
    </w:p>
    <w:p>
      <w:pPr>
        <w:pStyle w:val="52"/>
        <w:spacing w:line="360" w:lineRule="auto"/>
        <w:ind w:firstLine="562"/>
        <w:rPr>
          <w:rFonts w:ascii="宋体" w:hAnsi="宋体" w:cs="宋体"/>
          <w:color w:val="000000"/>
          <w:sz w:val="28"/>
          <w:szCs w:val="28"/>
          <w:shd w:val="clear" w:color="auto" w:fill="FFFFFF"/>
        </w:rPr>
      </w:pPr>
      <w:r>
        <w:rPr>
          <w:rFonts w:hint="eastAsia" w:ascii="宋体" w:hAnsi="宋体" w:cs="宋体"/>
          <w:b/>
          <w:bCs/>
          <w:color w:val="000000"/>
          <w:sz w:val="28"/>
          <w:szCs w:val="28"/>
          <w:shd w:val="clear" w:color="auto" w:fill="FFFFFF"/>
        </w:rPr>
        <w:t>特色小杂粮作物：</w:t>
      </w:r>
      <w:r>
        <w:rPr>
          <w:rFonts w:hint="eastAsia" w:ascii="宋体" w:hAnsi="宋体" w:cs="宋体"/>
          <w:color w:val="000000"/>
          <w:sz w:val="28"/>
          <w:szCs w:val="28"/>
          <w:shd w:val="clear" w:color="auto" w:fill="FFFFFF"/>
        </w:rPr>
        <w:t>在山半区以套种为主，推广种植特色小杂粮，重点以特色小杂豆（小白豆、红腰子豆、豌豆、大白芸豆）、牛栏江小新街片区的荞麦、藜麦等特色小品种进行推广，规划万亩种植计划。提高复种指数，增加单产和总产。满足消费者健康需求。</w:t>
      </w:r>
    </w:p>
    <w:p>
      <w:pPr>
        <w:pStyle w:val="5"/>
        <w:spacing w:line="360" w:lineRule="auto"/>
        <w:rPr>
          <w:rFonts w:asciiTheme="majorEastAsia" w:hAnsiTheme="majorEastAsia" w:eastAsiaTheme="majorEastAsia"/>
          <w:szCs w:val="30"/>
        </w:rPr>
      </w:pPr>
      <w:bookmarkStart w:id="93" w:name="_Toc74150977"/>
      <w:bookmarkStart w:id="94" w:name="_Toc20574"/>
      <w:r>
        <w:rPr>
          <w:rFonts w:hint="eastAsia" w:asciiTheme="majorEastAsia" w:hAnsiTheme="majorEastAsia" w:eastAsiaTheme="majorEastAsia"/>
          <w:szCs w:val="30"/>
        </w:rPr>
        <w:t>4</w:t>
      </w:r>
      <w:r>
        <w:rPr>
          <w:rFonts w:asciiTheme="majorEastAsia" w:hAnsiTheme="majorEastAsia" w:eastAsiaTheme="majorEastAsia"/>
          <w:szCs w:val="30"/>
        </w:rPr>
        <w:t>.1.</w:t>
      </w:r>
      <w:r>
        <w:rPr>
          <w:rFonts w:hint="eastAsia" w:asciiTheme="majorEastAsia" w:hAnsiTheme="majorEastAsia" w:eastAsiaTheme="majorEastAsia"/>
          <w:szCs w:val="30"/>
        </w:rPr>
        <w:t>3发展措施</w:t>
      </w:r>
      <w:bookmarkEnd w:id="93"/>
      <w:bookmarkEnd w:id="94"/>
    </w:p>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1）设施保粮</w:t>
      </w:r>
    </w:p>
    <w:p>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夯实农田基础设施，建设高标准农田。积极争取国家、省、市财政资金，加快高标准农田建设进程，提高农田基础设施水平和综合生产能力。采用现代农业设施技术，提高粮食总产，保障粮食基本自给。</w:t>
      </w:r>
    </w:p>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2)种业为先</w:t>
      </w:r>
    </w:p>
    <w:p>
      <w:pPr>
        <w:spacing w:line="360" w:lineRule="auto"/>
        <w:ind w:firstLine="560" w:firstLineChars="200"/>
      </w:pPr>
      <w:r>
        <w:rPr>
          <w:rFonts w:hint="eastAsia" w:ascii="宋体" w:hAnsi="宋体" w:cs="宋体"/>
          <w:color w:val="000000"/>
          <w:sz w:val="28"/>
          <w:szCs w:val="28"/>
          <w:shd w:val="clear" w:color="auto" w:fill="FFFFFF"/>
        </w:rPr>
        <w:t>进一步加强与科研院校及其他研发机构的合作，建立合作平台，完善激励机制，鼓励先进研发机构入嵩，开发选育新品种，增强嵩明种业实力，优化粮食作物品种，重现嵩明县“鱼米之乡”风貌。</w:t>
      </w:r>
    </w:p>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3）科技增粮</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以科技创新为引领，实施高产创建、间套种技术推广、测土配方施肥、地膜覆盖、专业化统防统治与绿色防控等重点项目，推广优良品种；提高综合高效配套生产技术到位率，标准化技术、病虫害绿色防控技术应用率，良种良法推广应用率，科技成果转化率；加大培训力度，提高农户综合生产技术水平。</w:t>
      </w:r>
    </w:p>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4）工程稳粮</w:t>
      </w:r>
    </w:p>
    <w:p>
      <w:pPr>
        <w:spacing w:line="360" w:lineRule="auto"/>
        <w:ind w:firstLine="560" w:firstLineChars="200"/>
        <w:rPr>
          <w:color w:val="E46C0A" w:themeColor="accent6" w:themeShade="BF"/>
        </w:rPr>
      </w:pPr>
      <w:r>
        <w:rPr>
          <w:rFonts w:hint="eastAsia" w:ascii="宋体" w:hAnsi="宋体" w:cs="宋体"/>
          <w:color w:val="000000"/>
          <w:sz w:val="28"/>
          <w:szCs w:val="28"/>
          <w:shd w:val="clear" w:color="auto" w:fill="FFFFFF"/>
        </w:rPr>
        <w:t>加大农田基础设施建设投入，通过修建渠道、机耕路、改良土壤、高效节水等工程，实现灌渠相通、路相连、旱能灌、涝能排。通过农机深松整地作业，秸秆覆盖还田，种植绿肥，加厚耕作层，实现耕作培肥；因地制宜，选育、种植耐瘠耐旱作物；配套节水灌溉设施，大力推广以蓄水、保水、调水、集水、节水为主的旱作农业技术。</w:t>
      </w:r>
    </w:p>
    <w:p>
      <w:pPr>
        <w:pStyle w:val="52"/>
        <w:spacing w:line="360" w:lineRule="auto"/>
        <w:ind w:firstLine="562"/>
        <w:rPr>
          <w:rFonts w:ascii="宋体" w:hAnsi="宋体" w:cs="宋体"/>
          <w:b/>
          <w:bCs/>
          <w:color w:val="000000"/>
          <w:sz w:val="28"/>
          <w:szCs w:val="28"/>
          <w:shd w:val="clear" w:color="auto" w:fill="FFFFFF"/>
        </w:rPr>
      </w:pPr>
      <w:bookmarkStart w:id="95" w:name="_Toc53235391"/>
      <w:r>
        <w:rPr>
          <w:rFonts w:hint="eastAsia" w:ascii="宋体" w:hAnsi="宋体" w:cs="宋体"/>
          <w:b/>
          <w:bCs/>
          <w:color w:val="000000"/>
          <w:sz w:val="28"/>
          <w:szCs w:val="28"/>
          <w:shd w:val="clear" w:color="auto" w:fill="FFFFFF"/>
        </w:rPr>
        <w:t>5）提倡规模化经营</w:t>
      </w:r>
      <w:bookmarkEnd w:id="95"/>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引导农户流转耕地，将剩余耕地流转给种植大户、家庭农场、专业合作社等新型农业经营主体，发展规模化标准化种植，提高农产品竞争力。充分运用外出务工人员增多导致闲置土地增多的现状，鼓励农户土地流转，发展规模化种植。</w:t>
      </w:r>
    </w:p>
    <w:p>
      <w:pPr>
        <w:pStyle w:val="4"/>
      </w:pPr>
      <w:bookmarkStart w:id="96" w:name="_Toc74150978"/>
      <w:bookmarkStart w:id="97" w:name="_Toc53235392"/>
      <w:r>
        <w:t>4.2</w:t>
      </w:r>
      <w:r>
        <w:rPr>
          <w:rFonts w:hint="eastAsia"/>
        </w:rPr>
        <w:t>蔬菜产业</w:t>
      </w:r>
      <w:bookmarkEnd w:id="96"/>
      <w:bookmarkEnd w:id="97"/>
    </w:p>
    <w:p>
      <w:pPr>
        <w:pStyle w:val="5"/>
        <w:spacing w:line="360" w:lineRule="auto"/>
        <w:rPr>
          <w:rFonts w:asciiTheme="majorEastAsia" w:hAnsiTheme="majorEastAsia" w:eastAsiaTheme="majorEastAsia"/>
          <w:szCs w:val="30"/>
        </w:rPr>
      </w:pPr>
      <w:bookmarkStart w:id="98" w:name="_Toc53235393"/>
      <w:bookmarkStart w:id="99" w:name="_Toc74150979"/>
      <w:r>
        <w:rPr>
          <w:rFonts w:hint="eastAsia" w:asciiTheme="majorEastAsia" w:hAnsiTheme="majorEastAsia" w:eastAsiaTheme="majorEastAsia"/>
          <w:szCs w:val="30"/>
        </w:rPr>
        <w:t>4</w:t>
      </w:r>
      <w:r>
        <w:rPr>
          <w:rFonts w:asciiTheme="majorEastAsia" w:hAnsiTheme="majorEastAsia" w:eastAsiaTheme="majorEastAsia"/>
          <w:szCs w:val="30"/>
        </w:rPr>
        <w:t>.2.1</w:t>
      </w:r>
      <w:r>
        <w:rPr>
          <w:rFonts w:hint="eastAsia" w:asciiTheme="majorEastAsia" w:hAnsiTheme="majorEastAsia" w:eastAsiaTheme="majorEastAsia"/>
          <w:szCs w:val="30"/>
        </w:rPr>
        <w:t>发展目标</w:t>
      </w:r>
      <w:bookmarkEnd w:id="98"/>
      <w:bookmarkEnd w:id="99"/>
    </w:p>
    <w:p>
      <w:pPr>
        <w:spacing w:line="360" w:lineRule="auto"/>
        <w:ind w:firstLine="560" w:firstLineChars="200"/>
        <w:rPr>
          <w:rFonts w:ascii="仿宋_GB2312" w:eastAsia="仿宋_GB2312"/>
          <w:color w:val="E46C0A" w:themeColor="accent6" w:themeShade="BF"/>
          <w:sz w:val="30"/>
          <w:szCs w:val="30"/>
        </w:rPr>
      </w:pPr>
      <w:r>
        <w:rPr>
          <w:rFonts w:hint="eastAsia" w:ascii="宋体" w:hAnsi="宋体" w:cs="宋体"/>
          <w:color w:val="000000"/>
          <w:sz w:val="28"/>
          <w:szCs w:val="28"/>
          <w:shd w:val="clear" w:color="auto" w:fill="FFFFFF"/>
        </w:rPr>
        <w:t>围绕云南省打造世界一流“绿色食品牌”的目标，以绿色发展为主要任务，建设“设施精品蔬菜、山地生态蔬菜、优质设施蔬菜和出口创汇蔬菜”四个绿色产区，以冷链物流、精深加工、市场主体为支撑，推行“绿色优质高效创建、强化社会化服务、全冷链条产业融合发展”模式，力争在“十四五”期间建成全国主要的“南菜北运”“西菜东运”精品蔬菜生产基地，“西南蔬菜加工贸易中心”，“云菜”标准化出口创汇蔬菜生产基地，打造“嵩明蔬菜”绿色食品牌。</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随着“十三五”的圆满收官，嵩明“一县一业”的创建，牛栏江流域保护行动的大力推进，嵩明县既要发展蔬菜产业，又要保护牛栏江流域的安全，这对嵩明县的蔬菜产业发展提出了更高的要求。因此，嵩明县的蔬菜产业发展必须突出生态优势，走高端路线，着力提质增效，发展精品蔬菜。</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紧紧抓住牛栏江流域保护带来的农业产业结构调整及蔬菜产业提质增效的机遇，按照“高产、优质、高效、生态、安全”的总体要求，加快全县优质生态蔬菜发展步伐，在基地建设、品牌建设、标准化建设和科技研发、贸易加工等方面进行重点突破，实现蔬菜生产跨越式发展。重点加强绿色、有机标准化蔬菜生产基地、外向型出口蔬菜基地等建设，创建一批高档蔬菜生产示范区，促进蔬菜生产向高端化方向发展，立足于将嵩明县的蔬菜产业发展成为“绿色蔬菜”产业。坚持以经济效益为中心，以市场为导向，以龙头企业带动为手段，采用多种模式，构建一个集蔬菜标准化生产、精致化加工、品牌化销售有机衔接，科技推广与示范、质量安全、市场服务、风险防范全面配套的现代蔬菜产业体系。</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在现有蔬菜产业发展的基础上，到2025年，为有效保护土壤、气候、生态环境不被破坏，蔬菜产业的发展应以露地蔬菜为主，严控大棚蔬菜种植面积，全县的蔬菜种植总面积控制在11万亩以内。年蔬菜播种面积达到70万亩（含复种指数），其中，设施蔬菜（大棚）种植面积控制在10.7万亩以下。蔬菜总产量200万吨，总产值达30亿元，外销量占总产的95%以上。蔬菜良种覆盖率达100%，标准化技术覆盖率90%以上，推广绿色蔬菜种植技术面积达到80%以上。绿色有机基地面积1万亩以上；培育销售收入达1亿元以上龙头企业3家；从事蔬菜产业的家庭农场、农民专业合作社覆盖种植面积50%以上；省级以上示范社15家以上；蔬菜产业农业产值平均增幅11.2%，加工产值平均增幅18.6%，龙头企业销售收入平均增幅6.8%。通过高标准和设施化、规模化常年蔬菜基地建设，形成整套绿色、有机蔬菜生产技术操作规程，培育嵩明蔬菜这一“绿色食品牌”名牌产品，蔬菜产业链有效延长，蔬菜产品市场竞争力大幅提升。</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为深入贯彻落实省委、省政府打造世界一流“绿色食品牌”的决策部署以及市委、市政府相关要求，</w:t>
      </w:r>
      <w:r>
        <w:rPr>
          <w:rFonts w:hint="eastAsia" w:ascii="宋体" w:hAnsi="宋体" w:cs="宋体"/>
          <w:color w:val="000000"/>
          <w:sz w:val="28"/>
          <w:szCs w:val="28"/>
          <w:shd w:val="clear" w:color="auto" w:fill="FFFFFF"/>
        </w:rPr>
        <w:t>我县坚持</w:t>
      </w:r>
      <w:r>
        <w:rPr>
          <w:rFonts w:ascii="宋体" w:hAnsi="宋体" w:cs="宋体"/>
          <w:color w:val="000000"/>
          <w:sz w:val="28"/>
          <w:szCs w:val="28"/>
          <w:shd w:val="clear" w:color="auto" w:fill="FFFFFF"/>
        </w:rPr>
        <w:t>以提升“五化”水平为重点，</w:t>
      </w:r>
      <w:r>
        <w:rPr>
          <w:rFonts w:hint="eastAsia" w:ascii="宋体" w:hAnsi="宋体" w:cs="宋体"/>
          <w:color w:val="000000"/>
          <w:sz w:val="28"/>
          <w:szCs w:val="28"/>
          <w:shd w:val="clear" w:color="auto" w:fill="FFFFFF"/>
        </w:rPr>
        <w:t>以</w:t>
      </w:r>
      <w:r>
        <w:rPr>
          <w:rFonts w:ascii="宋体" w:hAnsi="宋体" w:cs="宋体"/>
          <w:color w:val="000000"/>
          <w:sz w:val="28"/>
          <w:szCs w:val="28"/>
          <w:shd w:val="clear" w:color="auto" w:fill="FFFFFF"/>
        </w:rPr>
        <w:t>创建</w:t>
      </w:r>
      <w:r>
        <w:rPr>
          <w:rFonts w:hint="eastAsia" w:ascii="宋体" w:hAnsi="宋体" w:cs="宋体"/>
          <w:color w:val="000000"/>
          <w:sz w:val="28"/>
          <w:szCs w:val="28"/>
          <w:shd w:val="clear" w:color="auto" w:fill="FFFFFF"/>
        </w:rPr>
        <w:t>“</w:t>
      </w:r>
      <w:r>
        <w:rPr>
          <w:rFonts w:ascii="宋体" w:hAnsi="宋体" w:cs="宋体"/>
          <w:color w:val="000000"/>
          <w:sz w:val="28"/>
          <w:szCs w:val="28"/>
          <w:shd w:val="clear" w:color="auto" w:fill="FFFFFF"/>
        </w:rPr>
        <w:t>一县一业</w:t>
      </w:r>
      <w:r>
        <w:rPr>
          <w:rFonts w:hint="eastAsia" w:ascii="宋体" w:hAnsi="宋体" w:cs="宋体"/>
          <w:color w:val="000000"/>
          <w:sz w:val="28"/>
          <w:szCs w:val="28"/>
          <w:shd w:val="clear" w:color="auto" w:fill="FFFFFF"/>
        </w:rPr>
        <w:t>”</w:t>
      </w:r>
      <w:r>
        <w:rPr>
          <w:rFonts w:ascii="宋体" w:hAnsi="宋体" w:cs="宋体"/>
          <w:color w:val="000000"/>
          <w:sz w:val="28"/>
          <w:szCs w:val="28"/>
          <w:shd w:val="clear" w:color="auto" w:fill="FFFFFF"/>
        </w:rPr>
        <w:t>蔬菜产业示范县</w:t>
      </w:r>
      <w:r>
        <w:rPr>
          <w:rFonts w:hint="eastAsia" w:ascii="宋体" w:hAnsi="宋体" w:cs="宋体"/>
          <w:color w:val="000000"/>
          <w:sz w:val="28"/>
          <w:szCs w:val="28"/>
          <w:shd w:val="clear" w:color="auto" w:fill="FFFFFF"/>
        </w:rPr>
        <w:t>为抓手</w:t>
      </w:r>
      <w:r>
        <w:rPr>
          <w:rFonts w:ascii="宋体" w:hAnsi="宋体" w:cs="宋体"/>
          <w:color w:val="000000"/>
          <w:sz w:val="28"/>
          <w:szCs w:val="28"/>
          <w:shd w:val="clear" w:color="auto" w:fill="FFFFFF"/>
        </w:rPr>
        <w:t>，</w:t>
      </w:r>
      <w:r>
        <w:rPr>
          <w:rFonts w:hint="eastAsia" w:ascii="宋体" w:hAnsi="宋体" w:cs="宋体"/>
          <w:color w:val="000000"/>
          <w:sz w:val="28"/>
          <w:szCs w:val="28"/>
          <w:shd w:val="clear" w:color="auto" w:fill="FFFFFF"/>
        </w:rPr>
        <w:t>围绕农业生产设施化、有机化、数字化工作目标，</w:t>
      </w:r>
      <w:r>
        <w:rPr>
          <w:rFonts w:ascii="宋体" w:hAnsi="宋体" w:cs="宋体"/>
          <w:color w:val="000000"/>
          <w:sz w:val="28"/>
          <w:szCs w:val="28"/>
          <w:shd w:val="clear" w:color="auto" w:fill="FFFFFF"/>
        </w:rPr>
        <w:t>打造</w:t>
      </w:r>
      <w:r>
        <w:rPr>
          <w:rFonts w:hint="eastAsia" w:ascii="宋体" w:hAnsi="宋体" w:cs="宋体"/>
          <w:color w:val="000000"/>
          <w:sz w:val="28"/>
          <w:szCs w:val="28"/>
          <w:shd w:val="clear" w:color="auto" w:fill="FFFFFF"/>
        </w:rPr>
        <w:t>“</w:t>
      </w:r>
      <w:r>
        <w:rPr>
          <w:rFonts w:ascii="宋体" w:hAnsi="宋体" w:cs="宋体"/>
          <w:color w:val="000000"/>
          <w:sz w:val="28"/>
          <w:szCs w:val="28"/>
          <w:shd w:val="clear" w:color="auto" w:fill="FFFFFF"/>
        </w:rPr>
        <w:t>嵩明蔬菜</w:t>
      </w:r>
      <w:r>
        <w:rPr>
          <w:rFonts w:hint="eastAsia" w:ascii="宋体" w:hAnsi="宋体" w:cs="宋体"/>
          <w:color w:val="000000"/>
          <w:sz w:val="28"/>
          <w:szCs w:val="28"/>
          <w:shd w:val="clear" w:color="auto" w:fill="FFFFFF"/>
        </w:rPr>
        <w:t>”</w:t>
      </w:r>
      <w:r>
        <w:rPr>
          <w:rFonts w:ascii="宋体" w:hAnsi="宋体" w:cs="宋体"/>
          <w:color w:val="000000"/>
          <w:sz w:val="28"/>
          <w:szCs w:val="28"/>
          <w:shd w:val="clear" w:color="auto" w:fill="FFFFFF"/>
        </w:rPr>
        <w:t>绿色食品牌。</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一是提升规模化水平。到2022年，全县种植蔬菜</w:t>
      </w:r>
      <w:r>
        <w:rPr>
          <w:rFonts w:hint="eastAsia" w:ascii="宋体" w:hAnsi="宋体" w:cs="宋体"/>
          <w:color w:val="000000"/>
          <w:sz w:val="28"/>
          <w:szCs w:val="28"/>
          <w:shd w:val="clear" w:color="auto" w:fill="FFFFFF"/>
        </w:rPr>
        <w:t>70</w:t>
      </w:r>
      <w:r>
        <w:rPr>
          <w:rFonts w:ascii="宋体" w:hAnsi="宋体" w:cs="宋体"/>
          <w:color w:val="000000"/>
          <w:sz w:val="28"/>
          <w:szCs w:val="28"/>
          <w:shd w:val="clear" w:color="auto" w:fill="FFFFFF"/>
        </w:rPr>
        <w:t>万亩（含复种），总产量</w:t>
      </w:r>
      <w:r>
        <w:rPr>
          <w:rFonts w:hint="eastAsia" w:ascii="宋体" w:hAnsi="宋体" w:cs="宋体"/>
          <w:color w:val="000000"/>
          <w:sz w:val="28"/>
          <w:szCs w:val="28"/>
          <w:shd w:val="clear" w:color="auto" w:fill="FFFFFF"/>
        </w:rPr>
        <w:t>200</w:t>
      </w:r>
      <w:r>
        <w:rPr>
          <w:rFonts w:ascii="宋体" w:hAnsi="宋体" w:cs="宋体"/>
          <w:color w:val="000000"/>
          <w:sz w:val="28"/>
          <w:szCs w:val="28"/>
          <w:shd w:val="clear" w:color="auto" w:fill="FFFFFF"/>
        </w:rPr>
        <w:t>万吨，</w:t>
      </w:r>
      <w:r>
        <w:rPr>
          <w:rFonts w:hint="eastAsia" w:ascii="宋体" w:hAnsi="宋体" w:cs="宋体"/>
          <w:color w:val="000000"/>
          <w:sz w:val="28"/>
          <w:szCs w:val="28"/>
          <w:shd w:val="clear" w:color="auto" w:fill="FFFFFF"/>
        </w:rPr>
        <w:t>总</w:t>
      </w:r>
      <w:r>
        <w:rPr>
          <w:rFonts w:ascii="宋体" w:hAnsi="宋体" w:cs="宋体"/>
          <w:color w:val="000000"/>
          <w:sz w:val="28"/>
          <w:szCs w:val="28"/>
          <w:shd w:val="clear" w:color="auto" w:fill="FFFFFF"/>
        </w:rPr>
        <w:t>产值</w:t>
      </w:r>
      <w:r>
        <w:rPr>
          <w:rFonts w:hint="eastAsia" w:ascii="宋体" w:hAnsi="宋体" w:cs="宋体"/>
          <w:color w:val="000000"/>
          <w:sz w:val="28"/>
          <w:szCs w:val="28"/>
          <w:shd w:val="clear" w:color="auto" w:fill="FFFFFF"/>
        </w:rPr>
        <w:t>30</w:t>
      </w:r>
      <w:r>
        <w:rPr>
          <w:rFonts w:ascii="宋体" w:hAnsi="宋体" w:cs="宋体"/>
          <w:color w:val="000000"/>
          <w:sz w:val="28"/>
          <w:szCs w:val="28"/>
          <w:shd w:val="clear" w:color="auto" w:fill="FFFFFF"/>
        </w:rPr>
        <w:t>亿元。蔬菜主导产业农业产值占农业总产值的比重将达61.9%，2022年蔬菜主导产业加工产值</w:t>
      </w:r>
      <w:r>
        <w:rPr>
          <w:rFonts w:hint="eastAsia" w:ascii="宋体" w:hAnsi="宋体" w:cs="宋体"/>
          <w:color w:val="000000"/>
          <w:sz w:val="28"/>
          <w:szCs w:val="28"/>
          <w:shd w:val="clear" w:color="auto" w:fill="FFFFFF"/>
        </w:rPr>
        <w:t>70</w:t>
      </w:r>
      <w:r>
        <w:rPr>
          <w:rFonts w:ascii="宋体" w:hAnsi="宋体" w:cs="宋体"/>
          <w:color w:val="000000"/>
          <w:sz w:val="28"/>
          <w:szCs w:val="28"/>
          <w:shd w:val="clear" w:color="auto" w:fill="FFFFFF"/>
        </w:rPr>
        <w:t>亿元</w:t>
      </w:r>
      <w:r>
        <w:rPr>
          <w:rFonts w:hint="eastAsia" w:ascii="宋体" w:hAnsi="宋体" w:cs="宋体"/>
          <w:color w:val="000000"/>
          <w:sz w:val="28"/>
          <w:szCs w:val="28"/>
          <w:shd w:val="clear" w:color="auto" w:fill="FFFFFF"/>
        </w:rPr>
        <w:t>，综合产值达100亿元</w:t>
      </w:r>
      <w:r>
        <w:rPr>
          <w:rFonts w:ascii="宋体" w:hAnsi="宋体" w:cs="宋体"/>
          <w:color w:val="000000"/>
          <w:sz w:val="28"/>
          <w:szCs w:val="28"/>
          <w:shd w:val="clear" w:color="auto" w:fill="FFFFFF"/>
        </w:rPr>
        <w:t>。</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二是提升组织化水平。到2022年</w:t>
      </w:r>
      <w:r>
        <w:rPr>
          <w:rFonts w:hint="eastAsia" w:ascii="宋体" w:hAnsi="宋体" w:cs="宋体"/>
          <w:color w:val="000000"/>
          <w:sz w:val="28"/>
          <w:szCs w:val="28"/>
          <w:shd w:val="clear" w:color="auto" w:fill="FFFFFF"/>
        </w:rPr>
        <w:t>，全县</w:t>
      </w:r>
      <w:r>
        <w:rPr>
          <w:rFonts w:ascii="宋体" w:hAnsi="宋体" w:cs="宋体"/>
          <w:color w:val="000000"/>
          <w:sz w:val="28"/>
          <w:szCs w:val="28"/>
          <w:shd w:val="clear" w:color="auto" w:fill="FFFFFF"/>
        </w:rPr>
        <w:t>从事蔬菜主导产业的市级以上农业产业化龙头企业</w:t>
      </w:r>
      <w:r>
        <w:rPr>
          <w:rFonts w:hint="eastAsia" w:ascii="宋体" w:hAnsi="宋体" w:cs="宋体"/>
          <w:color w:val="000000"/>
          <w:sz w:val="28"/>
          <w:szCs w:val="28"/>
          <w:shd w:val="clear" w:color="auto" w:fill="FFFFFF"/>
        </w:rPr>
        <w:t>达11</w:t>
      </w:r>
      <w:r>
        <w:rPr>
          <w:rFonts w:ascii="宋体" w:hAnsi="宋体" w:cs="宋体"/>
          <w:color w:val="000000"/>
          <w:sz w:val="28"/>
          <w:szCs w:val="28"/>
          <w:shd w:val="clear" w:color="auto" w:fill="FFFFFF"/>
        </w:rPr>
        <w:t>户</w:t>
      </w:r>
      <w:r>
        <w:rPr>
          <w:rFonts w:hint="eastAsia" w:ascii="宋体" w:hAnsi="宋体" w:cs="宋体"/>
          <w:color w:val="000000"/>
          <w:sz w:val="28"/>
          <w:szCs w:val="28"/>
          <w:shd w:val="clear" w:color="auto" w:fill="FFFFFF"/>
        </w:rPr>
        <w:t>，</w:t>
      </w:r>
      <w:r>
        <w:rPr>
          <w:rFonts w:ascii="宋体" w:hAnsi="宋体" w:cs="宋体"/>
          <w:color w:val="000000"/>
          <w:sz w:val="28"/>
          <w:szCs w:val="28"/>
          <w:shd w:val="clear" w:color="auto" w:fill="FFFFFF"/>
        </w:rPr>
        <w:t>销售收入达1亿元以上的农业龙头企业</w:t>
      </w:r>
      <w:r>
        <w:rPr>
          <w:rFonts w:hint="eastAsia" w:ascii="宋体" w:hAnsi="宋体" w:cs="宋体"/>
          <w:color w:val="000000"/>
          <w:sz w:val="28"/>
          <w:szCs w:val="28"/>
          <w:shd w:val="clear" w:color="auto" w:fill="FFFFFF"/>
        </w:rPr>
        <w:t>达7</w:t>
      </w:r>
      <w:r>
        <w:rPr>
          <w:rFonts w:ascii="宋体" w:hAnsi="宋体" w:cs="宋体"/>
          <w:color w:val="000000"/>
          <w:sz w:val="28"/>
          <w:szCs w:val="28"/>
          <w:shd w:val="clear" w:color="auto" w:fill="FFFFFF"/>
        </w:rPr>
        <w:t>户。</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三是提升专业化水平。到2022年从事蔬菜主导产业的家庭农场、农民专业合作社生产产量占蔬菜主导产业生产产量的比重预计达51.3%，从事蔬菜主导产业的市级以上农民专业合作社示范社达13个。</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四是提升绿色化水平。到2022年嵩明县将建成市级“绿色食品牌”绿色有机基地3个，绿色有机基地面积4000亩。</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五是提升品牌化水平。到2022年嵩明县培育蔬菜主导产业“三品一标”达27个，获省级“10大名品”和绿色食品“10强企业”、“20佳创新企业”表彰数量3个；获市级“10大名品”和绿色食品“10强企业”、“10佳创新企业”表彰数量3个。</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六是提升成长性水平。预计2020-2022年蔬菜主导产业农业产值平均增幅达13.6%，蔬菜主导产业加工产值平均增幅21.3%； 蔬菜主导产业龙头企业销售收入平均增幅</w:t>
      </w:r>
      <w:r>
        <w:rPr>
          <w:rFonts w:hint="eastAsia" w:ascii="宋体" w:hAnsi="宋体" w:cs="宋体"/>
          <w:color w:val="000000"/>
          <w:sz w:val="28"/>
          <w:szCs w:val="28"/>
          <w:shd w:val="clear" w:color="auto" w:fill="FFFFFF"/>
        </w:rPr>
        <w:t>13.9</w:t>
      </w:r>
      <w:r>
        <w:rPr>
          <w:rFonts w:ascii="宋体" w:hAnsi="宋体" w:cs="宋体"/>
          <w:color w:val="000000"/>
          <w:sz w:val="28"/>
          <w:szCs w:val="28"/>
          <w:shd w:val="clear" w:color="auto" w:fill="FFFFFF"/>
        </w:rPr>
        <w:t>%，蔬菜主导产业绿色化水平指标平均增幅20.1%。</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②分年度创建目标</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2020年目标</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规模化：新建山地精细蔬菜基地5000亩，打造标准化育苗基地200亩，提升改造冷链物流基地1个，培育绿色食品加工基地1个。</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专业化：打造“一村一品”专业村5个，新建8个快检中心，支持现有冷链物流设施设备的改造升级5个，组织15期绿色技术、质量安全、产品认证等专题培训，新建农产品交易中心1000亩。</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绿色化：完成绿色防控技术推广3万亩，完成有机肥示范推广2万亩，新增完成“三品一标”认证3个，组织制定地方标准1个，建设物联网示范点4个，建设质量可追溯体系1</w:t>
      </w:r>
      <w:r>
        <w:rPr>
          <w:rFonts w:hint="eastAsia" w:ascii="宋体" w:hAnsi="宋体" w:cs="宋体"/>
          <w:color w:val="000000"/>
          <w:sz w:val="28"/>
          <w:szCs w:val="28"/>
          <w:shd w:val="clear" w:color="auto" w:fill="FFFFFF"/>
        </w:rPr>
        <w:t>套</w:t>
      </w:r>
      <w:r>
        <w:rPr>
          <w:rFonts w:ascii="宋体" w:hAnsi="宋体" w:cs="宋体"/>
          <w:color w:val="000000"/>
          <w:sz w:val="28"/>
          <w:szCs w:val="28"/>
          <w:shd w:val="clear" w:color="auto" w:fill="FFFFFF"/>
        </w:rPr>
        <w:t>。</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组织化：培育市级及以上龙头企业1户，培育市级及以上专业合作社2个，培育家庭农场20个。</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市场化：打造企业品牌2个，打造产品品牌3个，组织企业参加展会4次，组织对接会4次，组织推介会3次，建设信息进村入户工程50个。</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2021年目标</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规模化：新建山地精细蔬菜基地5000亩，打造标准化育苗基地400亩，提升改造冷链物流基地1个，培育绿色食品加工基地1个。</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专业化：打造“一村一品”专业村5个，新建2个快检中心，支持现有冷链物流设施设备改造升级10个，组织15期绿色技术、质量安全、产品认证等专题培训，新建农产品交易中心400亩。</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绿色化：完成绿色防控技术推广3万亩，完成有机肥示范推广2万亩，完成“三品一标”认证5个，组织制定地方标准1个，建设物联网示范基地3个，建设嵩明县绿色产业发展中心1个，建设质量可追溯体系1套。</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组织化：培育市级及以上龙头企业</w:t>
      </w:r>
      <w:r>
        <w:rPr>
          <w:rFonts w:hint="eastAsia" w:ascii="宋体" w:hAnsi="宋体" w:cs="宋体"/>
          <w:color w:val="000000"/>
          <w:sz w:val="28"/>
          <w:szCs w:val="28"/>
          <w:shd w:val="clear" w:color="auto" w:fill="FFFFFF"/>
        </w:rPr>
        <w:t>3</w:t>
      </w:r>
      <w:r>
        <w:rPr>
          <w:rFonts w:ascii="宋体" w:hAnsi="宋体" w:cs="宋体"/>
          <w:color w:val="000000"/>
          <w:sz w:val="28"/>
          <w:szCs w:val="28"/>
          <w:shd w:val="clear" w:color="auto" w:fill="FFFFFF"/>
        </w:rPr>
        <w:t>户，培育市级及以上专业合作社2个，培育家庭农场30个。</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市场化：培育区域公共品牌1个，打造企业品牌2个，打造产品品牌3个，组织企业参加展会4次，组织对接会3次，组织推介会3次，建设电商平台1个，建设信息进村入户工程50个。</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2022年目标</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规模化：新建山地精细蔬菜基地5000亩，打造标准化育苗基地400亩，提升改造冷链物流基地1个，培育绿色食品加工基地1个。</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专业化：打造“一村一品”专业村5个，新建2个快检中心，支持现有冷链物流设施设备改造升级15个，组织15期绿色技术、质量安全、产品认证等专题培训，新建农产品交易中心100亩。</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绿色化：完成绿色防控技术推广3万亩，完成有机肥示范推广2万亩，完成“三品一标”认证7个，组织制定地方标准1个，建设物联网示范基地3个，建设质量可追溯体系1套。</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组织化：培育市级及以上龙头企业3户，培育市级及以上专业合作社</w:t>
      </w:r>
      <w:r>
        <w:rPr>
          <w:rFonts w:hint="eastAsia" w:ascii="宋体" w:hAnsi="宋体" w:cs="宋体"/>
          <w:color w:val="000000"/>
          <w:sz w:val="28"/>
          <w:szCs w:val="28"/>
          <w:shd w:val="clear" w:color="auto" w:fill="FFFFFF"/>
        </w:rPr>
        <w:t>2</w:t>
      </w:r>
      <w:r>
        <w:rPr>
          <w:rFonts w:ascii="宋体" w:hAnsi="宋体" w:cs="宋体"/>
          <w:color w:val="000000"/>
          <w:sz w:val="28"/>
          <w:szCs w:val="28"/>
          <w:shd w:val="clear" w:color="auto" w:fill="FFFFFF"/>
        </w:rPr>
        <w:t>个，培育家庭农场50个。</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t>市场化：打造区域公共品牌1个，打造企业品牌2个，打造产品品牌4个，组织企业参加展会4次，组织对接会3次，组织推介会3次，建设电商平台1个，建设信息进村入户工程48个。</w:t>
      </w:r>
    </w:p>
    <w:p>
      <w:pPr>
        <w:pStyle w:val="5"/>
        <w:spacing w:line="360" w:lineRule="auto"/>
        <w:rPr>
          <w:rFonts w:asciiTheme="majorEastAsia" w:hAnsiTheme="majorEastAsia" w:eastAsiaTheme="majorEastAsia"/>
          <w:szCs w:val="30"/>
        </w:rPr>
      </w:pPr>
      <w:bookmarkStart w:id="100" w:name="_Toc4428"/>
      <w:bookmarkStart w:id="101" w:name="_Toc74150980"/>
      <w:r>
        <w:rPr>
          <w:rFonts w:hint="eastAsia" w:asciiTheme="majorEastAsia" w:hAnsiTheme="majorEastAsia" w:eastAsiaTheme="majorEastAsia"/>
          <w:szCs w:val="30"/>
        </w:rPr>
        <w:t>4.2.2产业布局</w:t>
      </w:r>
      <w:bookmarkEnd w:id="100"/>
      <w:bookmarkEnd w:id="101"/>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目前嵩明形成了为全县蔬菜生产提供优良商品种苗的小街镇哈前村委会蔬菜育苗中心，以小街、嵩阳、杨桥、杨林为主的蔬菜标准化生产示范基地的格局。在减少污染、保护环境，严控大棚蔬菜种植面积，控制全县蔬菜种植总面积的新形势下，发展以绿色食品、有机食品为主的生态农业，源头管控，提质增效，做强“健康蔬菜”。</w:t>
      </w:r>
    </w:p>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1）种苗繁育基地</w:t>
      </w:r>
    </w:p>
    <w:p>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建设地点：在小街镇哈前村委会建设蔬菜育苗中心3300亩，为全县蔬菜生产提供优良商品苗。</w:t>
      </w:r>
    </w:p>
    <w:p>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建设内容与标准：重点建设催芽室、育苗室和分苗室，并根据蔬菜育苗种类，有选择性地引进育苗穴盘、快速精量播种等设备。采用电热温床育苗、无土育苗、穴盘育苗等先进的现代蔬菜育苗新技术进行蔬菜育苗。</w:t>
      </w:r>
    </w:p>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2）蔬菜标准化生产示范基地</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建设内容与标准：以绿色、有机蔬菜为标准，进行各类标准化生产基地建设。主要建设内容包括排灌设施、蔬菜废弃物处理、农用物资摆放室等。</w:t>
      </w:r>
    </w:p>
    <w:p>
      <w:pPr>
        <w:jc w:val="center"/>
        <w:rPr>
          <w:rFonts w:ascii="黑体" w:hAnsi="黑体" w:eastAsia="黑体"/>
          <w:b/>
          <w:szCs w:val="21"/>
        </w:rPr>
      </w:pPr>
    </w:p>
    <w:tbl>
      <w:tblPr>
        <w:tblStyle w:val="28"/>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2019"/>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89" w:type="dxa"/>
            <w:gridSpan w:val="3"/>
            <w:tcBorders>
              <w:top w:val="nil"/>
              <w:left w:val="nil"/>
              <w:bottom w:val="single" w:color="auto" w:sz="4" w:space="0"/>
              <w:right w:val="nil"/>
            </w:tcBorders>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表4.2-1  精细蔬菜基地建设表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84"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地点</w:t>
            </w:r>
          </w:p>
        </w:tc>
        <w:tc>
          <w:tcPr>
            <w:tcW w:w="2019"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面积（万亩）</w:t>
            </w:r>
          </w:p>
        </w:tc>
        <w:tc>
          <w:tcPr>
            <w:tcW w:w="3686"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种植蔬菜种类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84" w:type="dxa"/>
            <w:vAlign w:val="center"/>
          </w:tcPr>
          <w:p>
            <w:pPr>
              <w:jc w:val="center"/>
              <w:rPr>
                <w:rFonts w:ascii="宋体" w:hAnsi="宋体"/>
                <w:sz w:val="24"/>
                <w:szCs w:val="24"/>
              </w:rPr>
            </w:pPr>
            <w:r>
              <w:rPr>
                <w:rFonts w:hint="eastAsia" w:ascii="宋体" w:hAnsi="宋体"/>
                <w:sz w:val="24"/>
                <w:szCs w:val="24"/>
              </w:rPr>
              <w:t>小街</w:t>
            </w:r>
          </w:p>
        </w:tc>
        <w:tc>
          <w:tcPr>
            <w:tcW w:w="2019" w:type="dxa"/>
            <w:vAlign w:val="center"/>
          </w:tcPr>
          <w:p>
            <w:pPr>
              <w:jc w:val="center"/>
              <w:rPr>
                <w:rFonts w:ascii="宋体" w:hAnsi="宋体"/>
                <w:sz w:val="24"/>
                <w:szCs w:val="24"/>
              </w:rPr>
            </w:pPr>
            <w:r>
              <w:rPr>
                <w:rFonts w:hint="eastAsia" w:ascii="宋体" w:hAnsi="宋体"/>
                <w:sz w:val="24"/>
                <w:szCs w:val="24"/>
              </w:rPr>
              <w:t>4.0</w:t>
            </w:r>
          </w:p>
        </w:tc>
        <w:tc>
          <w:tcPr>
            <w:tcW w:w="3686" w:type="dxa"/>
            <w:vAlign w:val="center"/>
          </w:tcPr>
          <w:p>
            <w:pPr>
              <w:jc w:val="center"/>
              <w:rPr>
                <w:rFonts w:ascii="宋体" w:hAnsi="宋体"/>
                <w:sz w:val="24"/>
                <w:szCs w:val="24"/>
              </w:rPr>
            </w:pPr>
            <w:r>
              <w:rPr>
                <w:rFonts w:hint="eastAsia" w:ascii="宋体" w:hAnsi="宋体"/>
                <w:sz w:val="24"/>
                <w:szCs w:val="24"/>
              </w:rPr>
              <w:t>精细蔬菜为主，大路菜为辅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384" w:type="dxa"/>
            <w:vAlign w:val="center"/>
          </w:tcPr>
          <w:p>
            <w:pPr>
              <w:jc w:val="center"/>
              <w:rPr>
                <w:rFonts w:ascii="宋体" w:hAnsi="宋体"/>
                <w:sz w:val="24"/>
                <w:szCs w:val="24"/>
              </w:rPr>
            </w:pPr>
            <w:r>
              <w:rPr>
                <w:rFonts w:hint="eastAsia" w:ascii="宋体" w:hAnsi="宋体"/>
                <w:sz w:val="24"/>
                <w:szCs w:val="24"/>
              </w:rPr>
              <w:t>蒿阳（杨桥）</w:t>
            </w:r>
          </w:p>
        </w:tc>
        <w:tc>
          <w:tcPr>
            <w:tcW w:w="2019" w:type="dxa"/>
            <w:vAlign w:val="center"/>
          </w:tcPr>
          <w:p>
            <w:pPr>
              <w:jc w:val="center"/>
              <w:rPr>
                <w:rFonts w:ascii="宋体" w:hAnsi="宋体"/>
                <w:sz w:val="24"/>
                <w:szCs w:val="24"/>
              </w:rPr>
            </w:pPr>
            <w:r>
              <w:rPr>
                <w:rFonts w:hint="eastAsia" w:ascii="宋体" w:hAnsi="宋体"/>
                <w:sz w:val="24"/>
                <w:szCs w:val="24"/>
              </w:rPr>
              <w:t>2.5</w:t>
            </w:r>
          </w:p>
        </w:tc>
        <w:tc>
          <w:tcPr>
            <w:tcW w:w="3686" w:type="dxa"/>
            <w:vAlign w:val="center"/>
          </w:tcPr>
          <w:p>
            <w:pPr>
              <w:jc w:val="center"/>
              <w:rPr>
                <w:rFonts w:ascii="宋体" w:hAnsi="宋体"/>
                <w:sz w:val="24"/>
                <w:szCs w:val="24"/>
              </w:rPr>
            </w:pPr>
            <w:r>
              <w:rPr>
                <w:rFonts w:hint="eastAsia" w:ascii="宋体" w:hAnsi="宋体"/>
                <w:sz w:val="24"/>
                <w:szCs w:val="24"/>
              </w:rPr>
              <w:t>精细蔬菜为主，大路菜为辅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84" w:type="dxa"/>
            <w:vAlign w:val="center"/>
          </w:tcPr>
          <w:p>
            <w:pPr>
              <w:jc w:val="center"/>
              <w:rPr>
                <w:rFonts w:ascii="宋体" w:hAnsi="宋体"/>
                <w:sz w:val="24"/>
                <w:szCs w:val="24"/>
              </w:rPr>
            </w:pPr>
            <w:r>
              <w:rPr>
                <w:rFonts w:hint="eastAsia" w:ascii="宋体" w:hAnsi="宋体"/>
                <w:sz w:val="24"/>
                <w:szCs w:val="24"/>
              </w:rPr>
              <w:t>杨林</w:t>
            </w:r>
          </w:p>
        </w:tc>
        <w:tc>
          <w:tcPr>
            <w:tcW w:w="2019" w:type="dxa"/>
            <w:vAlign w:val="center"/>
          </w:tcPr>
          <w:p>
            <w:pPr>
              <w:jc w:val="center"/>
              <w:rPr>
                <w:rFonts w:ascii="宋体" w:hAnsi="宋体"/>
                <w:sz w:val="24"/>
                <w:szCs w:val="24"/>
              </w:rPr>
            </w:pPr>
            <w:r>
              <w:rPr>
                <w:rFonts w:hint="eastAsia" w:ascii="宋体" w:hAnsi="宋体"/>
                <w:sz w:val="24"/>
                <w:szCs w:val="24"/>
              </w:rPr>
              <w:t>2.0</w:t>
            </w:r>
          </w:p>
        </w:tc>
        <w:tc>
          <w:tcPr>
            <w:tcW w:w="3686" w:type="dxa"/>
            <w:vAlign w:val="center"/>
          </w:tcPr>
          <w:p>
            <w:pPr>
              <w:jc w:val="center"/>
              <w:rPr>
                <w:rFonts w:ascii="宋体" w:hAnsi="宋体"/>
                <w:sz w:val="24"/>
                <w:szCs w:val="24"/>
              </w:rPr>
            </w:pPr>
            <w:r>
              <w:rPr>
                <w:rFonts w:hint="eastAsia" w:ascii="宋体" w:hAnsi="宋体"/>
                <w:sz w:val="24"/>
                <w:szCs w:val="24"/>
              </w:rPr>
              <w:t>精细蔬菜为主，大路菜为辅</w:t>
            </w:r>
          </w:p>
        </w:tc>
      </w:tr>
    </w:tbl>
    <w:p>
      <w:pPr>
        <w:rPr>
          <w:rFonts w:ascii="仿宋_GB2312" w:eastAsia="仿宋_GB2312"/>
          <w:sz w:val="18"/>
          <w:szCs w:val="18"/>
        </w:rPr>
      </w:pPr>
    </w:p>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3）蔬菜种植区监管体系建设</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建设地点：嵩阳街道、牛栏江镇</w:t>
      </w:r>
    </w:p>
    <w:p>
      <w:pPr>
        <w:spacing w:line="360" w:lineRule="auto"/>
        <w:ind w:firstLine="560" w:firstLineChars="200"/>
        <w:rPr>
          <w:rFonts w:ascii="仿宋_GB2312" w:eastAsia="仿宋_GB2312"/>
          <w:sz w:val="30"/>
          <w:szCs w:val="30"/>
        </w:rPr>
      </w:pPr>
      <w:r>
        <w:rPr>
          <w:rFonts w:hint="eastAsia" w:ascii="宋体" w:hAnsi="宋体" w:cs="宋体"/>
          <w:color w:val="000000"/>
          <w:sz w:val="28"/>
          <w:szCs w:val="28"/>
          <w:shd w:val="clear" w:color="auto" w:fill="FFFFFF"/>
        </w:rPr>
        <w:t>建设内容与标准：重点包括建设相关实验室和办公场所等土建工程，购置相关仪器。对各区域土壤、灌溉水源、地下水源、蔬菜种植废弃物处理、化学农药、化学肥料、有机肥的来源（种类、处理方式等）进行严格监管。加强影响蔬菜产地环境的重点污染源监管，严格监控蔬菜基地的水源污染，建立污染场地土壤档案和信息管理系统。</w:t>
      </w:r>
    </w:p>
    <w:p>
      <w:pPr>
        <w:pStyle w:val="5"/>
        <w:spacing w:line="360" w:lineRule="auto"/>
        <w:rPr>
          <w:rFonts w:asciiTheme="majorEastAsia" w:hAnsiTheme="majorEastAsia" w:eastAsiaTheme="majorEastAsia"/>
          <w:szCs w:val="30"/>
        </w:rPr>
      </w:pPr>
      <w:bookmarkStart w:id="102" w:name="_Toc74150981"/>
      <w:bookmarkStart w:id="103" w:name="_Toc53235395"/>
      <w:r>
        <w:rPr>
          <w:rFonts w:hint="eastAsia" w:asciiTheme="majorEastAsia" w:hAnsiTheme="majorEastAsia" w:eastAsiaTheme="majorEastAsia"/>
          <w:szCs w:val="30"/>
        </w:rPr>
        <w:t>4</w:t>
      </w:r>
      <w:r>
        <w:rPr>
          <w:rFonts w:asciiTheme="majorEastAsia" w:hAnsiTheme="majorEastAsia" w:eastAsiaTheme="majorEastAsia"/>
          <w:szCs w:val="30"/>
        </w:rPr>
        <w:t>.2.3</w:t>
      </w:r>
      <w:r>
        <w:rPr>
          <w:rFonts w:hint="eastAsia" w:asciiTheme="majorEastAsia" w:hAnsiTheme="majorEastAsia" w:eastAsiaTheme="majorEastAsia"/>
          <w:szCs w:val="30"/>
        </w:rPr>
        <w:t>发展措施</w:t>
      </w:r>
      <w:bookmarkEnd w:id="102"/>
      <w:bookmarkEnd w:id="103"/>
    </w:p>
    <w:p>
      <w:pPr>
        <w:pStyle w:val="52"/>
        <w:spacing w:line="360" w:lineRule="auto"/>
        <w:ind w:firstLine="562"/>
        <w:rPr>
          <w:rFonts w:ascii="宋体" w:hAnsi="宋体" w:cs="宋体"/>
          <w:b/>
          <w:bCs/>
          <w:color w:val="000000"/>
          <w:sz w:val="28"/>
          <w:szCs w:val="28"/>
          <w:shd w:val="clear" w:color="auto" w:fill="FFFFFF"/>
        </w:rPr>
      </w:pPr>
      <w:bookmarkStart w:id="104" w:name="_Toc10461359"/>
      <w:bookmarkStart w:id="105" w:name="_Toc10468780"/>
      <w:r>
        <w:rPr>
          <w:rFonts w:hint="eastAsia" w:ascii="宋体" w:hAnsi="宋体" w:cs="宋体"/>
          <w:b/>
          <w:bCs/>
          <w:color w:val="000000"/>
          <w:sz w:val="28"/>
          <w:szCs w:val="28"/>
          <w:shd w:val="clear" w:color="auto" w:fill="FFFFFF"/>
        </w:rPr>
        <w:t>1）加快蔬菜种苗繁育基地建设</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sz w:val="28"/>
          <w:szCs w:val="28"/>
          <w:shd w:val="clear" w:color="auto" w:fill="FFFFFF"/>
        </w:rPr>
        <w:t>按嵩明县蔬菜播种面积达70万亩的目标，在嵩明县小街哈前村委会建设育苗基地3300亩，实行种苗的规模化、专业化生产，统一供应种苗，降低种苗生产成本。根据市场需求，加强科技投入力度，推广抗病虫害能力强、品质优异的蔬菜新品种，特别是适于多种气候条件下，以及错季节栽培的蔬菜新品种，通过工厂化播种育苗，确保大量优质种苗的生</w:t>
      </w:r>
      <w:r>
        <w:rPr>
          <w:rFonts w:hint="eastAsia" w:ascii="宋体" w:hAnsi="宋体" w:cs="宋体"/>
          <w:color w:val="000000"/>
          <w:sz w:val="28"/>
          <w:szCs w:val="28"/>
          <w:shd w:val="clear" w:color="auto" w:fill="FFFFFF"/>
        </w:rPr>
        <w:t>产，提高良种良法供应体系保障，提高蔬菜产量和质量。</w:t>
      </w:r>
    </w:p>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2）加强蔬菜科技支撑体系建设</w:t>
      </w:r>
    </w:p>
    <w:p>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一是申报创建蔬菜院士（专家）工作站。与省内外农业科研院所（校）建立长期合作关系，聘请7-10位专家进行长期指导。并组建主导产业县级专家组。</w:t>
      </w:r>
    </w:p>
    <w:p>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二是打造15个“一村一品”专业村。</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fldChar w:fldCharType="begin"/>
      </w:r>
      <w:r>
        <w:rPr>
          <w:rFonts w:hint="eastAsia" w:ascii="宋体" w:hAnsi="宋体" w:cs="宋体"/>
          <w:color w:val="000000"/>
          <w:sz w:val="28"/>
          <w:szCs w:val="28"/>
          <w:shd w:val="clear" w:color="auto" w:fill="FFFFFF"/>
        </w:rPr>
        <w:instrText xml:space="preserve">= 1 \* GB3</w:instrText>
      </w:r>
      <w:r>
        <w:rPr>
          <w:rFonts w:ascii="宋体" w:hAnsi="宋体" w:cs="宋体"/>
          <w:color w:val="000000"/>
          <w:sz w:val="28"/>
          <w:szCs w:val="28"/>
          <w:shd w:val="clear" w:color="auto" w:fill="FFFFFF"/>
        </w:rPr>
        <w:fldChar w:fldCharType="separate"/>
      </w:r>
      <w:r>
        <w:rPr>
          <w:rFonts w:hint="eastAsia" w:ascii="宋体" w:hAnsi="宋体" w:cs="宋体"/>
          <w:color w:val="000000"/>
          <w:sz w:val="28"/>
          <w:szCs w:val="28"/>
          <w:shd w:val="clear" w:color="auto" w:fill="FFFFFF"/>
        </w:rPr>
        <w:t>①</w:t>
      </w:r>
      <w:r>
        <w:rPr>
          <w:rFonts w:ascii="宋体" w:hAnsi="宋体" w:cs="宋体"/>
          <w:color w:val="000000"/>
          <w:sz w:val="28"/>
          <w:szCs w:val="28"/>
          <w:shd w:val="clear" w:color="auto" w:fill="FFFFFF"/>
        </w:rPr>
        <w:fldChar w:fldCharType="end"/>
      </w:r>
      <w:r>
        <w:rPr>
          <w:rFonts w:hint="eastAsia" w:ascii="宋体" w:hAnsi="宋体" w:cs="宋体"/>
          <w:color w:val="000000"/>
          <w:sz w:val="28"/>
          <w:szCs w:val="28"/>
          <w:shd w:val="clear" w:color="auto" w:fill="FFFFFF"/>
        </w:rPr>
        <w:t>实行规模化、集约化种植，集中连片面积500亩以上。</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fldChar w:fldCharType="begin"/>
      </w:r>
      <w:r>
        <w:rPr>
          <w:rFonts w:hint="eastAsia" w:ascii="宋体" w:hAnsi="宋体" w:cs="宋体"/>
          <w:color w:val="000000"/>
          <w:sz w:val="28"/>
          <w:szCs w:val="28"/>
          <w:shd w:val="clear" w:color="auto" w:fill="FFFFFF"/>
        </w:rPr>
        <w:instrText xml:space="preserve">= 2 \* GB3</w:instrText>
      </w:r>
      <w:r>
        <w:rPr>
          <w:rFonts w:ascii="宋体" w:hAnsi="宋体" w:cs="宋体"/>
          <w:color w:val="000000"/>
          <w:sz w:val="28"/>
          <w:szCs w:val="28"/>
          <w:shd w:val="clear" w:color="auto" w:fill="FFFFFF"/>
        </w:rPr>
        <w:fldChar w:fldCharType="separate"/>
      </w:r>
      <w:r>
        <w:rPr>
          <w:rFonts w:hint="eastAsia" w:ascii="宋体" w:hAnsi="宋体" w:cs="宋体"/>
          <w:color w:val="000000"/>
          <w:sz w:val="28"/>
          <w:szCs w:val="28"/>
          <w:shd w:val="clear" w:color="auto" w:fill="FFFFFF"/>
        </w:rPr>
        <w:t>②</w:t>
      </w:r>
      <w:r>
        <w:rPr>
          <w:rFonts w:ascii="宋体" w:hAnsi="宋体" w:cs="宋体"/>
          <w:color w:val="000000"/>
          <w:sz w:val="28"/>
          <w:szCs w:val="28"/>
          <w:shd w:val="clear" w:color="auto" w:fill="FFFFFF"/>
        </w:rPr>
        <w:fldChar w:fldCharType="end"/>
      </w:r>
      <w:r>
        <w:rPr>
          <w:rFonts w:hint="eastAsia" w:ascii="宋体" w:hAnsi="宋体" w:cs="宋体"/>
          <w:color w:val="000000"/>
          <w:sz w:val="28"/>
          <w:szCs w:val="28"/>
          <w:shd w:val="clear" w:color="auto" w:fill="FFFFFF"/>
        </w:rPr>
        <w:t>培育品牌，产品有注册商标，通过“三品一标”认证。</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fldChar w:fldCharType="begin"/>
      </w:r>
      <w:r>
        <w:rPr>
          <w:rFonts w:hint="eastAsia" w:ascii="宋体" w:hAnsi="宋体" w:cs="宋体"/>
          <w:color w:val="000000"/>
          <w:sz w:val="28"/>
          <w:szCs w:val="28"/>
          <w:shd w:val="clear" w:color="auto" w:fill="FFFFFF"/>
        </w:rPr>
        <w:instrText xml:space="preserve">= 3 \* GB3</w:instrText>
      </w:r>
      <w:r>
        <w:rPr>
          <w:rFonts w:ascii="宋体" w:hAnsi="宋体" w:cs="宋体"/>
          <w:color w:val="000000"/>
          <w:sz w:val="28"/>
          <w:szCs w:val="28"/>
          <w:shd w:val="clear" w:color="auto" w:fill="FFFFFF"/>
        </w:rPr>
        <w:fldChar w:fldCharType="separate"/>
      </w:r>
      <w:r>
        <w:rPr>
          <w:rFonts w:hint="eastAsia" w:ascii="宋体" w:hAnsi="宋体" w:cs="宋体"/>
          <w:color w:val="000000"/>
          <w:sz w:val="28"/>
          <w:szCs w:val="28"/>
          <w:shd w:val="clear" w:color="auto" w:fill="FFFFFF"/>
        </w:rPr>
        <w:t>③</w:t>
      </w:r>
      <w:r>
        <w:rPr>
          <w:rFonts w:ascii="宋体" w:hAnsi="宋体" w:cs="宋体"/>
          <w:color w:val="000000"/>
          <w:sz w:val="28"/>
          <w:szCs w:val="28"/>
          <w:shd w:val="clear" w:color="auto" w:fill="FFFFFF"/>
        </w:rPr>
        <w:fldChar w:fldCharType="end"/>
      </w:r>
      <w:r>
        <w:rPr>
          <w:rFonts w:hint="eastAsia" w:ascii="宋体" w:hAnsi="宋体" w:cs="宋体"/>
          <w:color w:val="000000"/>
          <w:sz w:val="28"/>
          <w:szCs w:val="28"/>
          <w:shd w:val="clear" w:color="auto" w:fill="FFFFFF"/>
        </w:rPr>
        <w:t>形成“公司+基地+合作社+农户”的合作模式，农产品统一销售率达90%以上。</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fldChar w:fldCharType="begin"/>
      </w:r>
      <w:r>
        <w:rPr>
          <w:rFonts w:hint="eastAsia" w:ascii="宋体" w:hAnsi="宋体" w:cs="宋体"/>
          <w:color w:val="000000"/>
          <w:sz w:val="28"/>
          <w:szCs w:val="28"/>
          <w:shd w:val="clear" w:color="auto" w:fill="FFFFFF"/>
        </w:rPr>
        <w:instrText xml:space="preserve">= 4 \* GB3</w:instrText>
      </w:r>
      <w:r>
        <w:rPr>
          <w:rFonts w:ascii="宋体" w:hAnsi="宋体" w:cs="宋体"/>
          <w:color w:val="000000"/>
          <w:sz w:val="28"/>
          <w:szCs w:val="28"/>
          <w:shd w:val="clear" w:color="auto" w:fill="FFFFFF"/>
        </w:rPr>
        <w:fldChar w:fldCharType="separate"/>
      </w:r>
      <w:r>
        <w:rPr>
          <w:rFonts w:hint="eastAsia" w:ascii="宋体" w:hAnsi="宋体" w:cs="宋体"/>
          <w:color w:val="000000"/>
          <w:sz w:val="28"/>
          <w:szCs w:val="28"/>
          <w:shd w:val="clear" w:color="auto" w:fill="FFFFFF"/>
        </w:rPr>
        <w:t>④</w:t>
      </w:r>
      <w:r>
        <w:rPr>
          <w:rFonts w:ascii="宋体" w:hAnsi="宋体" w:cs="宋体"/>
          <w:color w:val="000000"/>
          <w:sz w:val="28"/>
          <w:szCs w:val="28"/>
          <w:shd w:val="clear" w:color="auto" w:fill="FFFFFF"/>
        </w:rPr>
        <w:fldChar w:fldCharType="end"/>
      </w:r>
      <w:r>
        <w:rPr>
          <w:rFonts w:hint="eastAsia" w:ascii="宋体" w:hAnsi="宋体" w:cs="宋体"/>
          <w:color w:val="000000"/>
          <w:sz w:val="28"/>
          <w:szCs w:val="28"/>
          <w:shd w:val="clear" w:color="auto" w:fill="FFFFFF"/>
        </w:rPr>
        <w:t>培养一批农民致富带头人。</w:t>
      </w:r>
    </w:p>
    <w:p>
      <w:pPr>
        <w:spacing w:line="360" w:lineRule="auto"/>
        <w:ind w:firstLine="560" w:firstLineChars="200"/>
        <w:rPr>
          <w:rFonts w:ascii="宋体" w:hAnsi="宋体" w:cs="宋体"/>
          <w:color w:val="000000"/>
          <w:sz w:val="28"/>
          <w:szCs w:val="28"/>
          <w:shd w:val="clear" w:color="auto" w:fill="FFFFFF"/>
        </w:rPr>
      </w:pPr>
      <w:r>
        <w:rPr>
          <w:rFonts w:ascii="宋体" w:hAnsi="宋体" w:cs="宋体"/>
          <w:color w:val="000000"/>
          <w:sz w:val="28"/>
          <w:szCs w:val="28"/>
          <w:shd w:val="clear" w:color="auto" w:fill="FFFFFF"/>
        </w:rPr>
        <w:fldChar w:fldCharType="begin"/>
      </w:r>
      <w:r>
        <w:rPr>
          <w:rFonts w:hint="eastAsia" w:ascii="宋体" w:hAnsi="宋体" w:cs="宋体"/>
          <w:color w:val="000000"/>
          <w:sz w:val="28"/>
          <w:szCs w:val="28"/>
          <w:shd w:val="clear" w:color="auto" w:fill="FFFFFF"/>
        </w:rPr>
        <w:instrText xml:space="preserve">= 5 \* GB3</w:instrText>
      </w:r>
      <w:r>
        <w:rPr>
          <w:rFonts w:ascii="宋体" w:hAnsi="宋体" w:cs="宋体"/>
          <w:color w:val="000000"/>
          <w:sz w:val="28"/>
          <w:szCs w:val="28"/>
          <w:shd w:val="clear" w:color="auto" w:fill="FFFFFF"/>
        </w:rPr>
        <w:fldChar w:fldCharType="separate"/>
      </w:r>
      <w:r>
        <w:rPr>
          <w:rFonts w:hint="eastAsia" w:ascii="宋体" w:hAnsi="宋体" w:cs="宋体"/>
          <w:color w:val="000000"/>
          <w:sz w:val="28"/>
          <w:szCs w:val="28"/>
          <w:shd w:val="clear" w:color="auto" w:fill="FFFFFF"/>
        </w:rPr>
        <w:t>⑤</w:t>
      </w:r>
      <w:r>
        <w:rPr>
          <w:rFonts w:ascii="宋体" w:hAnsi="宋体" w:cs="宋体"/>
          <w:color w:val="000000"/>
          <w:sz w:val="28"/>
          <w:szCs w:val="28"/>
          <w:shd w:val="clear" w:color="auto" w:fill="FFFFFF"/>
        </w:rPr>
        <w:fldChar w:fldCharType="end"/>
      </w:r>
      <w:r>
        <w:rPr>
          <w:rFonts w:hint="eastAsia" w:ascii="宋体" w:hAnsi="宋体" w:cs="宋体"/>
          <w:color w:val="000000"/>
          <w:sz w:val="28"/>
          <w:szCs w:val="28"/>
          <w:shd w:val="clear" w:color="auto" w:fill="FFFFFF"/>
        </w:rPr>
        <w:t xml:space="preserve">打造一个示范带动模式，壮大集体经济，参与农户占50%以上。 </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三是推行标准化生产及技术集成。结合国家大宗蔬菜产业技术体系示范县，制定大宗蔬菜品种绿色生产规程、质量标准、分级包装、储藏等标准体系制定，制定推广蔬菜绿色高效技术，实施有机肥示范，推广应用设施农业栽培技术，推广应用喷滴灌、杀虫灯、轻简机械栽培等配套设施和绿色防控、测土配方施肥、水肥一体化及互联网应用技术。推进物联网、追溯体系建设和地域产品标识建设。每年组织10期蔬菜绿色生产技术、质量安全、产品认证、市场营销、品牌培育等专题培训。</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提高蔬菜产业的科技水平，建成蔬菜大县和强县，提高蔬菜产业竞争力。搭建蔬菜新技术新品种的引进及展示平台，通过设施栽培技术、防灾减灾技术，错季栽培技术，绿色（有机）蔬菜栽培技术，节水灌溉技术等成套技术的集成，解决生产、加工、流通环节的关键技术，通过新技术新品种的展示与示范，建立起较完善的蔬菜科技示范应用推广体系。通过创新机制，建立政府与民间并行，农民经济合作组织、专业技术协会、科技示范户等多元化高效科技推广和技术保障体系。利用牛栏江水域保护楔机，强有力推广循环农业新技术，促进“健康蔬菜”产业可持续发展。</w:t>
      </w:r>
    </w:p>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3）加强蔬菜监管体系建设</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做好产地、产品认定与认证，建立农产品例行检测制度、农业投入品监管制度、市场准入制度和质量安全追溯制度，把好蔬菜质量安全关，提高蔬菜质量安全水平和市场竞争力。建立和完善产品质量执法监督体系，加强市场监督力度，提高农产品安全质量。树立“嵩明蔬菜”的良好品牌形象，打造“嵩明”品牌。</w:t>
      </w:r>
    </w:p>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4）积极推进绿色、有机蔬菜标准化生产基地建设</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按照绿色食品和有机农产品的要求，建设蔬菜生产基地，建立健全标准化生产规程，进一步完善基础设施，坚持道路、水利设施、土地整治、土壤改良等进行综合配套治理的思路，重点推进蔬菜基地农田水利、蔬菜废弃物等配套设施建设，加强蔬菜基地水源贮备与排灌等系统的建设，蔬菜基地配置设施栽培技术装备、微喷灌等节水灌溉系统及施肥系统等装备。提高全县蔬菜基地抵御各种自然灾害的综合生产能力。遵照国家及地方标准、规范指导蔬菜产品生产，按绿色、有机蔬菜生产的标准规范生产技术措施，推动绿色食品、有机食品的生产，确保农产品信誉。积极组织蔬菜龙头企业和农民专业合作进行“三品一标”申请认证。</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强化对投入品和生产过程的监管，开展蔬菜农残速测，建立蔬菜产品质量可追溯制度，对蔬菜生产经营主体、品种、数量、销售渠道等进行登记，实现生产档案可查询、产品流向可追溯。强化监督检查，将规模化种植基地、批发市场、城区农贸市场、超市、冷库、交易中心等纳入监管监测范围，确保蔬菜产品质量安全。实施“三品一标”奖补政策，引导各类蔬菜经营主体开展产品认证工作，重点引导发展绿色有机农产品，市级以上龙头企业要求主导产品全认证。支持企业开展ISO、HACCP、GAP等体系认证，鼓励企业建设物联网示范基地。</w:t>
      </w:r>
    </w:p>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5）大力发展蔬菜采后处理及流通体系</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以提高蔬菜产品的商品质量为中心，以蔬菜产品采后气调保鲜为重点，引进、推广蔬菜预处理、分级、包装、贮藏、保鲜及加工技术，培植蔬菜加工产业集团。进一步提高蔬菜采后处理水平，大力提倡应用净菜包装、冷藏储运等保鲜技术，发展净菜与保鲜蔬菜加工为主的蔬菜净菜系列产品。包装洁净菜上市实施质量标准化。进一步扩大“有色蔬菜”色素提取的深加工，提高产品附加值，提升蔬菜产业现代化水平。在净菜与保鲜蔬菜加工园区内建立配套的综合处理工厂，统一对废水、废料进行综合处理，保护农业生态环境。在原农产品交易市场的基础上，扩大规模，改进管理，引进电子交易平台建设，提高交易量。</w:t>
      </w:r>
    </w:p>
    <w:bookmarkEnd w:id="104"/>
    <w:bookmarkEnd w:id="105"/>
    <w:p>
      <w:pPr>
        <w:pStyle w:val="52"/>
        <w:spacing w:line="360" w:lineRule="auto"/>
        <w:ind w:firstLine="562"/>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6）提升市场化水平</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推动订单农业发展，鼓励连锁配送等经营方式，减少流通环节，构建集农产品生产、加工、销售为一体的新型供应链。加大蔬菜产业宣传和招商引资力度，组织开展特色蔬菜展销、推介会，吸引省内外客商实地考察、参观。加强国内外市场对接与交流合作，建立互利合作产销关系，支持蔬菜产品出口创汇。支持发展蔬菜运输、销售等中介服务组织，培育蔬菜营销队伍。统一打造“嵩明蔬菜”绿色蔬菜区域性公共品牌，打响“高原特色”蔬菜产品品牌；借助“云品出滇”，建立电子商务平台，智慧零售体验中心。建成“云南国际农产品交易中心”、蔬菜绿色食品精深加工园，成为“西南蔬菜加工贸易中心”。</w:t>
      </w:r>
    </w:p>
    <w:p>
      <w:pPr>
        <w:pStyle w:val="4"/>
      </w:pPr>
      <w:bookmarkStart w:id="106" w:name="_Toc74150982"/>
      <w:bookmarkStart w:id="107" w:name="_Toc53235400"/>
      <w:r>
        <w:t>4.3</w:t>
      </w:r>
      <w:r>
        <w:rPr>
          <w:rFonts w:hint="eastAsia"/>
        </w:rPr>
        <w:t>花卉产业</w:t>
      </w:r>
      <w:bookmarkEnd w:id="106"/>
      <w:bookmarkEnd w:id="107"/>
    </w:p>
    <w:p>
      <w:pPr>
        <w:pStyle w:val="5"/>
        <w:spacing w:line="360" w:lineRule="auto"/>
        <w:rPr>
          <w:rFonts w:asciiTheme="majorEastAsia" w:hAnsiTheme="majorEastAsia" w:eastAsiaTheme="majorEastAsia"/>
          <w:szCs w:val="30"/>
        </w:rPr>
      </w:pPr>
      <w:bookmarkStart w:id="108" w:name="_Toc74150983"/>
      <w:bookmarkStart w:id="109" w:name="_Toc53235401"/>
      <w:r>
        <w:rPr>
          <w:rFonts w:hint="eastAsia" w:asciiTheme="majorEastAsia" w:hAnsiTheme="majorEastAsia" w:eastAsiaTheme="majorEastAsia"/>
          <w:szCs w:val="30"/>
        </w:rPr>
        <w:t>4</w:t>
      </w:r>
      <w:r>
        <w:rPr>
          <w:rFonts w:asciiTheme="majorEastAsia" w:hAnsiTheme="majorEastAsia" w:eastAsiaTheme="majorEastAsia"/>
          <w:szCs w:val="30"/>
        </w:rPr>
        <w:t>.3.1</w:t>
      </w:r>
      <w:r>
        <w:rPr>
          <w:rFonts w:hint="eastAsia" w:asciiTheme="majorEastAsia" w:hAnsiTheme="majorEastAsia" w:eastAsiaTheme="majorEastAsia"/>
          <w:szCs w:val="30"/>
        </w:rPr>
        <w:t>发展目标</w:t>
      </w:r>
      <w:bookmarkEnd w:id="108"/>
      <w:bookmarkEnd w:id="109"/>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建立起优势明显、富有特色、品牌突出的花卉强县，形成以大花蕙兰,鲜切花、干花为主，盆花盆景、绿化苗木为辅的产品结构，真正把花卉产业建成促进农民经济增长的支柱。</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到2025年，嵩明花卉种植面积达到3万亩，其中鲜切产量10亿枝，盆花种植380万盆，花卉产业总产值15亿元；从业人员2万人，其中花农0.8万人，花农年花卉收入增长达10%；国内外知名花卉企业近20余个。</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打造牛栏江两岸苗木生产基地2000亩。鲜切花外销量将达到生产总量的90%以上，其中销往省外市场达60%，销往国外市场达40%。</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大力发展技术密集型的花卉种业。以研发育种育苗为特色，发展区别于斗南、晋宁、宜良、安宁的科研型花卉产业；以花卉为抓手，延伸花田观光、芳香产业、花卉文创、科普教育等相关链条，丰富农业内涵，提升农业效益。</w:t>
      </w:r>
    </w:p>
    <w:p>
      <w:pPr>
        <w:pStyle w:val="5"/>
        <w:spacing w:line="360" w:lineRule="auto"/>
        <w:rPr>
          <w:rFonts w:asciiTheme="majorEastAsia" w:hAnsiTheme="majorEastAsia" w:eastAsiaTheme="majorEastAsia"/>
          <w:szCs w:val="30"/>
        </w:rPr>
      </w:pPr>
      <w:bookmarkStart w:id="110" w:name="_Toc74150984"/>
      <w:bookmarkStart w:id="111" w:name="_Toc53235402"/>
      <w:r>
        <w:rPr>
          <w:rFonts w:hint="eastAsia" w:asciiTheme="majorEastAsia" w:hAnsiTheme="majorEastAsia" w:eastAsiaTheme="majorEastAsia"/>
          <w:szCs w:val="30"/>
        </w:rPr>
        <w:t>4</w:t>
      </w:r>
      <w:r>
        <w:rPr>
          <w:rFonts w:asciiTheme="majorEastAsia" w:hAnsiTheme="majorEastAsia" w:eastAsiaTheme="majorEastAsia"/>
          <w:szCs w:val="30"/>
        </w:rPr>
        <w:t>.3.2</w:t>
      </w:r>
      <w:r>
        <w:rPr>
          <w:rFonts w:hint="eastAsia" w:asciiTheme="majorEastAsia" w:hAnsiTheme="majorEastAsia" w:eastAsiaTheme="majorEastAsia"/>
          <w:szCs w:val="30"/>
        </w:rPr>
        <w:t>产业布局</w:t>
      </w:r>
      <w:bookmarkEnd w:id="110"/>
      <w:bookmarkEnd w:id="111"/>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保持嵩明精品花卉目前已经形成的区域化产业布局格局。巩固发展三大重点花卉生产区域：一是在坝区、半山区以百合、玫瑰、康乃馨为主的重点种植区域；二是杨林镇干花生产重点区域；三是按照“优质、高效、生态、安全”的总体要求，以优化品种结构、改善技术装备为主要手段，突出标准化优质花卉园艺生产基地建设，促进其产业标准化、规模化、优质化、专业化，实现“三增一稳”，即综合生产能力增强、品质提高、生产效益增高，稳定其种植规模。优化生产空间布局，以杨桥街道的西山、大村子、黑营盘、月家以大花蕙兰为主基地面积已达到1950亩，种植企业48户，专业种植合作社7家，年产280万余盆，小街镇的省花卉示范园区为重点区域，突出抓好标准园艺区建设、农业机械推进和农业科技推广服务能力提升三大重点建设内容；以杨林镇、小街镇、牛栏江镇的山区、半山区为鲜切花、盆景、绿化苗木为突破，重点进行水利设施建设、大棚覆盖工作，发展优质特色花卉园艺区。实现花卉产业经济效益、社会效益和生态效益协调发展。</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在大村子片区，成立大花卉兰种植协会，形成品牌效应，带动周边地区连片发展；在白鹤、龙街片区引入花卉种植，逐步发展集种植、观光、休闲旅游为一体的现代农业。</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依托省花卉示范园区，重点发展鲜切花产业，建设现代化、智能化的鲜花种植基地，培育国际知名的鲜切花品牌。深入推进“一乡一业、一村一品”，积极创建特色农产品优势区。</w:t>
      </w:r>
    </w:p>
    <w:p>
      <w:pPr>
        <w:pStyle w:val="5"/>
        <w:spacing w:line="360" w:lineRule="auto"/>
        <w:rPr>
          <w:rFonts w:asciiTheme="majorEastAsia" w:hAnsiTheme="majorEastAsia" w:eastAsiaTheme="majorEastAsia"/>
          <w:szCs w:val="30"/>
        </w:rPr>
      </w:pPr>
      <w:bookmarkStart w:id="112" w:name="_Toc74150985"/>
      <w:r>
        <w:rPr>
          <w:rFonts w:hint="eastAsia" w:asciiTheme="majorEastAsia" w:hAnsiTheme="majorEastAsia" w:eastAsiaTheme="majorEastAsia"/>
          <w:szCs w:val="30"/>
        </w:rPr>
        <w:t>4.3.3发展措施</w:t>
      </w:r>
      <w:bookmarkEnd w:id="112"/>
    </w:p>
    <w:p>
      <w:pPr>
        <w:spacing w:line="360" w:lineRule="auto"/>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1）不断加大科技创新力度</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加快培育自主知识产权花卉品种创新，选育一批具有国际竞争力的自主知识产权新品种，提高自主品种的市场占有率；不断提升优质种子、种苗、种球的研发，加强花卉生产及配套技术的研发，突破花卉产品精深加工技术，促进花卉先进的繁育技术、栽培技术、花期控制技术、病虫害防治技术、采收技术、包装保鲜技术、贮藏运输等技术进步和产业升级；大力推广节能环保技术，改变传统的花卉种植模式，建设中高端温室，大力发展花卉基质栽培模式和水肥循环生产模式；扩大国产苗种植和病虫害防控技术；加快科技成果转化率，不断提升自主花卉品种的转化率和市场占有率。</w:t>
      </w:r>
    </w:p>
    <w:p>
      <w:pPr>
        <w:spacing w:line="360" w:lineRule="auto"/>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2）建立健全花卉社会化服务体系</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建全以产业需求为导向、企业为主体、产学研相结合为基础的花卉技术研发和推广体系；加快花卉金融、保险、信息及市场方面的服务；进一步完善和拓展各类花卉市场的服务功能，加快花卉冷链物流体系的建设。</w:t>
      </w:r>
    </w:p>
    <w:p>
      <w:pPr>
        <w:spacing w:line="360" w:lineRule="auto"/>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3）促进花卉文化与花卉产业的融合</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深化花文化主题，促进花卉产业与花卉文化的融合；积极开发花卉的多种功能，延展花文化产业，围绕“云花”这一优势产业，逐步形成电子商务、婚庆、花器、农资、花艺培训、根雕根艺、书画、特色美食、花卉养生、休闲娱乐等一系列花文化产业和辅助产业。促进花卉与文化、旅游、地产、休闲度假等的融合，开发花卉的食用、药用、美容、养身保健、化工等多种功能，大力发展花卉深加工产业，延长花卉产业链；鼓励创新商业模式，借鉴斗南国际花卉园及“花之城”的成功做法，以花为媒，产业、商业、文化和旅游四擎驱动发展花卉产业。</w:t>
      </w:r>
      <w:bookmarkStart w:id="113" w:name="_Toc441140295"/>
      <w:bookmarkStart w:id="114" w:name="_Toc441439832"/>
      <w:bookmarkStart w:id="115" w:name="_Toc441443087"/>
      <w:bookmarkStart w:id="116" w:name="_Toc441351485"/>
      <w:bookmarkStart w:id="117" w:name="_Toc441313979"/>
      <w:bookmarkStart w:id="118" w:name="_Toc441091449"/>
      <w:bookmarkStart w:id="119" w:name="_Toc441301527"/>
      <w:bookmarkStart w:id="120" w:name="_Toc441308486"/>
      <w:bookmarkStart w:id="121" w:name="_Toc441441271"/>
      <w:bookmarkStart w:id="122" w:name="_Toc441309868"/>
      <w:bookmarkStart w:id="123" w:name="_Toc441349394"/>
    </w:p>
    <w:p>
      <w:pPr>
        <w:spacing w:line="360" w:lineRule="auto"/>
        <w:ind w:firstLine="562" w:firstLineChars="200"/>
        <w:rPr>
          <w:rFonts w:ascii="宋体" w:hAnsi="宋体" w:cs="宋体"/>
          <w:b/>
          <w:color w:val="000000"/>
          <w:sz w:val="28"/>
          <w:szCs w:val="28"/>
          <w:shd w:val="clear" w:color="auto" w:fill="FFFFFF"/>
        </w:rPr>
      </w:pPr>
      <w:bookmarkStart w:id="124" w:name="_Toc53235443"/>
      <w:r>
        <w:rPr>
          <w:rFonts w:hint="eastAsia" w:ascii="宋体" w:hAnsi="宋体" w:cs="宋体"/>
          <w:b/>
          <w:color w:val="000000"/>
          <w:sz w:val="28"/>
          <w:szCs w:val="28"/>
          <w:shd w:val="clear" w:color="auto" w:fill="FFFFFF"/>
        </w:rPr>
        <w:t>4）积极探索“互联网+”，推动花卉产业转型升级</w:t>
      </w:r>
      <w:bookmarkEnd w:id="113"/>
      <w:bookmarkEnd w:id="114"/>
      <w:bookmarkEnd w:id="115"/>
      <w:bookmarkEnd w:id="116"/>
      <w:bookmarkEnd w:id="117"/>
      <w:bookmarkEnd w:id="118"/>
      <w:bookmarkEnd w:id="119"/>
      <w:bookmarkEnd w:id="120"/>
      <w:bookmarkEnd w:id="121"/>
      <w:bookmarkEnd w:id="122"/>
      <w:bookmarkEnd w:id="123"/>
      <w:bookmarkEnd w:id="124"/>
    </w:p>
    <w:p>
      <w:pPr>
        <w:spacing w:line="360" w:lineRule="auto"/>
        <w:ind w:firstLine="560" w:firstLineChars="200"/>
      </w:pPr>
      <w:r>
        <w:rPr>
          <w:rFonts w:hint="eastAsia" w:ascii="宋体" w:hAnsi="宋体" w:cs="宋体"/>
          <w:color w:val="000000"/>
          <w:sz w:val="28"/>
          <w:szCs w:val="28"/>
          <w:shd w:val="clear" w:color="auto" w:fill="FFFFFF"/>
        </w:rPr>
        <w:t>加强组织领导，形成合理产业规划，大力推进“互联网+”花卉产业；制定花卉信息化发展规划和“互联网+”行动计划，加大政策、资金扶持和人才培养力度。打造“互联网+”信息平台建设、重点应用系统建设和云南花卉大数据、花卉云计算等“互联网+”基础设施与平台。企业要充分利用互联网技术和思维，加快转型升级，实现生产、加工、销售、消费环节的互联网化，使“互联网+”成为推动企业发展的新动力。</w:t>
      </w:r>
    </w:p>
    <w:p>
      <w:pPr>
        <w:pStyle w:val="4"/>
      </w:pPr>
      <w:bookmarkStart w:id="125" w:name="_Toc74150986"/>
      <w:r>
        <w:t>4.</w:t>
      </w:r>
      <w:r>
        <w:rPr>
          <w:rFonts w:hint="eastAsia"/>
        </w:rPr>
        <w:t>4畜牧产业</w:t>
      </w:r>
      <w:bookmarkEnd w:id="125"/>
    </w:p>
    <w:p>
      <w:pPr>
        <w:pStyle w:val="5"/>
        <w:spacing w:line="360" w:lineRule="auto"/>
        <w:rPr>
          <w:rFonts w:asciiTheme="majorEastAsia" w:hAnsiTheme="majorEastAsia" w:eastAsiaTheme="majorEastAsia"/>
          <w:color w:val="000000" w:themeColor="text1"/>
          <w:szCs w:val="30"/>
          <w14:textFill>
            <w14:solidFill>
              <w14:schemeClr w14:val="tx1"/>
            </w14:solidFill>
          </w14:textFill>
        </w:rPr>
      </w:pPr>
      <w:bookmarkStart w:id="126" w:name="_Toc74150987"/>
      <w:r>
        <w:rPr>
          <w:rFonts w:hint="eastAsia" w:asciiTheme="majorEastAsia" w:hAnsiTheme="majorEastAsia" w:eastAsiaTheme="majorEastAsia"/>
          <w:szCs w:val="30"/>
        </w:rPr>
        <w:t>4.4.1发展目标</w:t>
      </w:r>
      <w:bookmarkEnd w:id="126"/>
    </w:p>
    <w:p>
      <w:pPr>
        <w:spacing w:line="360" w:lineRule="auto"/>
        <w:ind w:firstLine="56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围绕保生态、保供给、保安全的三大任务，优化畜牧生产结构和产业布局，突出良种配套、标准化生产、安全质量控制、产后加工服务、粪污资源化利用，加快畜牧业向技术集约型、资源高效利用型、环境友好型转变，畜产品市场竞争力显著增强，</w:t>
      </w:r>
      <w:r>
        <w:rPr>
          <w:rFonts w:hint="eastAsia" w:ascii="宋体" w:hAnsi="宋体"/>
          <w:color w:val="000000" w:themeColor="text1"/>
          <w:sz w:val="28"/>
          <w:szCs w:val="28"/>
          <w14:textFill>
            <w14:solidFill>
              <w14:schemeClr w14:val="tx1"/>
            </w14:solidFill>
          </w14:textFill>
        </w:rPr>
        <w:t>畜牧业产值占农业总产值30%以上。</w:t>
      </w:r>
    </w:p>
    <w:p>
      <w:pPr>
        <w:spacing w:line="360" w:lineRule="auto"/>
        <w:ind w:firstLine="560" w:firstLineChars="200"/>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2025年，畜牧业产值达6.5亿元以上，肉类总产1.4万吨，奶产量17000吨，蛋产量3000吨，生猪出栏8-10万头，牛出栏1万头，羊出栏2万只，家禽出栏140万羽。</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以</w:t>
      </w:r>
      <w:r>
        <w:rPr>
          <w:rFonts w:ascii="宋体" w:hAnsi="宋体"/>
          <w:color w:val="000000" w:themeColor="text1"/>
          <w:sz w:val="28"/>
          <w:szCs w:val="28"/>
          <w14:textFill>
            <w14:solidFill>
              <w14:schemeClr w14:val="tx1"/>
            </w14:solidFill>
          </w14:textFill>
        </w:rPr>
        <w:t>牛栏江</w:t>
      </w:r>
      <w:r>
        <w:rPr>
          <w:rFonts w:hint="eastAsia" w:ascii="宋体" w:hAnsi="宋体"/>
          <w:color w:val="000000" w:themeColor="text1"/>
          <w:sz w:val="28"/>
          <w:szCs w:val="28"/>
          <w14:textFill>
            <w14:solidFill>
              <w14:schemeClr w14:val="tx1"/>
            </w14:solidFill>
          </w14:textFill>
        </w:rPr>
        <w:t>流域保护区禁养为前提，以发展高效、生态、安全畜牧业为主线，立足区位特点和嵩明实际，稳猪鸡、上质量，增牛羊、扩规模，大力发展草食禽，突出发展奶牛业。通过走良种化之路，全面提高畜禽品种质量，走种养结合之路，推广健康养殖方式，走标准化之路，生产无公害绿色畜产品，走产业化之路，以重点龙头企业带动产、供、销联动式发展，走现代化之路，大力引进先进的养殖、加工技术、设备和先进的管理模式，全面提升嵩明县畜牧业的综合实力，把嵩明县建设成为云南省重要的高效生态畜产品生产基地。</w:t>
      </w:r>
    </w:p>
    <w:p>
      <w:pPr>
        <w:pStyle w:val="5"/>
        <w:spacing w:line="360" w:lineRule="auto"/>
        <w:rPr>
          <w:rFonts w:asciiTheme="majorEastAsia" w:hAnsiTheme="majorEastAsia" w:eastAsiaTheme="majorEastAsia"/>
          <w:color w:val="000000" w:themeColor="text1"/>
          <w:szCs w:val="30"/>
          <w14:textFill>
            <w14:solidFill>
              <w14:schemeClr w14:val="tx1"/>
            </w14:solidFill>
          </w14:textFill>
        </w:rPr>
      </w:pPr>
      <w:bookmarkStart w:id="127" w:name="_Toc74150988"/>
      <w:r>
        <w:rPr>
          <w:rFonts w:hint="eastAsia" w:asciiTheme="majorEastAsia" w:hAnsiTheme="majorEastAsia" w:eastAsiaTheme="majorEastAsia"/>
          <w:color w:val="000000" w:themeColor="text1"/>
          <w:szCs w:val="30"/>
          <w14:textFill>
            <w14:solidFill>
              <w14:schemeClr w14:val="tx1"/>
            </w14:solidFill>
          </w14:textFill>
        </w:rPr>
        <w:t>4.4.2产业布局</w:t>
      </w:r>
      <w:bookmarkEnd w:id="127"/>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以《牛栏江保护条例》和《嵩明县畜禽养殖禁养区划定方案》为前提，</w:t>
      </w:r>
      <w:r>
        <w:rPr>
          <w:rFonts w:hint="eastAsia" w:ascii="宋体" w:hAnsi="宋体"/>
          <w:color w:val="000000" w:themeColor="text1"/>
          <w:sz w:val="28"/>
          <w:szCs w:val="28"/>
          <w14:textFill>
            <w14:solidFill>
              <w14:schemeClr w14:val="tx1"/>
            </w14:solidFill>
          </w14:textFill>
        </w:rPr>
        <w:t>以发展高效、生态、安全畜牧业为主线，立足区位特点和嵩明实际，稳猪鸡、上质量，增牛羊、扩规模，推动嵩明畜牧业高质量发展。</w:t>
      </w:r>
    </w:p>
    <w:p>
      <w:pPr>
        <w:ind w:firstLine="562" w:firstLineChars="200"/>
        <w:rPr>
          <w:rFonts w:asciiTheme="minorEastAsia" w:hAnsiTheme="minorEastAsia" w:eastAsiaTheme="minorEastAsia"/>
          <w:color w:val="000000" w:themeColor="text1"/>
          <w:sz w:val="28"/>
          <w:szCs w:val="28"/>
          <w:u w:color="FFFFFF"/>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生猪</w:t>
      </w:r>
      <w:r>
        <w:rPr>
          <w:rFonts w:hint="eastAsia" w:asciiTheme="minorEastAsia" w:hAnsiTheme="minorEastAsia" w:eastAsiaTheme="minorEastAsia"/>
          <w:color w:val="000000" w:themeColor="text1"/>
          <w:sz w:val="28"/>
          <w:szCs w:val="28"/>
          <w14:textFill>
            <w14:solidFill>
              <w14:schemeClr w14:val="tx1"/>
            </w14:solidFill>
          </w14:textFill>
        </w:rPr>
        <w:t xml:space="preserve"> 依托嵩明森汇食品有限公司，带动</w:t>
      </w:r>
      <w:r>
        <w:rPr>
          <w:rFonts w:hint="eastAsia" w:asciiTheme="minorEastAsia" w:hAnsiTheme="minorEastAsia" w:eastAsiaTheme="minorEastAsia"/>
          <w:color w:val="000000" w:themeColor="text1"/>
          <w:sz w:val="28"/>
          <w:szCs w:val="28"/>
          <w:u w:color="FFFFFF"/>
          <w14:textFill>
            <w14:solidFill>
              <w14:schemeClr w14:val="tx1"/>
            </w14:solidFill>
          </w14:textFill>
        </w:rPr>
        <w:t>以小街镇为主，杨林</w:t>
      </w:r>
      <w:r>
        <w:rPr>
          <w:rFonts w:hint="eastAsia" w:cs="宋体" w:asciiTheme="minorEastAsia" w:hAnsiTheme="minorEastAsia" w:eastAsiaTheme="minorEastAsia"/>
          <w:color w:val="000000" w:themeColor="text1"/>
          <w:sz w:val="28"/>
          <w:szCs w:val="28"/>
          <w:u w:color="FFFFFF"/>
          <w14:textFill>
            <w14:solidFill>
              <w14:schemeClr w14:val="tx1"/>
            </w14:solidFill>
          </w14:textFill>
        </w:rPr>
        <w:t>镇</w:t>
      </w:r>
      <w:r>
        <w:rPr>
          <w:rFonts w:hint="eastAsia" w:asciiTheme="minorEastAsia" w:hAnsiTheme="minorEastAsia" w:eastAsiaTheme="minorEastAsia"/>
          <w:color w:val="000000" w:themeColor="text1"/>
          <w:sz w:val="28"/>
          <w:szCs w:val="28"/>
          <w:u w:color="FFFFFF"/>
          <w14:textFill>
            <w14:solidFill>
              <w14:schemeClr w14:val="tx1"/>
            </w14:solidFill>
          </w14:textFill>
        </w:rPr>
        <w:t>、牛栏江镇、嵩阳街道、杨桥街道为辅，推进嵩明县生猪生产，确保猪肉自给率达70%以上。</w:t>
      </w:r>
    </w:p>
    <w:p>
      <w:pPr>
        <w:ind w:firstLine="422" w:firstLineChars="150"/>
        <w:rPr>
          <w:rFonts w:ascii="宋体" w:hAnsi="宋体"/>
          <w:color w:val="000000" w:themeColor="text1"/>
          <w:sz w:val="28"/>
          <w:szCs w:val="28"/>
          <w:u w:color="FFFFFF"/>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家禽 </w:t>
      </w:r>
      <w:r>
        <w:rPr>
          <w:rFonts w:hint="eastAsia" w:ascii="宋体" w:hAnsi="宋体"/>
          <w:color w:val="000000" w:themeColor="text1"/>
          <w:sz w:val="28"/>
          <w:szCs w:val="28"/>
          <w14:textFill>
            <w14:solidFill>
              <w14:schemeClr w14:val="tx1"/>
            </w14:solidFill>
          </w14:textFill>
        </w:rPr>
        <w:t>依托嵩明大发养殖有限公司，</w:t>
      </w:r>
      <w:r>
        <w:rPr>
          <w:rFonts w:hint="eastAsia" w:ascii="宋体" w:hAnsi="宋体"/>
          <w:color w:val="000000" w:themeColor="text1"/>
          <w:sz w:val="28"/>
          <w:szCs w:val="28"/>
          <w:u w:color="FFFFFF"/>
          <w14:textFill>
            <w14:solidFill>
              <w14:schemeClr w14:val="tx1"/>
            </w14:solidFill>
          </w14:textFill>
        </w:rPr>
        <w:t>推进家禽向小街镇、杨林镇、牛栏江镇、嵩阳街道、杨桥街道山区半山区发展，大力发展林下经济。</w:t>
      </w:r>
    </w:p>
    <w:p>
      <w:pPr>
        <w:ind w:firstLine="422" w:firstLineChars="150"/>
        <w:rPr>
          <w:rFonts w:ascii="宋体" w:hAnsi="宋体"/>
          <w:color w:val="000000" w:themeColor="text1"/>
          <w:sz w:val="28"/>
          <w:szCs w:val="28"/>
          <w:u w:color="FFFFFF"/>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奶牛 </w:t>
      </w:r>
      <w:r>
        <w:rPr>
          <w:rFonts w:hint="eastAsia" w:ascii="宋体" w:hAnsi="宋体"/>
          <w:color w:val="000000" w:themeColor="text1"/>
          <w:sz w:val="28"/>
          <w:szCs w:val="28"/>
          <w14:textFill>
            <w14:solidFill>
              <w14:schemeClr w14:val="tx1"/>
            </w14:solidFill>
          </w14:textFill>
        </w:rPr>
        <w:t>依托伊利乳业有限公司，</w:t>
      </w:r>
      <w:r>
        <w:rPr>
          <w:rFonts w:hint="eastAsia" w:ascii="宋体" w:hAnsi="宋体"/>
          <w:color w:val="000000" w:themeColor="text1"/>
          <w:sz w:val="28"/>
          <w:szCs w:val="28"/>
          <w:u w:color="FFFFFF"/>
          <w14:textFill>
            <w14:solidFill>
              <w14:schemeClr w14:val="tx1"/>
            </w14:solidFill>
          </w14:textFill>
        </w:rPr>
        <w:t>以小街镇、嵩阳街道、牛栏江镇、杨林镇现有养殖场为主，大力发展优质奶源基地建设。</w:t>
      </w:r>
    </w:p>
    <w:p>
      <w:pPr>
        <w:ind w:firstLine="422" w:firstLineChars="150"/>
        <w:rPr>
          <w:rFonts w:ascii="宋体" w:hAnsi="宋体"/>
          <w:color w:val="000000" w:themeColor="text1"/>
          <w:sz w:val="28"/>
          <w:szCs w:val="28"/>
          <w:u w:color="FFFFFF"/>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肉牛羊</w:t>
      </w:r>
      <w:r>
        <w:rPr>
          <w:rFonts w:hint="eastAsia" w:ascii="宋体" w:hAnsi="宋体"/>
          <w:color w:val="000000" w:themeColor="text1"/>
          <w:sz w:val="28"/>
          <w:szCs w:val="28"/>
          <w14:textFill>
            <w14:solidFill>
              <w14:schemeClr w14:val="tx1"/>
            </w14:solidFill>
          </w14:textFill>
        </w:rPr>
        <w:t xml:space="preserve"> 依托杨桥大牲畜交易市场，</w:t>
      </w:r>
      <w:r>
        <w:rPr>
          <w:rFonts w:hint="eastAsia" w:ascii="宋体" w:hAnsi="宋体"/>
          <w:color w:val="000000" w:themeColor="text1"/>
          <w:sz w:val="28"/>
          <w:szCs w:val="28"/>
          <w:u w:color="FFFFFF"/>
          <w14:textFill>
            <w14:solidFill>
              <w14:schemeClr w14:val="tx1"/>
            </w14:solidFill>
          </w14:textFill>
        </w:rPr>
        <w:t>以牛栏江镇、小街镇、杨林镇、嵩阳街道、杨桥街道的山区、半山区为主，适度发展优质肉牛、肉羊生产。</w:t>
      </w:r>
    </w:p>
    <w:p>
      <w:pPr>
        <w:pStyle w:val="5"/>
        <w:spacing w:line="360" w:lineRule="auto"/>
        <w:rPr>
          <w:rFonts w:asciiTheme="majorEastAsia" w:hAnsiTheme="majorEastAsia" w:eastAsiaTheme="majorEastAsia"/>
          <w:color w:val="000000" w:themeColor="text1"/>
          <w:szCs w:val="30"/>
          <w14:textFill>
            <w14:solidFill>
              <w14:schemeClr w14:val="tx1"/>
            </w14:solidFill>
          </w14:textFill>
        </w:rPr>
      </w:pPr>
      <w:bookmarkStart w:id="128" w:name="_Toc74150989"/>
      <w:r>
        <w:rPr>
          <w:rFonts w:hint="eastAsia" w:asciiTheme="majorEastAsia" w:hAnsiTheme="majorEastAsia" w:eastAsiaTheme="majorEastAsia"/>
          <w:color w:val="000000" w:themeColor="text1"/>
          <w:szCs w:val="30"/>
          <w14:textFill>
            <w14:solidFill>
              <w14:schemeClr w14:val="tx1"/>
            </w14:solidFill>
          </w14:textFill>
        </w:rPr>
        <w:t>4.4.3发展措施</w:t>
      </w:r>
      <w:bookmarkEnd w:id="128"/>
    </w:p>
    <w:p>
      <w:pPr>
        <w:numPr>
          <w:ilvl w:val="0"/>
          <w:numId w:val="1"/>
        </w:numPr>
        <w:spacing w:line="360" w:lineRule="auto"/>
        <w:ind w:firstLine="562" w:firstLineChars="200"/>
        <w:rPr>
          <w:rFonts w:ascii="宋体" w:hAnsi="宋体" w:cs="宋体"/>
          <w:b/>
          <w:color w:val="000000" w:themeColor="text1"/>
          <w:sz w:val="28"/>
          <w:szCs w:val="28"/>
          <w:shd w:val="clear" w:color="auto" w:fill="FFFFFF"/>
          <w14:textFill>
            <w14:solidFill>
              <w14:schemeClr w14:val="tx1"/>
            </w14:solidFill>
          </w14:textFill>
        </w:rPr>
      </w:pPr>
      <w:bookmarkStart w:id="129" w:name="_Toc68558719"/>
      <w:r>
        <w:rPr>
          <w:rFonts w:hint="eastAsia" w:ascii="宋体" w:hAnsi="宋体" w:cs="宋体"/>
          <w:b/>
          <w:color w:val="000000" w:themeColor="text1"/>
          <w:sz w:val="28"/>
          <w:szCs w:val="28"/>
          <w:shd w:val="clear" w:color="auto" w:fill="FFFFFF"/>
          <w14:textFill>
            <w14:solidFill>
              <w14:schemeClr w14:val="tx1"/>
            </w14:solidFill>
          </w14:textFill>
        </w:rPr>
        <w:t>加强动物疫病防控能力建设</w:t>
      </w:r>
    </w:p>
    <w:p>
      <w:pPr>
        <w:spacing w:line="360" w:lineRule="auto"/>
        <w:ind w:firstLine="560" w:firstLineChars="200"/>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完善县级兽医实验室建设，增强重大动物疫情监测能力，实施分区防控策略，推进动物疫病无疫小区建设，降低动物及其产品长距离调运传播疫情的风险。健全养殖、屠宰和运输全链条监管机制，优化动物疫病监测与流行病学调查机制制度，完善应急处置机制和强制扑杀政策，实施非洲猪瘟常态化防控，优先做好口蹄疫、高致病性禽流感等重大动物疫病和牲畜布病、结核病等重点人畜共患病防控。加强动物特聘防疫员建设，夯实以镇（街道）农业综合服务中心、村级动物防疫员、特聘动物防疫专员为骨干，以社会化服务机构为有力补充的动物疫病防控体系建设，提高动物疫病综合防控能力。</w:t>
      </w:r>
    </w:p>
    <w:p>
      <w:pPr>
        <w:spacing w:line="360" w:lineRule="auto"/>
        <w:ind w:firstLine="562" w:firstLineChars="200"/>
        <w:rPr>
          <w:rFonts w:ascii="宋体" w:hAnsi="宋体" w:cs="宋体"/>
          <w:b/>
          <w:color w:val="000000" w:themeColor="text1"/>
          <w:sz w:val="28"/>
          <w:szCs w:val="28"/>
          <w:shd w:val="clear" w:color="auto" w:fill="FFFFFF"/>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2）大力推进畜牧业转型升级</w:t>
      </w:r>
    </w:p>
    <w:p>
      <w:pPr>
        <w:spacing w:line="360" w:lineRule="auto"/>
        <w:ind w:firstLine="560" w:firstLineChars="200"/>
        <w:rPr>
          <w:color w:val="000000" w:themeColor="text1"/>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全面推进养殖规模化、生产标准化、发展产业化、方式绿色化、产品品牌化，着力构建现代畜牧业生产体系、经营体系和产业体系。继续加强畜禽良种繁育体系建设，大力创建一批国家级标准化规模养殖示范场。积极引导家禽业健康发展，着力增加禽肉禽蛋供给。因地制宜发展特色畜牧业，扶持培育一批优质特色养殖企业。实施奶业提质增效行动，推广一批降低饲草料成本、就地保障供应的典型模式。开展生猪屠宰标准化示范创建，引导和支持大中型屠宰企业完善冷链设施设备，推进屠宰加工销售一体化发展。</w:t>
      </w:r>
    </w:p>
    <w:p>
      <w:pPr>
        <w:spacing w:line="360" w:lineRule="auto"/>
        <w:ind w:firstLine="562" w:firstLineChars="200"/>
        <w:rPr>
          <w:rFonts w:ascii="宋体" w:hAnsi="宋体" w:cs="宋体"/>
          <w:b/>
          <w:color w:val="000000" w:themeColor="text1"/>
          <w:sz w:val="28"/>
          <w:szCs w:val="28"/>
          <w:shd w:val="clear" w:color="auto" w:fill="FFFFFF"/>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3）推进畜禽粪污资源化利用</w:t>
      </w:r>
    </w:p>
    <w:p>
      <w:pPr>
        <w:spacing w:line="360" w:lineRule="auto"/>
        <w:ind w:firstLine="560" w:firstLineChars="200"/>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按照种养结合总体思路，坚持源头减量、过程控制、末端利用的治理原则，实施畜禽污资源化利用项目，强化技术指导，因地制宜推广畜禽粪污资源化利用技术模式。加强畜禽规模养殖场粪污处理设施配套建设，提升规模养殖场粪污处理设施装备水平。推行畜禽粪污养分平衡管理，促进种养结合。确保畜禽粪污综合利用率达到</w:t>
      </w:r>
      <w:r>
        <w:rPr>
          <w:rFonts w:ascii="宋体" w:hAnsi="宋体" w:cs="宋体"/>
          <w:color w:val="000000" w:themeColor="text1"/>
          <w:sz w:val="28"/>
          <w:szCs w:val="28"/>
          <w:shd w:val="clear" w:color="auto" w:fill="FFFFFF"/>
          <w14:textFill>
            <w14:solidFill>
              <w14:schemeClr w14:val="tx1"/>
            </w14:solidFill>
          </w14:textFill>
        </w:rPr>
        <w:t>88</w:t>
      </w:r>
      <w:r>
        <w:rPr>
          <w:rFonts w:hint="eastAsia" w:ascii="宋体" w:hAnsi="宋体" w:cs="宋体"/>
          <w:color w:val="000000" w:themeColor="text1"/>
          <w:sz w:val="28"/>
          <w:szCs w:val="28"/>
          <w:shd w:val="clear" w:color="auto" w:fill="FFFFFF"/>
          <w14:textFill>
            <w14:solidFill>
              <w14:schemeClr w14:val="tx1"/>
            </w14:solidFill>
          </w14:textFill>
        </w:rPr>
        <w:t>%以上，规模养殖场设施装备配套率达到96%以上。</w:t>
      </w:r>
    </w:p>
    <w:p>
      <w:pPr>
        <w:spacing w:line="360" w:lineRule="auto"/>
        <w:ind w:firstLine="562" w:firstLineChars="200"/>
        <w:rPr>
          <w:rFonts w:ascii="宋体" w:hAnsi="宋体" w:cs="宋体"/>
          <w:b/>
          <w:color w:val="000000" w:themeColor="text1"/>
          <w:sz w:val="28"/>
          <w:szCs w:val="28"/>
          <w:shd w:val="clear" w:color="auto" w:fill="FFFFFF"/>
          <w14:textFill>
            <w14:solidFill>
              <w14:schemeClr w14:val="tx1"/>
            </w14:solidFill>
          </w14:textFill>
        </w:rPr>
      </w:pPr>
      <w:bookmarkStart w:id="130" w:name="_Toc236213722"/>
      <w:bookmarkStart w:id="131" w:name="_Toc239585921"/>
      <w:bookmarkStart w:id="132" w:name="_Toc237833515"/>
      <w:r>
        <w:rPr>
          <w:rFonts w:hint="eastAsia" w:ascii="宋体" w:hAnsi="宋体"/>
          <w:b/>
          <w:bCs/>
          <w:color w:val="000000" w:themeColor="text1"/>
          <w:sz w:val="28"/>
          <w:szCs w:val="28"/>
          <w:u w:color="FFFFFF"/>
          <w14:textFill>
            <w14:solidFill>
              <w14:schemeClr w14:val="tx1"/>
            </w14:solidFill>
          </w14:textFill>
        </w:rPr>
        <w:t>4）加强</w:t>
      </w:r>
      <w:bookmarkEnd w:id="130"/>
      <w:bookmarkEnd w:id="131"/>
      <w:bookmarkEnd w:id="132"/>
      <w:r>
        <w:rPr>
          <w:rFonts w:hint="eastAsia" w:ascii="宋体" w:hAnsi="宋体"/>
          <w:b/>
          <w:bCs/>
          <w:color w:val="000000" w:themeColor="text1"/>
          <w:sz w:val="28"/>
          <w:szCs w:val="28"/>
          <w:u w:color="FFFFFF"/>
          <w14:textFill>
            <w14:solidFill>
              <w14:schemeClr w14:val="tx1"/>
            </w14:solidFill>
          </w14:textFill>
        </w:rPr>
        <w:t>畜产品质量安全监管</w:t>
      </w:r>
    </w:p>
    <w:p>
      <w:pPr>
        <w:spacing w:after="0"/>
        <w:ind w:left="-8" w:leftChars="-4" w:firstLine="584"/>
        <w:jc w:val="left"/>
        <w:rPr>
          <w:rFonts w:ascii="宋体" w:hAnsi="宋体"/>
          <w:color w:val="000000" w:themeColor="text1"/>
          <w:sz w:val="28"/>
          <w:szCs w:val="28"/>
          <w:u w:color="FFFFFF"/>
          <w14:textFill>
            <w14:solidFill>
              <w14:schemeClr w14:val="tx1"/>
            </w14:solidFill>
          </w14:textFill>
        </w:rPr>
      </w:pPr>
      <w:r>
        <w:rPr>
          <w:rFonts w:hint="eastAsia" w:ascii="宋体" w:hAnsi="宋体"/>
          <w:color w:val="000000" w:themeColor="text1"/>
          <w:sz w:val="28"/>
          <w:szCs w:val="28"/>
          <w:u w:color="FFFFFF"/>
          <w14:textFill>
            <w14:solidFill>
              <w14:schemeClr w14:val="tx1"/>
            </w14:solidFill>
          </w14:textFill>
        </w:rPr>
        <w:t>认真执行《中华人民共和国畜牧法》、《中华人民共和国动物防疫法》、《农产品质量安全法》等法律法规，将畜产品的生产、加工、经营行为纳入法制管理轨道，建立公开、透明的畜产品质量安全信息发布制度。加大执法力度，严厉打击非法生产、销售和使用非法添加物的违法行为，确保畜产品源头生产安全。强化检疫监管，严厉查处病害动物产品上市的不法行为。</w:t>
      </w:r>
    </w:p>
    <w:p>
      <w:pPr>
        <w:spacing w:line="360" w:lineRule="auto"/>
        <w:ind w:firstLine="562" w:firstLineChars="200"/>
        <w:rPr>
          <w:rFonts w:ascii="宋体" w:hAnsi="宋体" w:cs="宋体"/>
          <w:b/>
          <w:color w:val="000000" w:themeColor="text1"/>
          <w:sz w:val="28"/>
          <w:szCs w:val="28"/>
          <w:shd w:val="clear" w:color="auto" w:fill="FFFFFF"/>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5）加强饲草饲料供应体系建设</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u w:color="FFFFFF"/>
          <w14:textFill>
            <w14:solidFill>
              <w14:schemeClr w14:val="tx1"/>
            </w14:solidFill>
          </w14:textFill>
        </w:rPr>
        <w:t>推进种植业结构调整和产业布局相结合，</w:t>
      </w:r>
      <w:r>
        <w:rPr>
          <w:rFonts w:hint="eastAsia" w:asciiTheme="minorEastAsia" w:hAnsiTheme="minorEastAsia" w:eastAsiaTheme="minorEastAsia"/>
          <w:color w:val="000000" w:themeColor="text1"/>
          <w:sz w:val="28"/>
          <w:szCs w:val="28"/>
          <w14:textFill>
            <w14:solidFill>
              <w14:schemeClr w14:val="tx1"/>
            </w14:solidFill>
          </w14:textFill>
        </w:rPr>
        <w:t>推广农闲田种草和草田轮作，实施青贮玉米、苜蓿、燕麦、黑麦草、甜高粱等优质饲草料人工种植，</w:t>
      </w:r>
      <w:r>
        <w:rPr>
          <w:rFonts w:hint="eastAsia" w:asciiTheme="minorEastAsia" w:hAnsiTheme="minorEastAsia" w:eastAsiaTheme="minorEastAsia"/>
          <w:color w:val="000000" w:themeColor="text1"/>
          <w:kern w:val="0"/>
          <w:sz w:val="28"/>
          <w:szCs w:val="28"/>
          <w:u w:color="FFFFFF"/>
          <w14:textFill>
            <w14:solidFill>
              <w14:schemeClr w14:val="tx1"/>
            </w14:solidFill>
          </w14:textFill>
        </w:rPr>
        <w:t>促进肉牛、肉羊等草食家畜的发展。</w:t>
      </w:r>
      <w:r>
        <w:rPr>
          <w:rFonts w:hint="eastAsia" w:asciiTheme="minorEastAsia" w:hAnsiTheme="minorEastAsia" w:eastAsiaTheme="minorEastAsia"/>
          <w:color w:val="000000" w:themeColor="text1"/>
          <w:sz w:val="28"/>
          <w:szCs w:val="28"/>
          <w14:textFill>
            <w14:solidFill>
              <w14:schemeClr w14:val="tx1"/>
            </w14:solidFill>
          </w14:textFill>
        </w:rPr>
        <w:t>推动饲草料资源多样化开发，加强对糟渣、饼粕等农产品加工副产品的饲料化处理和利用，积极开发利用菜饼粕和单细胞蛋白等非常规饲料资源，开展农作物秸秆高效利用示范，推广应用青贮、微贮等处理技术，</w:t>
      </w:r>
      <w:r>
        <w:rPr>
          <w:rFonts w:hint="eastAsia" w:asciiTheme="minorEastAsia" w:hAnsiTheme="minorEastAsia" w:eastAsiaTheme="minorEastAsia"/>
          <w:color w:val="000000" w:themeColor="text1"/>
          <w:kern w:val="0"/>
          <w:sz w:val="28"/>
          <w:szCs w:val="28"/>
          <w:u w:color="FFFFFF"/>
          <w14:textFill>
            <w14:solidFill>
              <w14:schemeClr w14:val="tx1"/>
            </w14:solidFill>
          </w14:textFill>
        </w:rPr>
        <w:t>加快秸秆资源转化利用。</w:t>
      </w:r>
    </w:p>
    <w:p>
      <w:pPr>
        <w:widowControl/>
        <w:spacing w:after="0" w:line="520" w:lineRule="atLeast"/>
        <w:ind w:firstLine="562"/>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6）推进产业化经营和社会化服务</w:t>
      </w:r>
    </w:p>
    <w:p>
      <w:pPr>
        <w:widowControl/>
        <w:spacing w:after="0" w:line="520" w:lineRule="atLeast"/>
        <w:ind w:firstLine="56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以提高效益为核心，着力培育畜牧业新型经营主体，理顺利益联结机制，构建多种形式的产业化经营模式，加强市场体系建设，促进一二三产业融合发展。加大新型经营主体扶持力度，引导建立大型企业为龙头、农民专业合作组织和社会化服务组织为纽带、适度规模养殖场为主体的产业体系。鼓励龙头企业建立养殖基地，发展订单生产，开展一体化经营。积极引导农民营销合作组织发展，鼓励运销大户、屠宰加工和流通企业领办营销合作组织，提高组织化程度。鼓励龙头企业、大户、专业合作组织、经纪人建立社会化服务组织，形成多形式、多层次的社会化服务体系。</w:t>
      </w:r>
    </w:p>
    <w:p>
      <w:pPr>
        <w:pStyle w:val="4"/>
        <w:rPr>
          <w:color w:val="000000" w:themeColor="text1"/>
          <w14:textFill>
            <w14:solidFill>
              <w14:schemeClr w14:val="tx1"/>
            </w14:solidFill>
          </w14:textFill>
        </w:rPr>
      </w:pPr>
      <w:bookmarkStart w:id="133" w:name="_Toc74150990"/>
      <w:r>
        <w:rPr>
          <w:rFonts w:hint="eastAsia"/>
          <w:color w:val="000000" w:themeColor="text1"/>
          <w14:textFill>
            <w14:solidFill>
              <w14:schemeClr w14:val="tx1"/>
            </w14:solidFill>
          </w14:textFill>
        </w:rPr>
        <w:t>4.5渔业产业</w:t>
      </w:r>
      <w:bookmarkEnd w:id="129"/>
      <w:bookmarkEnd w:id="133"/>
    </w:p>
    <w:p>
      <w:pPr>
        <w:pStyle w:val="5"/>
        <w:spacing w:line="360" w:lineRule="auto"/>
        <w:rPr>
          <w:rFonts w:ascii="宋体" w:hAnsi="宋体"/>
          <w:color w:val="000000" w:themeColor="text1"/>
          <w:szCs w:val="30"/>
          <w14:textFill>
            <w14:solidFill>
              <w14:schemeClr w14:val="tx1"/>
            </w14:solidFill>
          </w14:textFill>
        </w:rPr>
      </w:pPr>
      <w:bookmarkStart w:id="134" w:name="_Toc68558720"/>
      <w:bookmarkStart w:id="135" w:name="_Toc74150991"/>
      <w:r>
        <w:rPr>
          <w:rFonts w:hint="eastAsia" w:ascii="宋体" w:hAnsi="宋体"/>
          <w:color w:val="000000" w:themeColor="text1"/>
          <w:szCs w:val="30"/>
          <w14:textFill>
            <w14:solidFill>
              <w14:schemeClr w14:val="tx1"/>
            </w14:solidFill>
          </w14:textFill>
        </w:rPr>
        <w:t>4.5.1发展目标</w:t>
      </w:r>
      <w:bookmarkEnd w:id="134"/>
      <w:bookmarkEnd w:id="135"/>
    </w:p>
    <w:p>
      <w:pPr>
        <w:spacing w:line="360" w:lineRule="auto"/>
        <w:ind w:firstLine="560" w:firstLineChars="200"/>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为贯彻落实习近平总书记关于长江禁捕的重要指示批示精神，根据昆明市政府关于印发《水域滩涂规划2018-2030年》的通知要求，确定发展底线，稳定基本养殖面积，保障渔民的合法权益，保护水域生态环境，确保水产品的有效供给，实现嵩明县渔业经济提质增效，减量增收，绿色发展，富裕渔民的发展目标。2025年，全县水产品产量不低于1100吨,全县渔业经济总产值达到3400万元。</w:t>
      </w:r>
    </w:p>
    <w:p>
      <w:pPr>
        <w:pStyle w:val="5"/>
        <w:spacing w:line="360" w:lineRule="auto"/>
        <w:rPr>
          <w:rFonts w:ascii="宋体" w:hAnsi="宋体"/>
          <w:color w:val="000000" w:themeColor="text1"/>
          <w:szCs w:val="30"/>
          <w14:textFill>
            <w14:solidFill>
              <w14:schemeClr w14:val="tx1"/>
            </w14:solidFill>
          </w14:textFill>
        </w:rPr>
      </w:pPr>
      <w:bookmarkStart w:id="136" w:name="_Toc68558721"/>
      <w:bookmarkStart w:id="137" w:name="_Toc74150992"/>
      <w:r>
        <w:rPr>
          <w:rFonts w:hint="eastAsia" w:ascii="宋体" w:hAnsi="宋体"/>
          <w:color w:val="000000" w:themeColor="text1"/>
          <w:szCs w:val="30"/>
          <w14:textFill>
            <w14:solidFill>
              <w14:schemeClr w14:val="tx1"/>
            </w14:solidFill>
          </w14:textFill>
        </w:rPr>
        <w:t>4.5.2产业布局</w:t>
      </w:r>
      <w:bookmarkEnd w:id="136"/>
      <w:bookmarkEnd w:id="137"/>
    </w:p>
    <w:p>
      <w:pPr>
        <w:spacing w:line="360" w:lineRule="auto"/>
        <w:ind w:firstLine="560" w:firstLineChars="200"/>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在稳定四大家鱼等常规养殖品种的基础上，调整养殖品种结构，优化水产品质量。以池塘养殖草鱼为主，引进适合嵩明渔业实际发展需求的养殖品种，试验、示范推广其它水产养殖方式。大力推广稻渔综合种养项目，每年开展示范点建设200亩。通过“十年禁渔”工作开展，恢复牛栏江天然水域渔业资源种群数量，保证渔业生产的持续发展，维护生物多样性，保护生态平衡，</w:t>
      </w:r>
      <w:r>
        <w:rPr>
          <w:rFonts w:ascii="宋体" w:hAnsi="宋体" w:cs="宋体"/>
          <w:color w:val="000000" w:themeColor="text1"/>
          <w:sz w:val="28"/>
          <w:szCs w:val="28"/>
          <w:shd w:val="clear" w:color="auto" w:fill="FFFFFF"/>
          <w14:textFill>
            <w14:solidFill>
              <w14:schemeClr w14:val="tx1"/>
            </w14:solidFill>
          </w14:textFill>
        </w:rPr>
        <w:t>2021-2025</w:t>
      </w:r>
      <w:r>
        <w:rPr>
          <w:rFonts w:hint="eastAsia" w:ascii="宋体" w:hAnsi="宋体" w:cs="宋体"/>
          <w:color w:val="000000" w:themeColor="text1"/>
          <w:sz w:val="28"/>
          <w:szCs w:val="28"/>
          <w:shd w:val="clear" w:color="auto" w:fill="FFFFFF"/>
          <w14:textFill>
            <w14:solidFill>
              <w14:schemeClr w14:val="tx1"/>
            </w14:solidFill>
          </w14:textFill>
        </w:rPr>
        <w:t>年，计划在牛栏江嵩明段流域放流鲫鱼50万尾。</w:t>
      </w:r>
    </w:p>
    <w:p>
      <w:pPr>
        <w:pStyle w:val="5"/>
        <w:spacing w:line="360" w:lineRule="auto"/>
        <w:rPr>
          <w:rFonts w:ascii="宋体" w:hAnsi="宋体"/>
          <w:color w:val="000000" w:themeColor="text1"/>
          <w:szCs w:val="30"/>
          <w14:textFill>
            <w14:solidFill>
              <w14:schemeClr w14:val="tx1"/>
            </w14:solidFill>
          </w14:textFill>
        </w:rPr>
      </w:pPr>
      <w:bookmarkStart w:id="138" w:name="_Toc68558722"/>
      <w:bookmarkStart w:id="139" w:name="_Toc74150993"/>
      <w:r>
        <w:rPr>
          <w:rFonts w:hint="eastAsia" w:ascii="宋体" w:hAnsi="宋体"/>
          <w:color w:val="000000" w:themeColor="text1"/>
          <w:szCs w:val="30"/>
          <w14:textFill>
            <w14:solidFill>
              <w14:schemeClr w14:val="tx1"/>
            </w14:solidFill>
          </w14:textFill>
        </w:rPr>
        <w:t>4.5.3发展措施</w:t>
      </w:r>
      <w:bookmarkEnd w:id="138"/>
      <w:bookmarkEnd w:id="139"/>
    </w:p>
    <w:p>
      <w:pPr>
        <w:spacing w:line="360" w:lineRule="auto"/>
        <w:ind w:firstLine="562" w:firstLineChars="200"/>
        <w:rPr>
          <w:rFonts w:ascii="宋体" w:hAnsi="宋体" w:cs="宋体"/>
          <w:b/>
          <w:color w:val="000000" w:themeColor="text1"/>
          <w:sz w:val="28"/>
          <w:szCs w:val="28"/>
          <w:shd w:val="clear" w:color="auto" w:fill="FFFFFF"/>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1）加强渔政执法，保护渔业资源</w:t>
      </w:r>
    </w:p>
    <w:p>
      <w:pPr>
        <w:spacing w:line="360" w:lineRule="auto"/>
        <w:ind w:firstLine="560" w:firstLineChars="200"/>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按照国家、省、市、县关于在长江流域重点水域实施禁捕的工作要求，自2020年7月1日0时起对嵩明县牛栏江（嵩明段）流域重点水域实施禁捕。坚决遏制使用违规渔具、非法捕捞，做好牛栏江（嵩明段）流域重点水域十年禁渔持续性的工作，切实保护渔业资源，维护正常的渔业生产秩序。同时，要加强休渔禁渔、渔业安全生产、水产品质量、珍贵濒危水生生物保护等渔政执法监管。突出完善法律制度、执法专业手段和执法方式，强化渔政执法效能建设。提升队伍法治观念和法治素养，强化渔政队伍建设。</w:t>
      </w:r>
    </w:p>
    <w:p>
      <w:pPr>
        <w:spacing w:line="360" w:lineRule="auto"/>
        <w:ind w:firstLine="562" w:firstLineChars="200"/>
        <w:rPr>
          <w:rFonts w:ascii="宋体" w:hAnsi="宋体" w:cs="宋体"/>
          <w:b/>
          <w:color w:val="000000" w:themeColor="text1"/>
          <w:sz w:val="28"/>
          <w:szCs w:val="28"/>
          <w:shd w:val="clear" w:color="auto" w:fill="FFFFFF"/>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 xml:space="preserve">2）搞好生产体系建设、大力推进渔业产业化进程 </w:t>
      </w:r>
    </w:p>
    <w:p>
      <w:pPr>
        <w:spacing w:line="360" w:lineRule="auto"/>
        <w:ind w:firstLine="560" w:firstLineChars="200"/>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充分发挥水产养殖行业专业合作的作用，积极探索养殖单位和养殖户企业化，养殖合作社、养殖单位、养殖户间的合作经营等多种产业化经营方式。建立水产养殖质量技术推广体系，加强水产健康养殖、生态养殖的全面技术指导。加强与各县区信息与技术交流，减少生产的盲目性，产品紧跟市场，使专业合作社能真正起到生产引导作用，技术支持作用，市场营销作用，加强行业内的自律行为，避免无序竞争，形成良好的社会信誉，提高专业合作社的凝聚力。</w:t>
      </w:r>
    </w:p>
    <w:p>
      <w:pPr>
        <w:spacing w:line="360" w:lineRule="auto"/>
        <w:ind w:firstLine="562" w:firstLineChars="200"/>
        <w:rPr>
          <w:rFonts w:ascii="宋体" w:hAnsi="宋体" w:cs="宋体"/>
          <w:b/>
          <w:color w:val="000000" w:themeColor="text1"/>
          <w:sz w:val="28"/>
          <w:szCs w:val="28"/>
          <w:shd w:val="clear" w:color="auto" w:fill="FFFFFF"/>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3）强化质量监管，不断提高渔业管理能力</w:t>
      </w:r>
    </w:p>
    <w:p>
      <w:pPr>
        <w:spacing w:line="360" w:lineRule="auto"/>
        <w:ind w:firstLine="560" w:firstLineChars="200"/>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严格执行水产养殖产品质量安全管理制度，提高养殖水产品质量安全水平、保护渔业生态环境。加强水产品种选育和苗种生产、经营管理，提高水产苗种质量，维护水产苗种生产者、经营者和使用者的合法权益。加强水生动物防疫工作的管理、预防、控制和扑灭动物疾病，促进水产养殖业健康发展。</w:t>
      </w:r>
    </w:p>
    <w:p>
      <w:pPr>
        <w:pStyle w:val="4"/>
      </w:pPr>
      <w:bookmarkStart w:id="140" w:name="_Toc74150994"/>
      <w:r>
        <w:rPr>
          <w:rFonts w:hint="eastAsia"/>
        </w:rPr>
        <w:t>4.6烤烟产业</w:t>
      </w:r>
      <w:bookmarkEnd w:id="140"/>
    </w:p>
    <w:p>
      <w:pPr>
        <w:pStyle w:val="5"/>
        <w:spacing w:line="360" w:lineRule="auto"/>
        <w:rPr>
          <w:rFonts w:asciiTheme="majorEastAsia" w:hAnsiTheme="majorEastAsia" w:eastAsiaTheme="majorEastAsia"/>
          <w:szCs w:val="30"/>
        </w:rPr>
      </w:pPr>
      <w:bookmarkStart w:id="141" w:name="_Toc74150995"/>
      <w:r>
        <w:rPr>
          <w:rFonts w:hint="eastAsia" w:asciiTheme="majorEastAsia" w:hAnsiTheme="majorEastAsia" w:eastAsiaTheme="majorEastAsia"/>
          <w:szCs w:val="30"/>
        </w:rPr>
        <w:t>4</w:t>
      </w:r>
      <w:r>
        <w:rPr>
          <w:rFonts w:asciiTheme="majorEastAsia" w:hAnsiTheme="majorEastAsia" w:eastAsiaTheme="majorEastAsia"/>
          <w:szCs w:val="30"/>
        </w:rPr>
        <w:t>.6.</w:t>
      </w:r>
      <w:r>
        <w:rPr>
          <w:rFonts w:hint="eastAsia" w:asciiTheme="majorEastAsia" w:hAnsiTheme="majorEastAsia" w:eastAsiaTheme="majorEastAsia"/>
          <w:szCs w:val="30"/>
        </w:rPr>
        <w:t>1发展目标</w:t>
      </w:r>
      <w:bookmarkEnd w:id="141"/>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巩固、做优烤烟产业，以提质增效为目标，深入推进标准化生产，不断提升全县烤烟生产整体水平，进而提升烟叶质量，提高亩均产值，实现烟农增收，政府保税。</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“十四五”期间，嵩明县烤烟按照稳量稳产、优质高效的目标，遵循两年一轮的烤烟种植制度，建设基本烟田4-5万亩，年烟叶种植面积稳定在2-2.5万亩，达到优质适产，亩产稳定在150 kg左右。在等级质量方面，上等烟叶达70%左右，上中等烟叶90%以上，等级合格率80%。烟叶信息化管理水平全面提高，烟叶生产标准化全面实施。实现优质高效的烤烟生产。</w:t>
      </w:r>
    </w:p>
    <w:p>
      <w:pPr>
        <w:pStyle w:val="5"/>
        <w:spacing w:line="360" w:lineRule="auto"/>
        <w:rPr>
          <w:rFonts w:asciiTheme="majorEastAsia" w:hAnsiTheme="majorEastAsia" w:eastAsiaTheme="majorEastAsia"/>
          <w:szCs w:val="30"/>
        </w:rPr>
      </w:pPr>
      <w:bookmarkStart w:id="142" w:name="_Toc74150996"/>
      <w:r>
        <w:rPr>
          <w:rFonts w:hint="eastAsia" w:asciiTheme="majorEastAsia" w:hAnsiTheme="majorEastAsia" w:eastAsiaTheme="majorEastAsia"/>
          <w:szCs w:val="30"/>
        </w:rPr>
        <w:t>4</w:t>
      </w:r>
      <w:r>
        <w:rPr>
          <w:rFonts w:asciiTheme="majorEastAsia" w:hAnsiTheme="majorEastAsia" w:eastAsiaTheme="majorEastAsia"/>
          <w:szCs w:val="30"/>
        </w:rPr>
        <w:t>.6.</w:t>
      </w:r>
      <w:r>
        <w:rPr>
          <w:rFonts w:hint="eastAsia" w:asciiTheme="majorEastAsia" w:hAnsiTheme="majorEastAsia" w:eastAsiaTheme="majorEastAsia"/>
          <w:szCs w:val="30"/>
        </w:rPr>
        <w:t>2产业布局</w:t>
      </w:r>
      <w:bookmarkEnd w:id="142"/>
    </w:p>
    <w:p>
      <w:pPr>
        <w:spacing w:line="360" w:lineRule="auto"/>
        <w:ind w:firstLine="560" w:firstLineChars="200"/>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稳定现有烟区，稳定现有烟农。在嵩明县嵩阳街道办、杨桥街道办、杨林镇、小街镇、牛栏江镇</w:t>
      </w:r>
      <w:r>
        <w:rPr>
          <w:rFonts w:ascii="宋体" w:hAnsi="宋体" w:cs="宋体"/>
          <w:color w:val="000000"/>
          <w:sz w:val="28"/>
          <w:szCs w:val="28"/>
          <w:shd w:val="clear" w:color="auto" w:fill="FFFFFF"/>
        </w:rPr>
        <w:t>5</w:t>
      </w:r>
      <w:r>
        <w:rPr>
          <w:rFonts w:hint="eastAsia" w:ascii="宋体" w:hAnsi="宋体" w:cs="宋体"/>
          <w:color w:val="000000"/>
          <w:sz w:val="28"/>
          <w:szCs w:val="28"/>
          <w:shd w:val="clear" w:color="auto" w:fill="FFFFFF"/>
        </w:rPr>
        <w:t>个行政区，海拔</w:t>
      </w:r>
      <w:r>
        <w:rPr>
          <w:rFonts w:ascii="宋体" w:hAnsi="宋体" w:cs="宋体"/>
          <w:color w:val="000000"/>
          <w:sz w:val="28"/>
          <w:szCs w:val="28"/>
          <w:shd w:val="clear" w:color="auto" w:fill="FFFFFF"/>
        </w:rPr>
        <w:t>800</w:t>
      </w:r>
      <w:r>
        <w:rPr>
          <w:rFonts w:hint="eastAsia" w:ascii="宋体" w:hAnsi="宋体" w:cs="宋体"/>
          <w:color w:val="000000"/>
          <w:sz w:val="28"/>
          <w:szCs w:val="28"/>
          <w:shd w:val="clear" w:color="auto" w:fill="FFFFFF"/>
        </w:rPr>
        <w:t>～</w:t>
      </w:r>
      <w:r>
        <w:rPr>
          <w:rFonts w:ascii="宋体" w:hAnsi="宋体" w:cs="宋体"/>
          <w:color w:val="000000"/>
          <w:sz w:val="28"/>
          <w:szCs w:val="28"/>
          <w:shd w:val="clear" w:color="auto" w:fill="FFFFFF"/>
        </w:rPr>
        <w:t>2100m</w:t>
      </w:r>
      <w:r>
        <w:rPr>
          <w:rFonts w:hint="eastAsia" w:ascii="宋体" w:hAnsi="宋体" w:cs="宋体"/>
          <w:color w:val="000000"/>
          <w:sz w:val="28"/>
          <w:szCs w:val="28"/>
          <w:shd w:val="clear" w:color="auto" w:fill="FFFFFF"/>
        </w:rPr>
        <w:t>、坡度≤</w:t>
      </w:r>
      <w:r>
        <w:rPr>
          <w:rFonts w:ascii="宋体" w:hAnsi="宋体" w:cs="宋体"/>
          <w:color w:val="000000"/>
          <w:sz w:val="28"/>
          <w:szCs w:val="28"/>
          <w:shd w:val="clear" w:color="auto" w:fill="FFFFFF"/>
        </w:rPr>
        <w:t>25</w:t>
      </w:r>
      <w:r>
        <w:rPr>
          <w:rFonts w:hint="eastAsia" w:ascii="宋体" w:hAnsi="宋体" w:cs="宋体"/>
          <w:color w:val="000000"/>
          <w:sz w:val="28"/>
          <w:szCs w:val="28"/>
          <w:shd w:val="clear" w:color="auto" w:fill="FFFFFF"/>
        </w:rPr>
        <w:t>°的区域内，遵循两年一轮的烤烟种植制度，建设基本烟田</w:t>
      </w:r>
      <w:r>
        <w:rPr>
          <w:rFonts w:ascii="宋体" w:hAnsi="宋体" w:cs="宋体"/>
          <w:color w:val="000000"/>
          <w:sz w:val="28"/>
          <w:szCs w:val="28"/>
          <w:shd w:val="clear" w:color="auto" w:fill="FFFFFF"/>
        </w:rPr>
        <w:t>4-5</w:t>
      </w:r>
      <w:r>
        <w:rPr>
          <w:rFonts w:hint="eastAsia" w:ascii="宋体" w:hAnsi="宋体" w:cs="宋体"/>
          <w:color w:val="000000"/>
          <w:sz w:val="28"/>
          <w:szCs w:val="28"/>
          <w:shd w:val="clear" w:color="auto" w:fill="FFFFFF"/>
        </w:rPr>
        <w:t>万亩。</w:t>
      </w:r>
    </w:p>
    <w:p>
      <w:pPr>
        <w:pStyle w:val="5"/>
        <w:spacing w:line="360" w:lineRule="auto"/>
        <w:rPr>
          <w:rFonts w:asciiTheme="majorEastAsia" w:hAnsiTheme="majorEastAsia" w:eastAsiaTheme="majorEastAsia"/>
          <w:szCs w:val="30"/>
        </w:rPr>
      </w:pPr>
      <w:bookmarkStart w:id="143" w:name="_Toc74150997"/>
      <w:r>
        <w:rPr>
          <w:rFonts w:hint="eastAsia" w:asciiTheme="majorEastAsia" w:hAnsiTheme="majorEastAsia" w:eastAsiaTheme="majorEastAsia"/>
          <w:szCs w:val="30"/>
        </w:rPr>
        <w:t>4</w:t>
      </w:r>
      <w:r>
        <w:rPr>
          <w:rFonts w:asciiTheme="majorEastAsia" w:hAnsiTheme="majorEastAsia" w:eastAsiaTheme="majorEastAsia"/>
          <w:szCs w:val="30"/>
        </w:rPr>
        <w:t>.6.</w:t>
      </w:r>
      <w:r>
        <w:rPr>
          <w:rFonts w:hint="eastAsia" w:asciiTheme="majorEastAsia" w:hAnsiTheme="majorEastAsia" w:eastAsiaTheme="majorEastAsia"/>
          <w:szCs w:val="30"/>
        </w:rPr>
        <w:t>3发展措施</w:t>
      </w:r>
      <w:bookmarkEnd w:id="143"/>
    </w:p>
    <w:p>
      <w:pPr>
        <w:spacing w:line="360" w:lineRule="auto"/>
        <w:ind w:firstLine="560" w:firstLineChars="200"/>
      </w:pPr>
      <w:r>
        <w:rPr>
          <w:rFonts w:hint="eastAsia" w:ascii="宋体" w:hAnsi="宋体" w:cs="宋体"/>
          <w:color w:val="000000"/>
          <w:sz w:val="28"/>
          <w:szCs w:val="28"/>
          <w:shd w:val="clear" w:color="auto" w:fill="FFFFFF"/>
        </w:rPr>
        <w:t>根据《云南省烤烟种植区域规划技术标准》的要求，对全县烤烟种植区域的土地进行全面调查和统计，合理布局区域，按照轮作规划要求，把自然生态条件好、连片规模大、烟叶质量优良且有特色、烟农素质技能高的优质烟区规划为种植区域，充分发挥生态、品种、技术的协同增效作用，着力彰显烟叶优良品质和特色，并提升烟叶规模化、集约化、均质化生产水平。同时遵循两年一轮的烤烟种植制度的种植面积标准，分类规划烤烟种植核心区、优质区，保证基本烟田的稳定与固化。</w:t>
      </w:r>
    </w:p>
    <w:p>
      <w:pPr>
        <w:pStyle w:val="4"/>
      </w:pPr>
      <w:bookmarkStart w:id="144" w:name="_Toc53235427"/>
      <w:bookmarkStart w:id="145" w:name="_Toc74150998"/>
      <w:r>
        <w:t>4.</w:t>
      </w:r>
      <w:r>
        <w:rPr>
          <w:rFonts w:hint="eastAsia"/>
        </w:rPr>
        <w:t>7水果产业</w:t>
      </w:r>
      <w:bookmarkEnd w:id="144"/>
      <w:bookmarkEnd w:id="145"/>
    </w:p>
    <w:p>
      <w:pPr>
        <w:pStyle w:val="5"/>
        <w:rPr>
          <w:rFonts w:ascii="宋体" w:hAnsi="宋体" w:cs="宋体"/>
          <w:color w:val="000000"/>
          <w:szCs w:val="30"/>
        </w:rPr>
      </w:pPr>
      <w:bookmarkStart w:id="146" w:name="_Toc74150999"/>
      <w:r>
        <w:rPr>
          <w:rFonts w:hint="eastAsia" w:ascii="宋体" w:hAnsi="宋体" w:cs="宋体"/>
          <w:color w:val="000000"/>
          <w:szCs w:val="30"/>
        </w:rPr>
        <w:t>4.7.1发展目标</w:t>
      </w:r>
      <w:bookmarkEnd w:id="146"/>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十四五期间，按照突出重点、稳步发展，推行标准化生产步伐，以“莓”字为引领，大力发展特色水果种植及标准化基地建设，打造特色果品、主导品种、优势品种种植基地。</w:t>
      </w:r>
    </w:p>
    <w:p>
      <w:pPr>
        <w:pStyle w:val="5"/>
        <w:rPr>
          <w:rFonts w:ascii="宋体" w:cs="宋体"/>
          <w:color w:val="000000"/>
          <w:szCs w:val="30"/>
        </w:rPr>
      </w:pPr>
      <w:bookmarkStart w:id="147" w:name="_Toc74151000"/>
      <w:r>
        <w:rPr>
          <w:rFonts w:hint="eastAsia" w:ascii="宋体" w:hAnsi="宋体" w:cs="宋体"/>
          <w:color w:val="000000"/>
          <w:szCs w:val="30"/>
        </w:rPr>
        <w:t>4.7.2产业布局</w:t>
      </w:r>
      <w:bookmarkEnd w:id="147"/>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由于城市建设扩展，水果生产空间逐年受到压缩，我县主要水果桃、梨已经逐年减少，2020年底，以桃树种植为主的杨桥矣铎村委会、杨林大树营村委会种植面积已缩小至三分之一。</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十四五期间以草莓、树莓、蓝莓为主，大力发展特色水果产业，草莓增加到3000亩，蓝莓增加到1000亩，树莓增加到500亩。以牛栏江镇为主的葡萄种植面积增加到2000亩，苹果面积增加到2000亩。桃树保优除劣，适时更新，动态维持5000亩面积。梨保有量1500亩。保持万亩雪莲果的种植规模。</w:t>
      </w:r>
    </w:p>
    <w:p>
      <w:pPr>
        <w:pStyle w:val="5"/>
        <w:rPr>
          <w:rFonts w:ascii="宋体" w:hAnsi="宋体" w:cs="宋体"/>
          <w:color w:val="000000"/>
          <w:sz w:val="28"/>
          <w:szCs w:val="28"/>
          <w:shd w:val="clear" w:color="auto" w:fill="FFFFFF"/>
        </w:rPr>
      </w:pPr>
      <w:bookmarkStart w:id="148" w:name="_Toc74151001"/>
      <w:r>
        <w:rPr>
          <w:rFonts w:hint="eastAsia" w:ascii="宋体" w:hAnsi="宋体" w:cs="宋体"/>
          <w:color w:val="000000"/>
          <w:szCs w:val="30"/>
        </w:rPr>
        <w:t>4.7.3发展措施</w:t>
      </w:r>
      <w:bookmarkEnd w:id="148"/>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加强与科研院所合作，开展以矮化密植种植试验示范及推广、生态果园建设、高光效树形配套技术试验以及绿色防控技术为核心的技术研究，为水果产业可持续发展提供技术支撑。</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完善水果种植技术规范和管理技术标准化，形成全产业链技术规范标准。建立水果技术服务队，开展新技术推广指导工作，使其成为连接乡镇技术推广机构和广大农民的纽带。</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完善质量安全监管体系，强化投入品、包装标识监管和产地环境检测，推进标准化生产，建立质量安全追溯体系，提升果品质量安全水平。</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提高嵩明水果的市场化程度和品牌化水平。鼓励果农和果品销售企业进行果品认证。如绿色食品和有机食品认证。</w:t>
      </w:r>
    </w:p>
    <w:p>
      <w:pPr>
        <w:pStyle w:val="4"/>
      </w:pPr>
      <w:bookmarkStart w:id="149" w:name="_Toc74151002"/>
      <w:r>
        <w:rPr>
          <w:rFonts w:hint="eastAsia"/>
        </w:rPr>
        <w:t>4.8中药材</w:t>
      </w:r>
      <w:bookmarkEnd w:id="149"/>
    </w:p>
    <w:p>
      <w:pPr>
        <w:pStyle w:val="5"/>
        <w:rPr>
          <w:rFonts w:ascii="宋体" w:hAnsi="宋体" w:cs="宋体"/>
          <w:color w:val="000000"/>
          <w:szCs w:val="30"/>
        </w:rPr>
      </w:pPr>
      <w:bookmarkStart w:id="150" w:name="_Toc74151003"/>
      <w:r>
        <w:rPr>
          <w:rFonts w:hint="eastAsia" w:ascii="宋体" w:hAnsi="宋体" w:cs="宋体"/>
          <w:color w:val="000000"/>
          <w:szCs w:val="30"/>
        </w:rPr>
        <w:t>4.8.1发展目标</w:t>
      </w:r>
      <w:bookmarkEnd w:id="150"/>
    </w:p>
    <w:p>
      <w:pPr>
        <w:spacing w:line="360" w:lineRule="auto"/>
        <w:ind w:firstLine="560" w:firstLineChars="200"/>
        <w:rPr>
          <w:rFonts w:ascii="宋体" w:hAnsi="宋体" w:cs="宋体"/>
          <w:color w:val="FF0000"/>
          <w:sz w:val="28"/>
          <w:szCs w:val="28"/>
          <w:shd w:val="clear" w:color="auto" w:fill="FFFFFF"/>
        </w:rPr>
      </w:pPr>
      <w:r>
        <w:rPr>
          <w:rFonts w:hint="eastAsia" w:ascii="宋体" w:hAnsi="宋体" w:cs="宋体"/>
          <w:color w:val="000000"/>
          <w:sz w:val="28"/>
          <w:szCs w:val="28"/>
          <w:shd w:val="clear" w:color="auto" w:fill="FFFFFF"/>
        </w:rPr>
        <w:t>坚持市场主导、政府引导、农户自愿的原则，着力抓好中药材种植基地、种苗基地和初加工基地建设，到2025年，中药材种植面积达3000亩，实现产值4000万元以上。</w:t>
      </w:r>
    </w:p>
    <w:p>
      <w:pPr>
        <w:pStyle w:val="5"/>
        <w:rPr>
          <w:rFonts w:ascii="宋体" w:hAnsi="宋体" w:cs="宋体"/>
          <w:color w:val="000000"/>
          <w:szCs w:val="30"/>
        </w:rPr>
      </w:pPr>
      <w:bookmarkStart w:id="151" w:name="_Toc74151004"/>
      <w:r>
        <w:rPr>
          <w:rFonts w:hint="eastAsia" w:ascii="宋体" w:hAnsi="宋体" w:cs="宋体"/>
          <w:color w:val="000000"/>
          <w:szCs w:val="30"/>
        </w:rPr>
        <w:t>4.8.2产业布局</w:t>
      </w:r>
      <w:bookmarkEnd w:id="151"/>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在全县三镇、两街道山区或半山区实施龙头企业带动，合理布局3000亩中药材种植基地建设，重点培育扶持4户以上中药材企业，推动中药材产业稳步发展。</w:t>
      </w:r>
    </w:p>
    <w:p>
      <w:pPr>
        <w:pStyle w:val="5"/>
      </w:pPr>
      <w:bookmarkStart w:id="152" w:name="_Toc74151005"/>
      <w:r>
        <w:rPr>
          <w:rFonts w:hint="eastAsia" w:ascii="宋体" w:hAnsi="宋体" w:cs="宋体"/>
          <w:color w:val="000000"/>
          <w:szCs w:val="30"/>
        </w:rPr>
        <w:t>4.8.3发展措施</w:t>
      </w:r>
      <w:bookmarkEnd w:id="152"/>
    </w:p>
    <w:p>
      <w:pPr>
        <w:spacing w:line="360" w:lineRule="auto"/>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1）加大技术推广，提高中药材产品附加值</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根据产业发展和市场需求，大力推广中草药绿色化种植技术，开展病虫害生物防治等技术攻坚和推广培训。扶持中药材加工企业，促进中药材加工升级，提高产品经济附加值。使中药材产业逐步走向“规范化种植、标准化生产、规模化经营”的良性轨道。</w:t>
      </w:r>
    </w:p>
    <w:p>
      <w:pPr>
        <w:spacing w:line="360" w:lineRule="auto"/>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2）加大与科研机构合作力度，优化产业和品种结构</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加强与科研院所的合作力度，搭建校企、院企合作平台，开展中药材种质资源收集、品种选育、农药和重金属残留等问题研究。探索区块链和智慧农业技术，积极参与优势中药材、民族医药的创新开发。延伸中草药产业链，推进嵩明白芨、重楼、黄精、天门冬等中药材在研发、种植、收购、初加工、收储、深加工、营销、交易等方面的产业融合，促进中药材产业健康发展。</w:t>
      </w:r>
    </w:p>
    <w:p>
      <w:pPr>
        <w:spacing w:line="360" w:lineRule="auto"/>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3）强化对外宣传，创建产业品牌</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推广嵩明中药材文化传播，积极开展嵩明中草药康养文化、兰茂历史传承等方面研究，以“源远流长、绿色生态”为定位，多渠道、多形式地加大嵩明中药材宣传力度，做强中药材产业品牌。</w:t>
      </w:r>
    </w:p>
    <w:p>
      <w:pPr>
        <w:pStyle w:val="4"/>
      </w:pPr>
      <w:bookmarkStart w:id="153" w:name="_Toc74151006"/>
      <w:r>
        <w:rPr>
          <w:rFonts w:hint="eastAsia"/>
        </w:rPr>
        <w:t>4.9农业旅游</w:t>
      </w:r>
      <w:bookmarkEnd w:id="153"/>
    </w:p>
    <w:p>
      <w:pPr>
        <w:pStyle w:val="5"/>
        <w:rPr>
          <w:rFonts w:ascii="宋体" w:cs="宋体"/>
          <w:color w:val="000000"/>
          <w:szCs w:val="30"/>
        </w:rPr>
      </w:pPr>
      <w:bookmarkStart w:id="154" w:name="_Toc74151007"/>
      <w:r>
        <w:rPr>
          <w:rFonts w:hint="eastAsia" w:ascii="宋体" w:hAnsi="宋体" w:cs="宋体"/>
          <w:color w:val="000000"/>
          <w:szCs w:val="30"/>
        </w:rPr>
        <w:t>4.9.1发展目标</w:t>
      </w:r>
      <w:bookmarkEnd w:id="154"/>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配合精准扶贫与乡村振兴国家战略，促进嵩明乡村旅游、健康度假、生态休闲全域发展，和一、二、三产业融合发展。</w:t>
      </w:r>
    </w:p>
    <w:p>
      <w:pPr>
        <w:pStyle w:val="5"/>
        <w:rPr>
          <w:rFonts w:ascii="宋体" w:cs="宋体"/>
          <w:color w:val="000000"/>
          <w:szCs w:val="30"/>
        </w:rPr>
      </w:pPr>
      <w:bookmarkStart w:id="155" w:name="_Toc74151008"/>
      <w:r>
        <w:rPr>
          <w:rFonts w:hint="eastAsia" w:ascii="宋体" w:hAnsi="宋体" w:cs="宋体"/>
          <w:color w:val="000000"/>
          <w:szCs w:val="30"/>
        </w:rPr>
        <w:t>4.9.2产业布局</w:t>
      </w:r>
      <w:bookmarkEnd w:id="155"/>
    </w:p>
    <w:p>
      <w:pPr>
        <w:spacing w:line="360" w:lineRule="auto"/>
        <w:ind w:firstLine="562" w:firstLineChars="200"/>
        <w:rPr>
          <w:rFonts w:ascii="宋体" w:hAnsi="宋体" w:cs="宋体"/>
          <w:color w:val="000000"/>
          <w:sz w:val="28"/>
          <w:szCs w:val="28"/>
          <w:shd w:val="clear" w:color="auto" w:fill="FFFFFF"/>
        </w:rPr>
      </w:pPr>
      <w:r>
        <w:rPr>
          <w:rFonts w:hint="eastAsia" w:ascii="宋体" w:hAnsi="宋体" w:cs="宋体"/>
          <w:b/>
          <w:bCs/>
          <w:color w:val="000000"/>
          <w:sz w:val="28"/>
          <w:szCs w:val="28"/>
          <w:shd w:val="clear" w:color="auto" w:fill="FFFFFF"/>
        </w:rPr>
        <w:t>嵩阳街道</w:t>
      </w:r>
      <w:r>
        <w:rPr>
          <w:rFonts w:hint="eastAsia" w:ascii="宋体" w:hAnsi="宋体" w:cs="宋体"/>
          <w:color w:val="000000"/>
          <w:sz w:val="28"/>
          <w:szCs w:val="28"/>
          <w:shd w:val="clear" w:color="auto" w:fill="FFFFFF"/>
        </w:rPr>
        <w:t>定位为文化旅游、农业观光旅游示范区，对法界寺森林公园进行整体规划，建设法界寺旅游一条街，包含吃、住、玩、娱等。提升改造黄龙山公园、诸葛武侯祠和艺术中心，围绕企业四大优势产业(花卉、红枫、生菜、番茄)，发展农业观光旅游。</w:t>
      </w:r>
    </w:p>
    <w:p>
      <w:pPr>
        <w:spacing w:line="360" w:lineRule="auto"/>
        <w:ind w:firstLine="562" w:firstLineChars="200"/>
        <w:rPr>
          <w:rFonts w:ascii="宋体" w:hAnsi="宋体" w:cs="宋体"/>
          <w:color w:val="000000"/>
          <w:sz w:val="28"/>
          <w:szCs w:val="28"/>
          <w:shd w:val="clear" w:color="auto" w:fill="FFFFFF"/>
        </w:rPr>
      </w:pPr>
      <w:r>
        <w:rPr>
          <w:rFonts w:hint="eastAsia" w:ascii="宋体" w:hAnsi="宋体" w:cs="宋体"/>
          <w:b/>
          <w:bCs/>
          <w:color w:val="000000"/>
          <w:sz w:val="28"/>
          <w:szCs w:val="28"/>
          <w:shd w:val="clear" w:color="auto" w:fill="FFFFFF"/>
        </w:rPr>
        <w:t>杨林镇</w:t>
      </w:r>
      <w:r>
        <w:rPr>
          <w:rFonts w:hint="eastAsia" w:ascii="宋体" w:hAnsi="宋体" w:cs="宋体"/>
          <w:color w:val="000000"/>
          <w:sz w:val="28"/>
          <w:szCs w:val="28"/>
          <w:shd w:val="clear" w:color="auto" w:fill="FFFFFF"/>
        </w:rPr>
        <w:t>定位为全域健康休闲旅游示范区，依托昆明恒大国际健康城，发展集旅居度假、运动赛事、商务会议等为一体的健康产业。依托恒大文化旅游城和中华恐龙园旅游综合发展嵩明文旅产业。将杨林发展成嵩明健康休闲旅游示范区。</w:t>
      </w:r>
    </w:p>
    <w:p>
      <w:pPr>
        <w:spacing w:line="360" w:lineRule="auto"/>
        <w:ind w:firstLine="562" w:firstLineChars="200"/>
        <w:rPr>
          <w:rFonts w:ascii="宋体" w:hAnsi="宋体" w:cs="宋体"/>
          <w:color w:val="000000"/>
          <w:sz w:val="28"/>
          <w:szCs w:val="28"/>
          <w:shd w:val="clear" w:color="auto" w:fill="FFFFFF"/>
        </w:rPr>
      </w:pPr>
      <w:r>
        <w:rPr>
          <w:rFonts w:hint="eastAsia" w:ascii="宋体" w:hAnsi="宋体" w:cs="宋体"/>
          <w:b/>
          <w:bCs/>
          <w:color w:val="000000"/>
          <w:sz w:val="28"/>
          <w:szCs w:val="28"/>
          <w:shd w:val="clear" w:color="auto" w:fill="FFFFFF"/>
        </w:rPr>
        <w:t>杨桥街道</w:t>
      </w:r>
      <w:r>
        <w:rPr>
          <w:rFonts w:hint="eastAsia" w:ascii="宋体" w:hAnsi="宋体" w:cs="宋体"/>
          <w:color w:val="000000"/>
          <w:sz w:val="28"/>
          <w:szCs w:val="28"/>
          <w:shd w:val="clear" w:color="auto" w:fill="FFFFFF"/>
        </w:rPr>
        <w:t>定位为西山乡村旅游和森林康养度假片区，围绕杨桥街道大湾苗族旅游特色村，发展休闲度假、民族风情园、农趣园、农业观光园，形成集享受天然氧吧、休闲娱乐、垂钓、体验民族文化为一体的民族团结示范旅游观光特色村，利用西山森林资源禀赋发展西山片区文旅康养项目和西南国际山地自行车运动公园。</w:t>
      </w:r>
    </w:p>
    <w:p>
      <w:pPr>
        <w:spacing w:line="360" w:lineRule="auto"/>
        <w:ind w:firstLine="562" w:firstLineChars="200"/>
        <w:rPr>
          <w:rFonts w:ascii="宋体" w:hAnsi="宋体" w:cs="宋体"/>
          <w:color w:val="000000"/>
          <w:sz w:val="28"/>
          <w:szCs w:val="28"/>
          <w:shd w:val="clear" w:color="auto" w:fill="FFFFFF"/>
        </w:rPr>
      </w:pPr>
      <w:r>
        <w:rPr>
          <w:rFonts w:hint="eastAsia" w:ascii="宋体" w:hAnsi="宋体" w:cs="宋体"/>
          <w:b/>
          <w:bCs/>
          <w:color w:val="000000"/>
          <w:sz w:val="28"/>
          <w:szCs w:val="28"/>
          <w:shd w:val="clear" w:color="auto" w:fill="FFFFFF"/>
        </w:rPr>
        <w:t>小街镇</w:t>
      </w:r>
      <w:r>
        <w:rPr>
          <w:rFonts w:hint="eastAsia" w:ascii="宋体" w:hAnsi="宋体" w:cs="宋体"/>
          <w:color w:val="000000"/>
          <w:sz w:val="28"/>
          <w:szCs w:val="28"/>
          <w:shd w:val="clear" w:color="auto" w:fill="FFFFFF"/>
        </w:rPr>
        <w:t>定位为民族民俗文化旅游、花卉观光旅游示范区，提升小街镇龙狮知名度，传承汉族刺绣、大香制作、乌铜走银等传统工艺。同时农业园区发展设施农业、科技农业，提升发展现代农业的集聚和带动功能，延伸产业链条做大二产，推进花卉与休闲旅游、健康养生等深度融合，发展观光、体验等新产业新业态。</w:t>
      </w:r>
    </w:p>
    <w:p>
      <w:pPr>
        <w:spacing w:line="360" w:lineRule="auto"/>
        <w:ind w:firstLine="562" w:firstLineChars="200"/>
      </w:pPr>
      <w:r>
        <w:rPr>
          <w:rFonts w:hint="eastAsia" w:ascii="宋体" w:hAnsi="宋体" w:cs="宋体"/>
          <w:b/>
          <w:bCs/>
          <w:color w:val="000000"/>
          <w:sz w:val="28"/>
          <w:szCs w:val="28"/>
          <w:shd w:val="clear" w:color="auto" w:fill="FFFFFF"/>
        </w:rPr>
        <w:t>牛栏江镇</w:t>
      </w:r>
      <w:r>
        <w:rPr>
          <w:rFonts w:hint="eastAsia" w:ascii="宋体" w:hAnsi="宋体" w:cs="宋体"/>
          <w:color w:val="000000"/>
          <w:sz w:val="28"/>
          <w:szCs w:val="28"/>
          <w:shd w:val="clear" w:color="auto" w:fill="FFFFFF"/>
        </w:rPr>
        <w:t>定位为美丽乡村旅游片区，围绕“生态和美牛栏江”的形象定位，以健康养生、休闲运动、乡村观光为方向，推进海潮寺森林公园景区及水晶宫项目开发，持续推进荒田马鞍山马樱花节的举办，加强农业旅游基地培育，打造田园旅游综合体，培育提升水果采摘基地、雪莲果研学基地、田园农耕旅游体验点。加强百花箐山谷景区建设，为游客提供多种形式的乡村旅游体验，致力于打造滇中首个以田园迪士尼模式为核心的美丽乡村旅游区。</w:t>
      </w:r>
    </w:p>
    <w:p>
      <w:pPr>
        <w:pStyle w:val="5"/>
      </w:pPr>
      <w:bookmarkStart w:id="156" w:name="_Toc74151009"/>
      <w:r>
        <w:rPr>
          <w:rFonts w:hint="eastAsia" w:ascii="宋体" w:hAnsi="宋体" w:cs="宋体"/>
          <w:color w:val="000000"/>
          <w:szCs w:val="30"/>
        </w:rPr>
        <w:t>4.9.3发展措施</w:t>
      </w:r>
      <w:bookmarkEnd w:id="156"/>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紧紧围绕“生态和美牛栏江”的形象定位，以历史文化为依托，以健康养生、休闲运动、乡村观光为方向，力争用五年时间，高质量补齐文化旅游基础设施短板，打造健康生活目的地，将牛栏江镇建设成为嵩明文化旅游的名片。依托大鼎山的生态环境和海潮寺的宗教文化资源，打造禅修养生基地，作为嘉丽泽健康度假产品的有效补充；依托罗帮湿地现有自然资源规划建设湿地处理系统，突出生态林、休闲管理区功能发挥，建成生态观光、休闲度假和水上娱乐为重点的旅游点，发展休闲经济。同时，修复西南联大旧址，把旧址打造成为牛栏江镇乃至全省重要的爱国主义教育基地、文化旅游景点。</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嘉丽泽-牛栏江湿地公园片区。主要包括现在嘉丽泽湿地片区与牛栏江流域地区，将山地、丘陵、森林、湿地、河流、村庄、水库均纳入整个区域。</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以国家湿地公园为品牌发展路径，以水生态保护为重点，开发滨水游憩休闲旅游产品。立足嘉丽泽湿地与牛栏江水系，梳理星耀水乡、海潮寺森林公园、嘉丽泽洪痕石刻、药灵山、沿岸农舍等旅游资源，利用嘉丽泽大面积的生态湿地，依托现有旅游资源、旅游项目以及旅游设施，将嘉丽泽做成高原精品湿地片区。利用牛栏江的水资源，进行河道的整理与整顿，并结合沿岸的森林景观和良田盆地，开发水利观光项目和水生态文明示范项目，打造集滨水骑行、休闲度假、乡村旅游等功能为一体的水生态文明长廊。</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依托中信嘉丽泽高端旅游休闲资源，以东山、落水洞、核桃、老余屯为重点，突出抓好豌豆、雪莲果、烤烟、核桃、中药材等产业发展，加快建设集绿色高效、生态涵养、休闲观光功能于一体的“山地生态农业示范区”。以新村、官渡、马坊、罗良为核心，以生态蔬菜采摘、垂钓、蔬菜种植体验，特色餐饮吸引城市高端群体到农村体验农家生活，观赏特色种植景观，着力培育和发展各具特色的都市农庄，建设一批康体、养生、生态、休闲旅游都市农庄。</w:t>
      </w:r>
    </w:p>
    <w:p>
      <w:pPr>
        <w:spacing w:line="360" w:lineRule="auto"/>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以蛇山森林公园、周边水库水系等生态资源为基础，重点打造青少年体育拓展区、蛇山森林康养基地、绿色生态农业采摘区、健康特色小镇、山地牧业饲养观光园、梦里水乡以及山地商业配套区等大健康休闲文旅版块，构建“农业、休闲、文旅、康养”为主题的休闲观光农业文旅产业带，形成 “嘉丽泽运动小镇”的现代旅游业的延伸，形成农业与旅游业相结合、第一产业和第三产业相结合的新型产业。</w:t>
      </w:r>
    </w:p>
    <w:p>
      <w:pPr>
        <w:pStyle w:val="11"/>
      </w:pPr>
    </w:p>
    <w:p>
      <w:pPr>
        <w:sectPr>
          <w:pgSz w:w="11906" w:h="16838"/>
          <w:pgMar w:top="1417" w:right="1417" w:bottom="1417" w:left="1417" w:header="851" w:footer="992" w:gutter="0"/>
          <w:cols w:space="720" w:num="1"/>
          <w:docGrid w:type="lines" w:linePitch="312" w:charSpace="0"/>
        </w:sectPr>
      </w:pPr>
    </w:p>
    <w:p>
      <w:pPr>
        <w:pStyle w:val="3"/>
        <w:rPr>
          <w:rFonts w:ascii="宋体" w:hAnsi="宋体" w:cs="宋体"/>
          <w:color w:val="000000"/>
          <w:szCs w:val="36"/>
        </w:rPr>
      </w:pPr>
      <w:bookmarkStart w:id="157" w:name="_Toc2783"/>
      <w:bookmarkStart w:id="158" w:name="_Toc9877"/>
      <w:bookmarkStart w:id="159" w:name="_Toc18740"/>
      <w:bookmarkStart w:id="160" w:name="_Toc74151010"/>
      <w:bookmarkStart w:id="161" w:name="_Toc32452"/>
      <w:r>
        <w:rPr>
          <w:rFonts w:hint="eastAsia" w:ascii="宋体" w:hAnsi="宋体" w:cs="宋体"/>
          <w:color w:val="000000"/>
          <w:szCs w:val="36"/>
        </w:rPr>
        <w:t>5重点工程及科技支撑项目</w:t>
      </w:r>
      <w:bookmarkEnd w:id="157"/>
      <w:bookmarkEnd w:id="158"/>
      <w:bookmarkEnd w:id="159"/>
      <w:bookmarkEnd w:id="160"/>
      <w:bookmarkEnd w:id="161"/>
    </w:p>
    <w:p>
      <w:pPr>
        <w:pStyle w:val="4"/>
      </w:pPr>
      <w:bookmarkStart w:id="162" w:name="_Toc29242"/>
      <w:bookmarkStart w:id="163" w:name="_Toc6971"/>
      <w:bookmarkStart w:id="164" w:name="_Toc74151011"/>
      <w:bookmarkStart w:id="165" w:name="_Toc24687"/>
      <w:bookmarkStart w:id="166" w:name="_Toc20375"/>
      <w:r>
        <w:rPr>
          <w:rFonts w:hint="eastAsia"/>
        </w:rPr>
        <w:t>5</w:t>
      </w:r>
      <w:r>
        <w:t>.1</w:t>
      </w:r>
      <w:r>
        <w:rPr>
          <w:rFonts w:hint="eastAsia"/>
        </w:rPr>
        <w:t>高标准农田建设</w:t>
      </w:r>
      <w:bookmarkEnd w:id="162"/>
      <w:r>
        <w:rPr>
          <w:rFonts w:hint="eastAsia"/>
        </w:rPr>
        <w:t>工程</w:t>
      </w:r>
      <w:bookmarkEnd w:id="163"/>
      <w:bookmarkEnd w:id="164"/>
      <w:bookmarkEnd w:id="165"/>
      <w:bookmarkEnd w:id="166"/>
    </w:p>
    <w:p>
      <w:pPr>
        <w:spacing w:line="360" w:lineRule="auto"/>
        <w:ind w:firstLine="560" w:firstLineChars="200"/>
        <w:rPr>
          <w:rFonts w:cs="宋体" w:asciiTheme="minorEastAsia" w:hAnsiTheme="minorEastAsia" w:eastAsiaTheme="minorEastAsia"/>
          <w:spacing w:val="8"/>
          <w:sz w:val="28"/>
          <w:szCs w:val="28"/>
        </w:rPr>
      </w:pPr>
      <w:r>
        <w:rPr>
          <w:rFonts w:hint="eastAsia" w:asciiTheme="minorEastAsia" w:hAnsiTheme="minorEastAsia" w:eastAsiaTheme="minorEastAsia"/>
          <w:sz w:val="28"/>
          <w:szCs w:val="28"/>
        </w:rPr>
        <w:t>高标准农田建设是落实“藏粮于地、藏粮于技”粮食安全新战略的重要举措，是夯实现代农业发展的重要基础和保障。要继续根据《国务院办公厅关于切实加强高标准农田建设提升国家粮食安全保障能力的意见》（国办发〔2019〕50号）、2016年出台的《云南省人民政府关于进一步加快高标准农田建设的意见》等有关文件精神，加快高标准农田建设，优化农业产业结构，推进农业现代化建设的基础工程；继续通过项目建设，实施水利、农业、科技等综合措施，进行沟渠田林路综合治理，桥涵闸站科学配套，在项目区建成田成方、路相通、渠相连的高产、稳产、旱涝保收高标准农田。</w:t>
      </w:r>
      <w:r>
        <w:rPr>
          <w:rFonts w:hint="eastAsia" w:cs="宋体" w:asciiTheme="minorEastAsia" w:hAnsiTheme="minorEastAsia" w:eastAsiaTheme="minorEastAsia"/>
          <w:spacing w:val="8"/>
          <w:sz w:val="28"/>
          <w:szCs w:val="28"/>
        </w:rPr>
        <w:t>推广土壤有机质提升、测土配方施肥等地力提升技术。发展设施农业、节水灌溉、水肥一体化等。完善高标准农田建后管护支持政策和制度，延长各类设施使用年限，确保农田综合生产能力长期持续稳定提升。</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嵩明县“十四五”高标准农田规划建设5.52万亩，投资7500万元，其中申请中央财政投资5000万元，市级财政投资2000万元，县级财政配套500万元</w:t>
      </w:r>
      <w:r>
        <w:rPr>
          <w:rFonts w:hint="eastAsia" w:cs="宋体" w:asciiTheme="minorEastAsia" w:hAnsiTheme="minorEastAsia" w:eastAsiaTheme="minorEastAsia"/>
          <w:spacing w:val="8"/>
          <w:sz w:val="28"/>
          <w:szCs w:val="28"/>
        </w:rPr>
        <w:t>，</w:t>
      </w:r>
      <w:r>
        <w:rPr>
          <w:rFonts w:hint="eastAsia" w:asciiTheme="minorEastAsia" w:hAnsiTheme="minorEastAsia" w:eastAsiaTheme="minorEastAsia"/>
          <w:sz w:val="28"/>
          <w:szCs w:val="28"/>
        </w:rPr>
        <w:t>规划情况如下。</w:t>
      </w:r>
    </w:p>
    <w:p>
      <w:pPr>
        <w:pStyle w:val="5"/>
        <w:rPr>
          <w:rFonts w:ascii="宋体" w:hAnsi="宋体" w:cs="宋体"/>
          <w:szCs w:val="30"/>
        </w:rPr>
      </w:pPr>
      <w:bookmarkStart w:id="167" w:name="_Toc74151012"/>
      <w:r>
        <w:rPr>
          <w:rFonts w:hint="eastAsia" w:ascii="宋体" w:hAnsi="宋体" w:cs="宋体"/>
          <w:szCs w:val="30"/>
        </w:rPr>
        <w:t>5.1.1项目区选择</w:t>
      </w:r>
      <w:bookmarkEnd w:id="167"/>
    </w:p>
    <w:p>
      <w:pPr>
        <w:spacing w:line="360" w:lineRule="auto"/>
        <w:ind w:firstLine="592" w:firstLineChars="200"/>
        <w:rPr>
          <w:rFonts w:asciiTheme="majorEastAsia" w:hAnsiTheme="majorEastAsia" w:eastAsiaTheme="majorEastAsia"/>
          <w:sz w:val="28"/>
          <w:szCs w:val="28"/>
        </w:rPr>
      </w:pPr>
      <w:r>
        <w:rPr>
          <w:rFonts w:hint="eastAsia" w:ascii="宋体" w:hAnsi="宋体" w:cs="宋体"/>
          <w:spacing w:val="8"/>
          <w:sz w:val="28"/>
          <w:szCs w:val="28"/>
        </w:rPr>
        <w:t>①</w:t>
      </w:r>
      <w:r>
        <w:rPr>
          <w:rFonts w:hint="eastAsia" w:asciiTheme="majorEastAsia" w:hAnsiTheme="majorEastAsia" w:eastAsiaTheme="majorEastAsia"/>
          <w:sz w:val="28"/>
          <w:szCs w:val="28"/>
        </w:rPr>
        <w:t>耕地平坦、土壤肥沃、水源充足。耕地坡度小于25度，土层深厚肥沃（土层在40厘米以上），建设后水源能满足灌溉需求。</w:t>
      </w:r>
    </w:p>
    <w:p>
      <w:pPr>
        <w:spacing w:line="360" w:lineRule="auto"/>
        <w:ind w:firstLine="592" w:firstLineChars="200"/>
        <w:rPr>
          <w:rFonts w:asciiTheme="majorEastAsia" w:hAnsiTheme="majorEastAsia" w:eastAsiaTheme="majorEastAsia"/>
          <w:sz w:val="28"/>
          <w:szCs w:val="28"/>
        </w:rPr>
      </w:pPr>
      <w:r>
        <w:rPr>
          <w:rFonts w:hint="eastAsia" w:ascii="宋体" w:hAnsi="宋体" w:cs="宋体"/>
          <w:spacing w:val="8"/>
          <w:sz w:val="28"/>
          <w:szCs w:val="28"/>
        </w:rPr>
        <w:t>②</w:t>
      </w:r>
      <w:r>
        <w:rPr>
          <w:rFonts w:hint="eastAsia" w:asciiTheme="majorEastAsia" w:hAnsiTheme="majorEastAsia" w:eastAsiaTheme="majorEastAsia"/>
          <w:sz w:val="28"/>
          <w:szCs w:val="28"/>
        </w:rPr>
        <w:t>“两区”范围内永久基本农田。项目区在粮食生产功能区和重要农产品生产区范围内，并且是永久基本农田保护区。</w:t>
      </w:r>
    </w:p>
    <w:p>
      <w:pPr>
        <w:spacing w:line="360" w:lineRule="auto"/>
        <w:ind w:firstLine="592" w:firstLineChars="200"/>
        <w:rPr>
          <w:rFonts w:asciiTheme="majorEastAsia" w:hAnsiTheme="majorEastAsia" w:eastAsiaTheme="majorEastAsia"/>
          <w:sz w:val="28"/>
          <w:szCs w:val="28"/>
        </w:rPr>
      </w:pPr>
      <w:r>
        <w:rPr>
          <w:rFonts w:hint="eastAsia" w:ascii="宋体" w:hAnsi="宋体" w:cs="宋体"/>
          <w:spacing w:val="8"/>
          <w:sz w:val="28"/>
          <w:szCs w:val="28"/>
        </w:rPr>
        <w:t>③</w:t>
      </w:r>
      <w:r>
        <w:rPr>
          <w:rFonts w:hint="eastAsia" w:asciiTheme="majorEastAsia" w:hAnsiTheme="majorEastAsia" w:eastAsiaTheme="majorEastAsia"/>
          <w:sz w:val="28"/>
          <w:szCs w:val="28"/>
        </w:rPr>
        <w:t>集中连片区域。坝区集中连片建设面积在1000亩以上，山区（或半山区）集中连片建设面积在500亩以上。</w:t>
      </w:r>
    </w:p>
    <w:p>
      <w:pPr>
        <w:spacing w:line="360" w:lineRule="auto"/>
        <w:ind w:firstLine="592" w:firstLineChars="200"/>
        <w:rPr>
          <w:rFonts w:asciiTheme="majorEastAsia" w:hAnsiTheme="majorEastAsia" w:eastAsiaTheme="majorEastAsia"/>
          <w:sz w:val="28"/>
          <w:szCs w:val="28"/>
        </w:rPr>
      </w:pPr>
      <w:r>
        <w:rPr>
          <w:rFonts w:hint="eastAsia" w:ascii="宋体" w:hAnsi="宋体" w:cs="宋体"/>
          <w:spacing w:val="8"/>
          <w:sz w:val="28"/>
          <w:szCs w:val="28"/>
        </w:rPr>
        <w:t>④</w:t>
      </w:r>
      <w:r>
        <w:rPr>
          <w:rFonts w:hint="eastAsia" w:asciiTheme="majorEastAsia" w:hAnsiTheme="majorEastAsia" w:eastAsiaTheme="majorEastAsia"/>
          <w:sz w:val="28"/>
          <w:szCs w:val="28"/>
        </w:rPr>
        <w:t>一定年限内不被占用的非农业用地。远离城镇、开发区建设等区域，在设计使用年限20年内，不被城镇、开发区等占用为非农业用地。</w:t>
      </w:r>
    </w:p>
    <w:p>
      <w:pPr>
        <w:spacing w:line="360" w:lineRule="auto"/>
        <w:ind w:firstLine="592" w:firstLineChars="200"/>
        <w:rPr>
          <w:rFonts w:asciiTheme="majorEastAsia" w:hAnsiTheme="majorEastAsia" w:eastAsiaTheme="majorEastAsia"/>
          <w:sz w:val="28"/>
          <w:szCs w:val="28"/>
        </w:rPr>
      </w:pPr>
      <w:r>
        <w:rPr>
          <w:rFonts w:hint="eastAsia" w:ascii="宋体" w:hAnsi="宋体" w:cs="宋体"/>
          <w:spacing w:val="8"/>
          <w:sz w:val="28"/>
          <w:szCs w:val="28"/>
        </w:rPr>
        <w:t>⑤</w:t>
      </w:r>
      <w:r>
        <w:rPr>
          <w:rFonts w:hint="eastAsia" w:asciiTheme="majorEastAsia" w:hAnsiTheme="majorEastAsia" w:eastAsiaTheme="majorEastAsia"/>
          <w:sz w:val="28"/>
          <w:szCs w:val="28"/>
        </w:rPr>
        <w:t>项目区内村社有一定经济基础，当地干部和群众建设积极性高。能自己解决农田建设项目占用土地和地上附着物的费用。要求涉及的村（社区）干部同意建设人数达100%，党员同意建设人数达90%以上,群众同意人数达80%以上。</w:t>
      </w:r>
    </w:p>
    <w:p>
      <w:pPr>
        <w:pStyle w:val="5"/>
        <w:rPr>
          <w:rFonts w:ascii="宋体" w:hAnsi="宋体" w:cs="宋体"/>
          <w:szCs w:val="30"/>
        </w:rPr>
      </w:pPr>
      <w:bookmarkStart w:id="168" w:name="_Toc74151013"/>
      <w:r>
        <w:rPr>
          <w:rFonts w:hint="eastAsia" w:ascii="宋体" w:hAnsi="宋体" w:cs="宋体"/>
          <w:szCs w:val="30"/>
        </w:rPr>
        <w:t>5.1.2年度建设情况</w:t>
      </w:r>
      <w:bookmarkEnd w:id="168"/>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嵩明县“十四五”高标准农田规划建设5.52万亩，年度实施计划如下。</w:t>
      </w:r>
    </w:p>
    <w:p>
      <w:pPr>
        <w:spacing w:line="360" w:lineRule="auto"/>
        <w:ind w:firstLine="592" w:firstLineChars="20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pacing w:val="8"/>
          <w:sz w:val="28"/>
          <w:szCs w:val="28"/>
          <w14:textFill>
            <w14:solidFill>
              <w14:schemeClr w14:val="tx1"/>
            </w14:solidFill>
          </w14:textFill>
        </w:rPr>
        <w:t>①</w:t>
      </w:r>
      <w:r>
        <w:rPr>
          <w:rFonts w:hint="eastAsia" w:ascii="宋体" w:hAnsi="宋体"/>
          <w:color w:val="000000" w:themeColor="text1"/>
          <w:sz w:val="28"/>
          <w:szCs w:val="28"/>
          <w14:textFill>
            <w14:solidFill>
              <w14:schemeClr w14:val="tx1"/>
            </w14:solidFill>
          </w14:textFill>
        </w:rPr>
        <w:t>2021年积极争取中央、省、市财政资金，建设面积1.81万亩；</w:t>
      </w:r>
    </w:p>
    <w:p>
      <w:pPr>
        <w:spacing w:line="360" w:lineRule="auto"/>
        <w:ind w:firstLine="592" w:firstLineChars="20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pacing w:val="8"/>
          <w:sz w:val="28"/>
          <w:szCs w:val="28"/>
          <w14:textFill>
            <w14:solidFill>
              <w14:schemeClr w14:val="tx1"/>
            </w14:solidFill>
          </w14:textFill>
        </w:rPr>
        <w:t>②</w:t>
      </w:r>
      <w:r>
        <w:rPr>
          <w:rFonts w:hint="eastAsia" w:ascii="宋体" w:hAnsi="宋体"/>
          <w:color w:val="000000" w:themeColor="text1"/>
          <w:sz w:val="28"/>
          <w:szCs w:val="28"/>
          <w14:textFill>
            <w14:solidFill>
              <w14:schemeClr w14:val="tx1"/>
            </w14:solidFill>
          </w14:textFill>
        </w:rPr>
        <w:t>2022年积极争取中央、省、市财政资金，建设面积1万亩；</w:t>
      </w:r>
    </w:p>
    <w:p>
      <w:pPr>
        <w:spacing w:line="360" w:lineRule="auto"/>
        <w:ind w:firstLine="592" w:firstLineChars="20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pacing w:val="8"/>
          <w:sz w:val="28"/>
          <w:szCs w:val="28"/>
          <w14:textFill>
            <w14:solidFill>
              <w14:schemeClr w14:val="tx1"/>
            </w14:solidFill>
          </w14:textFill>
        </w:rPr>
        <w:t>③</w:t>
      </w:r>
      <w:r>
        <w:rPr>
          <w:rFonts w:hint="eastAsia" w:ascii="宋体" w:hAnsi="宋体"/>
          <w:color w:val="000000" w:themeColor="text1"/>
          <w:sz w:val="28"/>
          <w:szCs w:val="28"/>
          <w14:textFill>
            <w14:solidFill>
              <w14:schemeClr w14:val="tx1"/>
            </w14:solidFill>
          </w14:textFill>
        </w:rPr>
        <w:t>2023年积极争取中央、省、市财政资金，建设面积0.91万亩；</w:t>
      </w:r>
    </w:p>
    <w:p>
      <w:pPr>
        <w:spacing w:line="360" w:lineRule="auto"/>
        <w:ind w:firstLine="592" w:firstLineChars="20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pacing w:val="8"/>
          <w:sz w:val="28"/>
          <w:szCs w:val="28"/>
          <w14:textFill>
            <w14:solidFill>
              <w14:schemeClr w14:val="tx1"/>
            </w14:solidFill>
          </w14:textFill>
        </w:rPr>
        <w:t>④</w:t>
      </w:r>
      <w:r>
        <w:rPr>
          <w:rFonts w:hint="eastAsia" w:ascii="宋体" w:hAnsi="宋体"/>
          <w:color w:val="000000" w:themeColor="text1"/>
          <w:sz w:val="28"/>
          <w:szCs w:val="28"/>
          <w14:textFill>
            <w14:solidFill>
              <w14:schemeClr w14:val="tx1"/>
            </w14:solidFill>
          </w14:textFill>
        </w:rPr>
        <w:t>2024年积极争取中央、省、市财政资金，建设面积0.9万亩；</w:t>
      </w:r>
    </w:p>
    <w:p>
      <w:pPr>
        <w:spacing w:line="360" w:lineRule="auto"/>
        <w:ind w:firstLine="592" w:firstLineChars="20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pacing w:val="8"/>
          <w:sz w:val="28"/>
          <w:szCs w:val="28"/>
          <w14:textFill>
            <w14:solidFill>
              <w14:schemeClr w14:val="tx1"/>
            </w14:solidFill>
          </w14:textFill>
        </w:rPr>
        <w:t>⑤</w:t>
      </w:r>
      <w:r>
        <w:rPr>
          <w:rFonts w:hint="eastAsia" w:ascii="宋体" w:hAnsi="宋体"/>
          <w:color w:val="000000" w:themeColor="text1"/>
          <w:sz w:val="28"/>
          <w:szCs w:val="28"/>
          <w14:textFill>
            <w14:solidFill>
              <w14:schemeClr w14:val="tx1"/>
            </w14:solidFill>
          </w14:textFill>
        </w:rPr>
        <w:t>2025年积极争取中央、省、市财政资金，建设面积0.9万亩</w:t>
      </w:r>
      <w:r>
        <w:rPr>
          <w:rFonts w:hint="eastAsia" w:asciiTheme="majorEastAsia" w:hAnsiTheme="majorEastAsia" w:eastAsiaTheme="majorEastAsia"/>
          <w:sz w:val="28"/>
          <w:szCs w:val="28"/>
        </w:rPr>
        <w:t>。</w:t>
      </w:r>
    </w:p>
    <w:p>
      <w:pPr>
        <w:pStyle w:val="4"/>
      </w:pPr>
      <w:bookmarkStart w:id="169" w:name="_Toc15599"/>
      <w:bookmarkStart w:id="170" w:name="_Toc3389"/>
      <w:bookmarkStart w:id="171" w:name="_Toc21435"/>
      <w:bookmarkStart w:id="172" w:name="_Toc870"/>
      <w:bookmarkStart w:id="173" w:name="_Toc74151014"/>
      <w:r>
        <w:rPr>
          <w:rFonts w:hint="eastAsia"/>
        </w:rPr>
        <w:t>5</w:t>
      </w:r>
      <w:r>
        <w:t>.</w:t>
      </w:r>
      <w:r>
        <w:rPr>
          <w:rFonts w:hint="eastAsia"/>
        </w:rPr>
        <w:t>2农业生态</w:t>
      </w:r>
      <w:bookmarkEnd w:id="169"/>
      <w:bookmarkEnd w:id="170"/>
      <w:bookmarkEnd w:id="171"/>
      <w:bookmarkEnd w:id="172"/>
      <w:r>
        <w:rPr>
          <w:rFonts w:hint="eastAsia"/>
        </w:rPr>
        <w:t>的维护与防治</w:t>
      </w:r>
      <w:bookmarkEnd w:id="173"/>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结合滇池流域污染防治，树立绿色、低碳发展理念，积极发展资源节约型和环境友好型农业，大力推广节地、节水、节种、节肥、节药、节能和循环农业技术。“十四五”期间，完成一江八河沿岸50米范围内的大棚拆除工作。同时测土配方技术覆盖率达到90%以上，进一步提高利用率，控制化肥使用量。扩建、新建废旧蔬菜处理厂，通过农业废弃物综合利用、农业面源污染控制等措施和推广适用的生态农业技术模式，建立绿色、有机、无公害农产品生产基地，逐步实现农业结构合理化、技术生态化、过程清洁化、产品无害化的目标。加大生态农业的科技攻关力度，创新生产技术和模式。引导农业的生态化发展。</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十四五”期间，以改灶、太阳能等农村能源推广为纽带，大力发展大中型沼气池等，以生态农业和农业环境监测保护为基础，以生态环境建设重点工程和生态村建设为主体，按照“坚持统一规划，突出重点，因地制宜，讲求实效，采取生物措施，工程与农艺措施相结合，各种治理措施科学配置，发挥综合治理效益；坚持依法保护和治理生态环境，依靠科技进步加快建设进程，坚持把生态环境建设与产业开发，农民脱贫致富，区域经济发展相结合，使生态环境建设工程发挥长期效益”的基本原则，结合嵩明县实际，改善农田环境、农灌水质，使科研生产向着“整体、协调、循环、再生”的目标发展，最大限度地开发利用现有土地资源，实现资源的高效利用及生态系统的能源和物质循环。</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充分发挥农技人员的作用，逐步把农村能源环境建设转移到依靠科技进步和提高劳动者素质轨道上来。坚持对外开放，加强区域间的交流与合作，大力拓展吸纳项目、资金、技术、人才的空间和渠道。使嵩明县农村能源农业环保为实现高产、优质、低耗、高效的现代化农业更好地服务。</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加强以大中型沼气等为纽带的农村能源建设，学习推广农村能源新技术，改善农村生活用能，降低薪柴消耗，切实减少森林采伐量，减少水土流失。“十四五”期间，推广太阳能热水器2000台,建设双室堆沤池1000个，培训沼气池安全管理使用3000人。</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十四五期间，全面落实“净土”保护行动，精准施肥，实现水肥一体化技术推广运用，打通化肥减量增效最后一公里的途径。减少化肥农药施用量，禁止高毒高残农药使用。严格畜禽禁养区划定管理，加强畜禽规模养殖场废弃物处理和资源化综合利用，最大限度防治和削减农业面源污染。</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建立健全农业生态环境监测网络。“十四五”期间，对所布各个监测点及监测小区进行监测，送样品分析检验。大力发展监测检验技术力量及设备，为嵩明县不断扩大无公害农产品面积，提高人民生活质量更好地服务。</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严格管理，依法治污。认真贯彻和学习《农业法》《环境保护法》《基本农田保护条例》《云南省农业环境保护条例》等相关法律法规。做到学法、懂法、用法。以科技为指导，以法律为准绳，准确地对嵩明县农业污染事故进行分析和处理。</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搞好农村能源技术服务网点建设。多年来，沼气池建设和建后管理相互脱节，造成沼气使用率不断下降、综合利用率低下。“十四五”期间，每个沼气服务网点配备1名以上专兼职技术辅导员，负责沼气池维修、沼气安全管理及综合利用等指导。不断组织学习和技术培训，以适应农村能源农业环保不断发展的需要。</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力争在2025年在嵩明县建成自动化病虫监测点2个；抓实病虫害绿色防控农药减量技术示范推广工作。创建绿色防控示范区，示范面积1.75万亩，辐射带动面积17.5万亩。</w:t>
      </w:r>
    </w:p>
    <w:p>
      <w:pPr>
        <w:pStyle w:val="4"/>
      </w:pPr>
      <w:bookmarkStart w:id="174" w:name="_Toc74151015"/>
      <w:r>
        <w:rPr>
          <w:rFonts w:hint="eastAsia"/>
        </w:rPr>
        <w:t>5.3农业面源污染防治</w:t>
      </w:r>
      <w:bookmarkEnd w:id="174"/>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按照《云南省生态环境厅 云南省农业农村厅关于印发云南省农业农村污染治理攻坚战作战方案的通知》的要求，以生态环境保护、农业减量投入、资源循环利用和农业生态修复为手段，进行农业面源污染防控,可采取以下措施。</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1）农业产业结构调整</w:t>
      </w:r>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在牛栏江流域、饮用水源保护区范围推广种植以绿肥、玉米、豆类、食用菌、马铃薯为主的作物。保护区范围内结合地形、水文、气象、地质特征、污染类型、污染源分布、区域分水岭等情况进行划定不同半径、不同级别的保护区。一级保护区内“四退三还”、“止耕禁养”、二级保护区内“减花减菜”、三级保护区内落实农业产业结构调整措施。</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2）有机种植</w:t>
      </w:r>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发展有机水稻，加快农业新技术成果的转化和先进实用栽培技术的示范推广，重点打造有机品牌，发展高效农业种植，以有机水稻种植为重点，在牛栏江干流及上游八条主要支流沿线实施湿地种植1.1万亩；发展经济作物，因地制宜发展莲藕、慈姑、果桑等经济作物，促进农户增加经济收入，提高土地利用率，有效减少污染物投入；建设生态湿地，通过湿地植被恢复，增加湿地面积，可选择相应的乡土湿地植物芦苇、菖蒲、巨菌草等具有喜水特性的植物；河滨生态修复，建设牛栏江干流及上游八条主要支流沿岸景观林及生态廊道，突出主要河道入口、村庄附近、城镇近郊河道两侧绿化效果，按适地适树的原则，以乡土常绿树球花石楠、香樟、石楠、四照花、滇朴、青香木、毛竹等植物为主进行配置绿化，绿化区域需要建设相应的浇水抗旱保苗及排涝设施。</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3）化肥农药减量增效</w:t>
      </w:r>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扩大测土配方施肥在农作物上的应用，主要农作物测土配方施肥全覆盖。推进新型肥料产品研发与推广，集成推广种肥同播、化肥深施等高效施肥技术，不断提高肥料利用率。积极探索有机养分资源利用有效模式，鼓励种植绿肥、增施有机肥，合理调整施肥结构，引导农民积造施用农家肥。结合高标准农田建设，大力开展耕地质量保护与提升行动，着力提升耕地内在质量；遵循“预防为主、综合防治”的植保方针，树立“科学植保、公共植保、绿色植保”理念，从农药的“控、替、精、统”入手，加强有害生物预警，加大推广病虫害绿色防控和农药减量技术，引导和指导农民科学、安全使用农药，提高农民的综合防治意识，组建和扶持植保专业化组织，普及科学用药，提升示范区对重大病虫害防治处置力度和控制水平，加强农药投入品销售和使用关键环节监管。</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4）畜禽粪污治理</w:t>
      </w:r>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科学调整规划布局，规范养殖行为。避免因规划不合理而加大粪污处理难度，造成环境污染。调整区域结构，宜养则养，应禁必禁，加强禁养区监管，巩固关停搬迁成果；调整种养结构，按照《畜禽粪污土地承载力测算技术指南》要求，布局养殖业，使养殖业与种植业在布局上相协调、在规模上相匹配，将超过土地承载能力的养殖量减下来；调整畜种结构，调减产污系数比较大的畜禽（如生猪、奶牛等）养殖量，增加产污系数小的畜禽（如肉牛、羊等）养殖量。提高单产，通过种、料、管、装、销五大环节，畜禽良种化、养殖设施化、生产规范化、防疫制度化、粪污无害化、监管常态化“六化”管理，提高生产水平和饲料转化率，在保持畜产品总量不变的前提下，降低畜禽养殖数量和粪污产生量。</w:t>
      </w:r>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推进规模养殖场配套设施建设。落实《畜禽规模化养殖场粪污资源化利用设施建设规范（试行）》，配套建设粪便、污水收集、贮存、处理、资源化利用设施，改进养殖设施工艺，完善技术装备条件，推广改水冲粪、水泡粪为干清粪、改明沟排污为暗沟排污，推广“一控四分四防两配套”技术，引导小规模、分散养殖向集约化、合作化、规模化转变，逐步减少散养户数量，提升畜禽养殖粪污收集、利用率。</w:t>
      </w:r>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加强种养结合产业发展机制和畜禽养殖粪污资源化利用能力建设，促进畜禽养殖粪污资源化利用，提升种养循环发展水平，提高畜禽养殖粪污资源化利用率，推广养殖污染控制技术与治理技术、粪污高效安全利用技术、草畜配套绿色高效生产技术。强化饲料、兽药等投入品的安全使用、科学管理。</w:t>
      </w:r>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加强监督管理。严格落实畜禽规模养殖环评制度和畜禽养殖污染监管制度，依法执行环评和排污许可制度，将规模以上畜禽养殖场纳入重点污染源管理，适时公开流域内规模养殖场粪污资源化利用情况，接受社会监督；指导规模养殖场建立畜禽养殖粪污资源化利用台账，准确记录畜禽养殖粪污去向和数量，在场外粘贴环保监管标识，公布监管责任人和举报电话，依法严厉查处偷排漏排等违规行为。</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5）废弃果蔬资源化综合利用</w:t>
      </w:r>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利用厌氧发酵技术对废弃菜叶、果蔬进行固液分离并发酵处理生成沼气和有机肥，再通过脱硫、脱碳技术提纯出CNG车用天然气。</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6）秸秆综合利用</w:t>
      </w:r>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进一步加大示范和政策引导力度，大力开展秸秆肥料化、饲料化、基料化、原料化和能源化利用。每年在牛栏江流域实现秸秆还田28万亩、完成秸秆饲料利用9万吨。建立健全政府、企业合作的秸秆收储运体系，降低收储运输成本，加快推进秸秆综合利用的规模化、产业化发展。</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7）农用地膜回收利用</w:t>
      </w:r>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调整种植业产业结构，推广抗旱性强、对地膜依赖度少的作物和品种，减少覆膜种植作物面积，减少农业生产地膜投入量。按照《聚乙烯吹塑农用地面覆盖薄膜》（GB13735-2017）标准，积极推广标准地膜的使用，从源头保证农田残膜可回收。推广全生物可降解替代技术，减少PE地膜使用量。推行“谁生产、谁销售、谁回收”责任制，落实回收责任主体，明确监管责任主体。</w:t>
      </w:r>
    </w:p>
    <w:p>
      <w:pPr>
        <w:pStyle w:val="4"/>
        <w:rPr>
          <w:color w:val="000000"/>
        </w:rPr>
      </w:pPr>
      <w:bookmarkStart w:id="175" w:name="_Toc74151016"/>
      <w:bookmarkStart w:id="176" w:name="_Toc18080"/>
      <w:bookmarkStart w:id="177" w:name="_Toc11241"/>
      <w:bookmarkStart w:id="178" w:name="_Toc17729"/>
      <w:r>
        <w:rPr>
          <w:rFonts w:hint="eastAsia"/>
          <w:color w:val="000000"/>
        </w:rPr>
        <w:t>5.4耕地质量监测工程</w:t>
      </w:r>
      <w:bookmarkEnd w:id="175"/>
      <w:bookmarkEnd w:id="176"/>
      <w:bookmarkEnd w:id="177"/>
      <w:bookmarkEnd w:id="178"/>
    </w:p>
    <w:p>
      <w:pPr>
        <w:spacing w:line="360" w:lineRule="auto"/>
        <w:ind w:firstLine="592" w:firstLineChars="200"/>
      </w:pPr>
      <w:r>
        <w:rPr>
          <w:rFonts w:hint="eastAsia" w:ascii="宋体" w:hAnsi="宋体" w:cs="宋体"/>
          <w:color w:val="000000"/>
          <w:spacing w:val="8"/>
          <w:sz w:val="28"/>
          <w:szCs w:val="28"/>
        </w:rPr>
        <w:t>根据《云南省农业农村厅关于加强耕地质量管理工作的通知》（云农建﹝2020﹞4号）文件要求，在嵩明县建设国家级耕地质量长期监测点。对监测点的土壤墒情、环境情况、地情、肥情、作物生产情况进行数据采集与数据汇总分析。</w:t>
      </w:r>
    </w:p>
    <w:p>
      <w:pPr>
        <w:pStyle w:val="4"/>
        <w:rPr>
          <w:color w:val="000000"/>
        </w:rPr>
      </w:pPr>
      <w:bookmarkStart w:id="179" w:name="_Toc16015"/>
      <w:bookmarkStart w:id="180" w:name="_Toc27548"/>
      <w:bookmarkStart w:id="181" w:name="_Toc74151017"/>
      <w:bookmarkStart w:id="182" w:name="_Toc24675"/>
      <w:bookmarkStart w:id="183" w:name="_Toc24125"/>
      <w:r>
        <w:rPr>
          <w:rFonts w:hint="eastAsia"/>
          <w:color w:val="000000"/>
        </w:rPr>
        <w:t>5</w:t>
      </w:r>
      <w:r>
        <w:rPr>
          <w:color w:val="000000"/>
        </w:rPr>
        <w:t>.</w:t>
      </w:r>
      <w:bookmarkEnd w:id="179"/>
      <w:r>
        <w:rPr>
          <w:rFonts w:hint="eastAsia"/>
          <w:color w:val="000000"/>
        </w:rPr>
        <w:t>5农机装备提升工程</w:t>
      </w:r>
      <w:bookmarkEnd w:id="180"/>
      <w:bookmarkEnd w:id="181"/>
      <w:bookmarkEnd w:id="182"/>
      <w:bookmarkEnd w:id="183"/>
    </w:p>
    <w:p>
      <w:pPr>
        <w:spacing w:line="360" w:lineRule="auto"/>
        <w:ind w:firstLine="580" w:firstLineChars="196"/>
        <w:rPr>
          <w:rFonts w:ascii="宋体" w:hAnsi="宋体" w:cs="宋体"/>
          <w:color w:val="000000"/>
          <w:spacing w:val="8"/>
          <w:sz w:val="28"/>
          <w:szCs w:val="28"/>
        </w:rPr>
      </w:pPr>
      <w:r>
        <w:rPr>
          <w:rFonts w:hint="eastAsia" w:ascii="宋体" w:hAnsi="宋体" w:cs="宋体"/>
          <w:color w:val="000000"/>
          <w:spacing w:val="8"/>
          <w:sz w:val="28"/>
          <w:szCs w:val="28"/>
        </w:rPr>
        <w:t>根据嵩明县农业发展实际要求，对小型耕整地机械、植保机械、播种、移栽、收获、施肥机械有不同程度的需求，其次是扎草机带搓揉功能、割草机、自动喂料机、秸秆粉碎机、青贮打包机、挤奶机、铡草机、播种机、蔬菜烤烟移栽机、小杂粮收获机、机动喷雾器、农用发电机和抽水机等机械。根据多年农业种植及土壤的实际情况，十四五时期除了以上机具外，重点开展激光平地机、植保施肥打药一体机、重型独铧梨深翻机械等的试验示范推广工作，加快推进农业机械化装备。推进轻简农业机械研发推广，优化农机装备结构。根据全县坝区、梯田、山地不同特色作物要求，加快推进农业机械化程度，大力推广高效植保机械，积极推进养殖业、园艺业、农产品初加工机械化。大力发展农机社会化服务，鼓励支持农机合作社、农机作业公司和农机大户增强作业服务能力。加快实施保护性耕作工程，不断推进农机化示范区建设，促进农机农艺融合，扩大保护性耕作、精量播种、化肥深施、节水灌溉、高效植保等农机化新技术应用面积。研究推广智能化设施农业，推动精准农业发展。切实加强农机售后服务和农机安全监理工作。</w:t>
      </w:r>
    </w:p>
    <w:p>
      <w:pPr>
        <w:spacing w:line="360" w:lineRule="auto"/>
        <w:ind w:firstLine="580" w:firstLineChars="196"/>
        <w:rPr>
          <w:rFonts w:ascii="宋体" w:hAnsi="宋体" w:cs="宋体"/>
          <w:color w:val="000000"/>
          <w:spacing w:val="8"/>
          <w:sz w:val="28"/>
          <w:szCs w:val="28"/>
        </w:rPr>
      </w:pPr>
      <w:r>
        <w:rPr>
          <w:rFonts w:hint="eastAsia" w:ascii="宋体" w:hAnsi="宋体" w:cs="宋体"/>
          <w:color w:val="000000"/>
          <w:spacing w:val="8"/>
          <w:sz w:val="28"/>
          <w:szCs w:val="28"/>
        </w:rPr>
        <w:t>根据嵩明县的实际情况，以农业园区、花卉园区、农业合作社、农机专业合作社等为主导，积极推广新机具，围绕优化结构和布局，加快传统农业生产方式转变，解放生产环节劳动力，力争在十四五规划末期综合机械化水平达到55%以上，助推嵩明县现代农业发展。</w:t>
      </w:r>
    </w:p>
    <w:p>
      <w:pPr>
        <w:pStyle w:val="4"/>
        <w:rPr>
          <w:rFonts w:cs="宋体"/>
          <w:spacing w:val="8"/>
          <w:sz w:val="28"/>
          <w:szCs w:val="28"/>
        </w:rPr>
      </w:pPr>
      <w:bookmarkStart w:id="184" w:name="_Toc74151018"/>
      <w:bookmarkStart w:id="185" w:name="_Toc53235487"/>
      <w:r>
        <w:rPr>
          <w:rFonts w:hint="eastAsia"/>
        </w:rPr>
        <w:t>5</w:t>
      </w:r>
      <w:r>
        <w:t>.</w:t>
      </w:r>
      <w:r>
        <w:rPr>
          <w:rFonts w:hint="eastAsia"/>
        </w:rPr>
        <w:t>6</w:t>
      </w:r>
      <w:r>
        <w:t>农产品精深加工</w:t>
      </w:r>
      <w:bookmarkEnd w:id="184"/>
      <w:bookmarkEnd w:id="185"/>
    </w:p>
    <w:p>
      <w:pPr>
        <w:spacing w:line="360" w:lineRule="auto"/>
        <w:ind w:firstLine="580" w:firstLineChars="196"/>
        <w:rPr>
          <w:rFonts w:ascii="宋体" w:hAnsi="宋体" w:cs="宋体"/>
          <w:spacing w:val="8"/>
          <w:sz w:val="28"/>
          <w:szCs w:val="28"/>
        </w:rPr>
      </w:pPr>
      <w:r>
        <w:rPr>
          <w:rFonts w:ascii="宋体" w:hAnsi="宋体" w:cs="宋体"/>
          <w:spacing w:val="8"/>
          <w:sz w:val="28"/>
          <w:szCs w:val="28"/>
        </w:rPr>
        <w:t>农产品精深加工将以科技研发为支撑，以发展现代农业为抓手，立足</w:t>
      </w:r>
      <w:r>
        <w:rPr>
          <w:rFonts w:hint="eastAsia" w:ascii="宋体" w:hAnsi="宋体" w:cs="宋体"/>
          <w:spacing w:val="8"/>
          <w:sz w:val="28"/>
          <w:szCs w:val="28"/>
        </w:rPr>
        <w:t>蔬菜</w:t>
      </w:r>
      <w:r>
        <w:rPr>
          <w:rFonts w:ascii="宋体" w:hAnsi="宋体" w:cs="宋体"/>
          <w:spacing w:val="8"/>
          <w:sz w:val="28"/>
          <w:szCs w:val="28"/>
        </w:rPr>
        <w:t>、</w:t>
      </w:r>
      <w:r>
        <w:rPr>
          <w:rFonts w:hint="eastAsia"/>
          <w:sz w:val="30"/>
          <w:szCs w:val="30"/>
        </w:rPr>
        <w:t>畜牧、</w:t>
      </w:r>
      <w:r>
        <w:rPr>
          <w:rFonts w:hint="eastAsia" w:ascii="宋体" w:hAnsi="宋体" w:cs="宋体"/>
          <w:spacing w:val="8"/>
          <w:sz w:val="28"/>
          <w:szCs w:val="28"/>
        </w:rPr>
        <w:t>水果、花卉</w:t>
      </w:r>
      <w:r>
        <w:rPr>
          <w:rFonts w:ascii="宋体" w:hAnsi="宋体" w:cs="宋体"/>
          <w:spacing w:val="8"/>
          <w:sz w:val="28"/>
          <w:szCs w:val="28"/>
        </w:rPr>
        <w:t>等当地特色农业产业，完善农产品加工产业链条，提高农产品附加值，强化二产，带动一产和三产，实现农业增效、农民增收，推动</w:t>
      </w:r>
      <w:r>
        <w:rPr>
          <w:rFonts w:hint="eastAsia" w:ascii="宋体" w:hAnsi="宋体" w:cs="宋体"/>
          <w:spacing w:val="8"/>
          <w:sz w:val="28"/>
          <w:szCs w:val="28"/>
        </w:rPr>
        <w:t>嵩明</w:t>
      </w:r>
      <w:r>
        <w:rPr>
          <w:rFonts w:ascii="宋体" w:hAnsi="宋体" w:cs="宋体"/>
          <w:spacing w:val="8"/>
          <w:sz w:val="28"/>
          <w:szCs w:val="28"/>
        </w:rPr>
        <w:t>县</w:t>
      </w:r>
      <w:r>
        <w:rPr>
          <w:rFonts w:hint="eastAsia" w:ascii="宋体" w:hAnsi="宋体" w:cs="宋体"/>
          <w:spacing w:val="8"/>
          <w:sz w:val="28"/>
          <w:szCs w:val="28"/>
        </w:rPr>
        <w:t>农业全面升级、农村全面进步、农民全面发展</w:t>
      </w:r>
      <w:r>
        <w:rPr>
          <w:rFonts w:ascii="宋体" w:hAnsi="宋体" w:cs="宋体"/>
          <w:spacing w:val="8"/>
          <w:sz w:val="28"/>
          <w:szCs w:val="28"/>
        </w:rPr>
        <w:t>。</w:t>
      </w:r>
    </w:p>
    <w:p>
      <w:pPr>
        <w:pStyle w:val="5"/>
        <w:rPr>
          <w:rFonts w:ascii="宋体" w:hAnsi="宋体" w:cs="宋体"/>
          <w:color w:val="000000"/>
          <w:szCs w:val="30"/>
        </w:rPr>
      </w:pPr>
      <w:bookmarkStart w:id="186" w:name="_Toc74151019"/>
      <w:bookmarkStart w:id="187" w:name="_Toc53235488"/>
      <w:r>
        <w:rPr>
          <w:rFonts w:hint="eastAsia" w:ascii="宋体" w:hAnsi="宋体" w:cs="宋体"/>
          <w:color w:val="000000"/>
          <w:szCs w:val="30"/>
        </w:rPr>
        <w:t>5</w:t>
      </w:r>
      <w:r>
        <w:rPr>
          <w:rFonts w:ascii="宋体" w:hAnsi="宋体" w:cs="宋体"/>
          <w:color w:val="000000"/>
          <w:szCs w:val="30"/>
        </w:rPr>
        <w:t>.</w:t>
      </w:r>
      <w:r>
        <w:rPr>
          <w:rFonts w:hint="eastAsia" w:ascii="宋体" w:hAnsi="宋体" w:cs="宋体"/>
          <w:color w:val="000000"/>
          <w:szCs w:val="30"/>
        </w:rPr>
        <w:t>6</w:t>
      </w:r>
      <w:r>
        <w:rPr>
          <w:rFonts w:ascii="宋体" w:hAnsi="宋体" w:cs="宋体"/>
          <w:color w:val="000000"/>
          <w:szCs w:val="30"/>
        </w:rPr>
        <w:t>.1</w:t>
      </w:r>
      <w:r>
        <w:rPr>
          <w:rFonts w:hint="eastAsia" w:ascii="宋体" w:hAnsi="宋体" w:cs="宋体"/>
          <w:color w:val="000000"/>
          <w:szCs w:val="30"/>
        </w:rPr>
        <w:t>蔬菜深加工</w:t>
      </w:r>
      <w:bookmarkEnd w:id="186"/>
      <w:bookmarkEnd w:id="187"/>
    </w:p>
    <w:p>
      <w:pPr>
        <w:spacing w:line="360" w:lineRule="auto"/>
        <w:ind w:firstLine="580" w:firstLineChars="196"/>
        <w:rPr>
          <w:rFonts w:ascii="宋体" w:hAnsi="宋体" w:cs="宋体"/>
          <w:spacing w:val="8"/>
          <w:sz w:val="28"/>
          <w:szCs w:val="28"/>
        </w:rPr>
      </w:pPr>
      <w:r>
        <w:rPr>
          <w:rFonts w:hint="eastAsia" w:ascii="宋体" w:hAnsi="宋体" w:cs="宋体"/>
          <w:spacing w:val="8"/>
          <w:sz w:val="28"/>
          <w:szCs w:val="28"/>
        </w:rPr>
        <w:t>随着蔬菜产业的快速发展，到2</w:t>
      </w:r>
      <w:r>
        <w:rPr>
          <w:rFonts w:ascii="宋体" w:hAnsi="宋体" w:cs="宋体"/>
          <w:spacing w:val="8"/>
          <w:sz w:val="28"/>
          <w:szCs w:val="28"/>
        </w:rPr>
        <w:t>025</w:t>
      </w:r>
      <w:r>
        <w:rPr>
          <w:rFonts w:hint="eastAsia" w:ascii="宋体" w:hAnsi="宋体" w:cs="宋体"/>
          <w:spacing w:val="8"/>
          <w:sz w:val="28"/>
          <w:szCs w:val="28"/>
        </w:rPr>
        <w:t>年，嵩明县蔬菜种植面积达11万亩，产量达70万吨。独特的地理位置和气温条件，使蔬菜具有较大优势，但蔬菜产业</w:t>
      </w:r>
      <w:r>
        <w:rPr>
          <w:rFonts w:ascii="宋体" w:hAnsi="宋体" w:cs="宋体"/>
          <w:spacing w:val="8"/>
          <w:sz w:val="28"/>
          <w:szCs w:val="28"/>
        </w:rPr>
        <w:t>生产</w:t>
      </w:r>
      <w:r>
        <w:rPr>
          <w:rFonts w:hint="eastAsia" w:ascii="宋体" w:hAnsi="宋体" w:cs="宋体"/>
          <w:spacing w:val="8"/>
          <w:sz w:val="28"/>
          <w:szCs w:val="28"/>
        </w:rPr>
        <w:t>的</w:t>
      </w:r>
      <w:r>
        <w:rPr>
          <w:rFonts w:ascii="宋体" w:hAnsi="宋体" w:cs="宋体"/>
          <w:spacing w:val="8"/>
          <w:sz w:val="28"/>
          <w:szCs w:val="28"/>
        </w:rPr>
        <w:t>有节性和地区性，</w:t>
      </w:r>
      <w:r>
        <w:rPr>
          <w:rFonts w:hint="eastAsia" w:ascii="宋体" w:hAnsi="宋体" w:cs="宋体"/>
          <w:spacing w:val="8"/>
          <w:sz w:val="28"/>
          <w:szCs w:val="28"/>
        </w:rPr>
        <w:t>极大幅度制约了产业发展。只有大力发展蔬菜加工，</w:t>
      </w:r>
      <w:r>
        <w:rPr>
          <w:rFonts w:ascii="宋体" w:hAnsi="宋体" w:cs="宋体"/>
          <w:spacing w:val="8"/>
          <w:sz w:val="28"/>
          <w:szCs w:val="28"/>
        </w:rPr>
        <w:t>将旺季过剩的新鲜蔬菜和特产蔬菜进行适当的加工，</w:t>
      </w:r>
      <w:r>
        <w:rPr>
          <w:rFonts w:hint="eastAsia" w:ascii="宋体" w:hAnsi="宋体" w:cs="宋体"/>
          <w:spacing w:val="8"/>
          <w:sz w:val="28"/>
          <w:szCs w:val="28"/>
        </w:rPr>
        <w:t>打造高原特色速冻蔬菜、罐头蔬菜、脱水蔬菜、粉末蔬菜、汁液蔬菜、即食蔬菜等系列蔬菜产品。从而达到</w:t>
      </w:r>
      <w:r>
        <w:rPr>
          <w:rFonts w:ascii="宋体" w:hAnsi="宋体" w:cs="宋体"/>
          <w:spacing w:val="8"/>
          <w:sz w:val="28"/>
          <w:szCs w:val="28"/>
        </w:rPr>
        <w:t>调节蔬菜生产的淡</w:t>
      </w:r>
      <w:r>
        <w:fldChar w:fldCharType="begin"/>
      </w:r>
      <w:r>
        <w:instrText xml:space="preserve"> HYPERLINK "https://baike.baidu.com/item/%E6%97%BA%E5%AD%A3/62269" \t "_blank" </w:instrText>
      </w:r>
      <w:r>
        <w:fldChar w:fldCharType="separate"/>
      </w:r>
      <w:r>
        <w:rPr>
          <w:rFonts w:ascii="宋体" w:hAnsi="宋体" w:cs="宋体"/>
          <w:spacing w:val="8"/>
          <w:sz w:val="28"/>
          <w:szCs w:val="28"/>
        </w:rPr>
        <w:t>旺季</w:t>
      </w:r>
      <w:r>
        <w:rPr>
          <w:rFonts w:ascii="宋体" w:hAnsi="宋体" w:cs="宋体"/>
          <w:spacing w:val="8"/>
          <w:sz w:val="28"/>
          <w:szCs w:val="28"/>
        </w:rPr>
        <w:fldChar w:fldCharType="end"/>
      </w:r>
      <w:r>
        <w:rPr>
          <w:rFonts w:hint="eastAsia" w:ascii="宋体" w:hAnsi="宋体" w:cs="宋体"/>
          <w:spacing w:val="8"/>
          <w:sz w:val="28"/>
          <w:szCs w:val="28"/>
        </w:rPr>
        <w:t>与</w:t>
      </w:r>
      <w:r>
        <w:rPr>
          <w:rFonts w:ascii="宋体" w:hAnsi="宋体" w:cs="宋体"/>
          <w:spacing w:val="8"/>
          <w:sz w:val="28"/>
          <w:szCs w:val="28"/>
        </w:rPr>
        <w:t>不同地区蔬菜市场的需求</w:t>
      </w:r>
      <w:r>
        <w:rPr>
          <w:rFonts w:hint="eastAsia" w:ascii="宋体" w:hAnsi="宋体" w:cs="宋体"/>
          <w:spacing w:val="8"/>
          <w:sz w:val="28"/>
          <w:szCs w:val="28"/>
        </w:rPr>
        <w:t>，进一步促进一、三产业发展</w:t>
      </w:r>
      <w:r>
        <w:rPr>
          <w:rFonts w:ascii="宋体" w:hAnsi="宋体" w:cs="宋体"/>
          <w:spacing w:val="8"/>
          <w:sz w:val="28"/>
          <w:szCs w:val="28"/>
        </w:rPr>
        <w:t>。</w:t>
      </w:r>
    </w:p>
    <w:p>
      <w:pPr>
        <w:pStyle w:val="5"/>
        <w:rPr>
          <w:rFonts w:ascii="宋体" w:hAnsi="宋体" w:cs="宋体"/>
          <w:color w:val="000000"/>
          <w:szCs w:val="30"/>
        </w:rPr>
      </w:pPr>
      <w:bookmarkStart w:id="188" w:name="_Toc74151020"/>
      <w:bookmarkStart w:id="189" w:name="_Toc53235496"/>
      <w:r>
        <w:rPr>
          <w:rFonts w:hint="eastAsia" w:ascii="宋体" w:hAnsi="宋体" w:cs="宋体"/>
          <w:color w:val="000000"/>
          <w:szCs w:val="30"/>
        </w:rPr>
        <w:t>5</w:t>
      </w:r>
      <w:r>
        <w:rPr>
          <w:rFonts w:ascii="宋体" w:hAnsi="宋体" w:cs="宋体"/>
          <w:color w:val="000000"/>
          <w:szCs w:val="30"/>
        </w:rPr>
        <w:t>.</w:t>
      </w:r>
      <w:r>
        <w:rPr>
          <w:rFonts w:hint="eastAsia" w:ascii="宋体" w:hAnsi="宋体" w:cs="宋体"/>
          <w:color w:val="000000"/>
          <w:szCs w:val="30"/>
        </w:rPr>
        <w:t>6</w:t>
      </w:r>
      <w:r>
        <w:rPr>
          <w:rFonts w:ascii="宋体" w:hAnsi="宋体" w:cs="宋体"/>
          <w:color w:val="000000"/>
          <w:szCs w:val="30"/>
        </w:rPr>
        <w:t>.</w:t>
      </w:r>
      <w:r>
        <w:rPr>
          <w:rFonts w:hint="eastAsia" w:ascii="宋体" w:hAnsi="宋体" w:cs="宋体"/>
          <w:color w:val="000000"/>
          <w:szCs w:val="30"/>
        </w:rPr>
        <w:t>2花卉精深加工</w:t>
      </w:r>
      <w:bookmarkEnd w:id="188"/>
      <w:bookmarkEnd w:id="189"/>
    </w:p>
    <w:p>
      <w:pPr>
        <w:spacing w:line="360" w:lineRule="auto"/>
        <w:ind w:firstLine="592" w:firstLineChars="200"/>
        <w:rPr>
          <w:rFonts w:ascii="宋体" w:hAnsi="宋体" w:cs="宋体"/>
          <w:spacing w:val="8"/>
          <w:sz w:val="28"/>
          <w:szCs w:val="28"/>
        </w:rPr>
      </w:pPr>
      <w:r>
        <w:rPr>
          <w:rFonts w:ascii="宋体" w:hAnsi="宋体" w:cs="宋体"/>
          <w:spacing w:val="8"/>
          <w:sz w:val="28"/>
          <w:szCs w:val="28"/>
        </w:rPr>
        <w:t>加强花卉产业集聚、加快花卉科技发展、加强花卉深加工产业发展、提升花卉产品附加值</w:t>
      </w:r>
      <w:r>
        <w:rPr>
          <w:rFonts w:hint="eastAsia" w:ascii="宋体" w:hAnsi="宋体" w:cs="宋体"/>
          <w:spacing w:val="8"/>
          <w:sz w:val="28"/>
          <w:szCs w:val="28"/>
        </w:rPr>
        <w:t>。打造完整的花卉产业链，从育种、种植、收购、加工、储运、销售等环节着手，大力加强创新，全面补齐短板，提供高品质的产品供给和高效率的配套服务；要瞄准产业发展前沿领域，聚焦精深加工，大力开发香精、香料、精油等高附加值产品。尽快打造高效流通体系，突破行业发展瓶颈。机场、交通、农业农村等部门要协同发力，迅速出台政策措施，在全县推动形成一批鲜花交易集散地，实现鲜花交易就近就地检验出关，提高花卉交易量，大幅度降低鲜切花损耗率。要加强规划引领，全力打造集交易中心、创新中心、种植栽培示范中心、深加工中心、体验中心为一体的世界一流花卉中心。</w:t>
      </w:r>
    </w:p>
    <w:p>
      <w:pPr>
        <w:pStyle w:val="4"/>
        <w:rPr>
          <w:color w:val="000000"/>
        </w:rPr>
      </w:pPr>
      <w:bookmarkStart w:id="190" w:name="_Toc17588"/>
      <w:bookmarkStart w:id="191" w:name="_Toc20909"/>
      <w:bookmarkStart w:id="192" w:name="_Toc74151021"/>
      <w:bookmarkStart w:id="193" w:name="_Toc21343"/>
      <w:bookmarkStart w:id="194" w:name="_Toc29817"/>
      <w:r>
        <w:rPr>
          <w:rFonts w:hint="eastAsia"/>
          <w:color w:val="000000"/>
        </w:rPr>
        <w:t>5</w:t>
      </w:r>
      <w:r>
        <w:rPr>
          <w:color w:val="000000"/>
        </w:rPr>
        <w:t>.</w:t>
      </w:r>
      <w:r>
        <w:rPr>
          <w:rFonts w:hint="eastAsia"/>
          <w:color w:val="000000"/>
        </w:rPr>
        <w:t>7现代营销及仓储物流工程</w:t>
      </w:r>
      <w:bookmarkEnd w:id="190"/>
      <w:bookmarkEnd w:id="191"/>
      <w:bookmarkEnd w:id="192"/>
      <w:bookmarkEnd w:id="193"/>
    </w:p>
    <w:p>
      <w:pPr>
        <w:pStyle w:val="5"/>
        <w:rPr>
          <w:rFonts w:ascii="宋体" w:hAnsi="宋体" w:cs="宋体"/>
          <w:color w:val="000000"/>
          <w:szCs w:val="30"/>
        </w:rPr>
      </w:pPr>
      <w:bookmarkStart w:id="195" w:name="_Toc21007"/>
      <w:bookmarkStart w:id="196" w:name="_Toc8278"/>
      <w:bookmarkStart w:id="197" w:name="_Toc74151022"/>
      <w:bookmarkStart w:id="198" w:name="_Toc9756"/>
      <w:bookmarkStart w:id="199" w:name="_Toc21974"/>
      <w:r>
        <w:rPr>
          <w:rFonts w:hint="eastAsia" w:ascii="宋体" w:hAnsi="宋体" w:cs="宋体"/>
          <w:color w:val="000000"/>
          <w:szCs w:val="30"/>
        </w:rPr>
        <w:t>5.7.1发展订单农业</w:t>
      </w:r>
      <w:bookmarkEnd w:id="195"/>
      <w:bookmarkEnd w:id="196"/>
      <w:bookmarkEnd w:id="197"/>
      <w:bookmarkEnd w:id="198"/>
      <w:bookmarkEnd w:id="199"/>
    </w:p>
    <w:p>
      <w:pPr>
        <w:spacing w:line="360" w:lineRule="auto"/>
        <w:ind w:firstLine="592" w:firstLineChars="200"/>
        <w:rPr>
          <w:rFonts w:ascii="宋体" w:hAnsi="宋体" w:cs="宋体"/>
          <w:color w:val="000000"/>
          <w:sz w:val="28"/>
          <w:szCs w:val="28"/>
          <w:shd w:val="clear" w:color="auto" w:fill="FFFFFF"/>
        </w:rPr>
      </w:pPr>
      <w:r>
        <w:rPr>
          <w:rFonts w:hint="eastAsia" w:ascii="宋体" w:hAnsi="宋体" w:cs="宋体"/>
          <w:color w:val="000000"/>
          <w:spacing w:val="8"/>
          <w:sz w:val="28"/>
          <w:szCs w:val="28"/>
        </w:rPr>
        <w:t>订单农业是重要的现代农业营销手段。嵩明县的订单农业发展滞后，农户得不到以销定产、按需生产、锁定利益的实惠。十四五期间在此方面补短板强弱项，以嵩明县的农业支柱产业花卉与蔬菜为主，以龙头企业为依托，与农户签订农产品</w:t>
      </w:r>
      <w:r>
        <w:fldChar w:fldCharType="begin"/>
      </w:r>
      <w:r>
        <w:instrText xml:space="preserve"> HYPERLINK "https://baike.baidu.com/item/%E8%B4%AD%E9%94%80%E5%90%88%E5%90%8C/8058662" \t "https://baike.baidu.com/item/%E8%AE%A2%E5%8D%95%E5%86%9C%E4%B8%9A/_blank" </w:instrText>
      </w:r>
      <w:r>
        <w:fldChar w:fldCharType="separate"/>
      </w:r>
      <w:r>
        <w:rPr>
          <w:rFonts w:hint="eastAsia" w:ascii="宋体" w:hAnsi="宋体" w:cs="宋体"/>
          <w:color w:val="000000"/>
          <w:spacing w:val="8"/>
          <w:sz w:val="28"/>
          <w:szCs w:val="28"/>
        </w:rPr>
        <w:t>购销合同</w:t>
      </w:r>
      <w:r>
        <w:rPr>
          <w:rFonts w:hint="eastAsia" w:ascii="宋体" w:hAnsi="宋体" w:cs="宋体"/>
          <w:color w:val="000000"/>
          <w:spacing w:val="8"/>
          <w:sz w:val="28"/>
          <w:szCs w:val="28"/>
        </w:rPr>
        <w:fldChar w:fldCharType="end"/>
      </w:r>
      <w:r>
        <w:rPr>
          <w:rFonts w:hint="eastAsia" w:ascii="宋体" w:hAnsi="宋体" w:cs="宋体"/>
          <w:color w:val="000000"/>
          <w:spacing w:val="8"/>
          <w:sz w:val="28"/>
          <w:szCs w:val="28"/>
        </w:rPr>
        <w:t>；依托大的市场，让农户与专业批发市场签订合同；与嵩明县花卉产业联合会、村集体产业发展合作社等专业</w:t>
      </w:r>
      <w:r>
        <w:fldChar w:fldCharType="begin"/>
      </w:r>
      <w:r>
        <w:instrText xml:space="preserve"> HYPERLINK "https://baike.baidu.com/item/%E5%90%88%E4%BD%9C%E7%BB%8F%E6%B5%8E" \t "https://baike.baidu.com/item/%E8%AE%A2%E5%8D%95%E5%86%9C%E4%B8%9A/_blank" </w:instrText>
      </w:r>
      <w:r>
        <w:fldChar w:fldCharType="separate"/>
      </w:r>
      <w:r>
        <w:rPr>
          <w:rFonts w:hint="eastAsia" w:ascii="宋体" w:hAnsi="宋体" w:cs="宋体"/>
          <w:color w:val="000000"/>
          <w:spacing w:val="8"/>
          <w:sz w:val="28"/>
          <w:szCs w:val="28"/>
        </w:rPr>
        <w:t>合作经济</w:t>
      </w:r>
      <w:r>
        <w:rPr>
          <w:rFonts w:hint="eastAsia" w:ascii="宋体" w:hAnsi="宋体" w:cs="宋体"/>
          <w:color w:val="000000"/>
          <w:spacing w:val="8"/>
          <w:sz w:val="28"/>
          <w:szCs w:val="28"/>
        </w:rPr>
        <w:fldChar w:fldCharType="end"/>
      </w:r>
      <w:r>
        <w:rPr>
          <w:rFonts w:hint="eastAsia" w:ascii="宋体" w:hAnsi="宋体" w:cs="宋体"/>
          <w:color w:val="000000"/>
          <w:spacing w:val="8"/>
          <w:sz w:val="28"/>
          <w:szCs w:val="28"/>
        </w:rPr>
        <w:t>组织、产业联盟和行业协会签订合同；依托流通组织，通过经销公司、</w:t>
      </w:r>
      <w:r>
        <w:fldChar w:fldCharType="begin"/>
      </w:r>
      <w:r>
        <w:instrText xml:space="preserve"> HYPERLINK "https://baike.baidu.com/item/%E7%BB%8F%E6%B5%8E%E4%BA%BA/4505629" \t "https://baike.baidu.com/item/%E8%AE%A2%E5%8D%95%E5%86%9C%E4%B8%9A/_blank" </w:instrText>
      </w:r>
      <w:r>
        <w:fldChar w:fldCharType="separate"/>
      </w:r>
      <w:r>
        <w:rPr>
          <w:rFonts w:hint="eastAsia" w:ascii="宋体" w:hAnsi="宋体" w:cs="宋体"/>
          <w:color w:val="000000"/>
          <w:spacing w:val="8"/>
          <w:sz w:val="28"/>
          <w:szCs w:val="28"/>
        </w:rPr>
        <w:t>经纪人</w:t>
      </w:r>
      <w:r>
        <w:rPr>
          <w:rFonts w:hint="eastAsia" w:ascii="宋体" w:hAnsi="宋体" w:cs="宋体"/>
          <w:color w:val="000000"/>
          <w:spacing w:val="8"/>
          <w:sz w:val="28"/>
          <w:szCs w:val="28"/>
        </w:rPr>
        <w:fldChar w:fldCharType="end"/>
      </w:r>
      <w:r>
        <w:rPr>
          <w:rFonts w:hint="eastAsia" w:ascii="宋体" w:hAnsi="宋体" w:cs="宋体"/>
          <w:color w:val="000000"/>
          <w:spacing w:val="8"/>
          <w:sz w:val="28"/>
          <w:szCs w:val="28"/>
        </w:rPr>
        <w:t>、客商等签订合同，各种模式共同发力，发展订单农业。</w:t>
      </w:r>
    </w:p>
    <w:p>
      <w:pPr>
        <w:pStyle w:val="5"/>
        <w:rPr>
          <w:rFonts w:ascii="宋体" w:hAnsi="宋体" w:cs="宋体"/>
          <w:color w:val="000000"/>
          <w:szCs w:val="30"/>
        </w:rPr>
      </w:pPr>
      <w:bookmarkStart w:id="200" w:name="_Toc19932"/>
      <w:bookmarkStart w:id="201" w:name="_Toc8174"/>
      <w:bookmarkStart w:id="202" w:name="_Toc30056"/>
      <w:bookmarkStart w:id="203" w:name="_Toc19740"/>
      <w:bookmarkStart w:id="204" w:name="_Toc74151023"/>
      <w:r>
        <w:rPr>
          <w:rFonts w:hint="eastAsia" w:ascii="宋体" w:hAnsi="宋体" w:cs="宋体"/>
          <w:color w:val="000000"/>
          <w:szCs w:val="30"/>
        </w:rPr>
        <w:t>5.7.2</w:t>
      </w:r>
      <w:bookmarkEnd w:id="200"/>
      <w:bookmarkEnd w:id="201"/>
      <w:bookmarkEnd w:id="202"/>
      <w:bookmarkEnd w:id="203"/>
      <w:r>
        <w:rPr>
          <w:rFonts w:hint="eastAsia" w:ascii="宋体" w:hAnsi="宋体" w:cs="宋体"/>
          <w:color w:val="000000"/>
          <w:szCs w:val="30"/>
        </w:rPr>
        <w:t>信息进村入户工程</w:t>
      </w:r>
      <w:bookmarkEnd w:id="204"/>
    </w:p>
    <w:p>
      <w:pPr>
        <w:pStyle w:val="55"/>
        <w:spacing w:line="580" w:lineRule="exact"/>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随着数字乡村发展战略的实施，农民把手机变成新农具，直播变成新农活，数据变成新农资，农民网上开店、在线销售、农产品“直播带货”将逐步成为一种新常态。持续推进“益农信息社”服务体系建设，提升“买，卖，代，推，缴，取”等六项业务能力；完善和推广“云农12316三农综合信息服务平台”，为农民和新型经营主体提供农业公益服务、便民服务、电子商务、培训体验等四类服务；以提升和拓展三农专业技术服务能力为核心，降低交易成本、提高交易效率为目标，修通建设好立足农业、覆盖农村、服务农民的“信息高速公路”，为实施乡村振兴战略提供信息化保障。</w:t>
      </w:r>
    </w:p>
    <w:p>
      <w:pPr>
        <w:pStyle w:val="55"/>
        <w:spacing w:line="580" w:lineRule="exact"/>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“十四五”期间，建成1个县级运营中心、全县行政村益农信息社全覆盖，“云农12316”平台全面上线运行，形成10名以上专家(技术职称副高以上) 、74名信息员、平台用户1万以上的“三农”信息服务体系。</w:t>
      </w:r>
    </w:p>
    <w:p>
      <w:pPr>
        <w:pStyle w:val="5"/>
        <w:rPr>
          <w:rFonts w:ascii="宋体" w:hAnsi="宋体" w:cs="宋体"/>
          <w:color w:val="000000"/>
          <w:szCs w:val="30"/>
        </w:rPr>
      </w:pPr>
      <w:bookmarkStart w:id="205" w:name="_Toc13685"/>
      <w:bookmarkStart w:id="206" w:name="_Toc775"/>
      <w:bookmarkStart w:id="207" w:name="_Toc27530"/>
      <w:bookmarkStart w:id="208" w:name="_Toc74151024"/>
      <w:r>
        <w:rPr>
          <w:rFonts w:hint="eastAsia" w:ascii="宋体" w:hAnsi="宋体" w:cs="宋体"/>
          <w:color w:val="000000"/>
          <w:szCs w:val="30"/>
        </w:rPr>
        <w:t>5.7.3完善冷链物流</w:t>
      </w:r>
      <w:bookmarkEnd w:id="205"/>
      <w:bookmarkEnd w:id="206"/>
      <w:bookmarkEnd w:id="207"/>
      <w:bookmarkEnd w:id="208"/>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完善农产品仓储保鲜冷链体系。十四五期间，新建农业园区农产品质量追溯系统和仓储保鲜冷链物流系统，让“直播带货”既要把农产品卖出去，又要高效快捷地运出去，更要原汁原味地送到消费者手中。充分利用嵩明紧靠昆明主城区、紧邻铁路公路主干线的地理优势，围绕现代物流基地建设目标，以促进通道开放经济发展为着力点，科学规划，统筹实施，完善以区域性农产品交易市场为中心、特色产品产地市场为依托、城乡集贸市场为支点的农产品市场体系，加快建设以县城为中心、辐射带动周边地区的大型物流园区，逐步完善园区基础设施，建立电子商务中心平台，完善快递配送、物流仓储、生鲜冷库等基础设施，重点加快蔬菜、花卉、草莓、苹果、桃等特色优势农产品的产地批发市场和冷库建设。新增50万吨蔬菜储藏保鲜库，支持现有的351座冷链物流设施设备的改造升级；完善产品分级、包装、冷链物流、市场交易的完整服务体系。着力推进乡村站点建设，完善县乡村三级物流体系，解决工业品下乡、农产品进城最后一公里短板问题。加大招商引资力度，培养和引进大中型物流企业，作为物流龙头企业发挥引导、示范、带动作用，构建以特色农产品物流为主，服务城乡生产、生活，集仓储、中转、分拨、运输、配送为一体的现代物流网络体系。</w:t>
      </w:r>
    </w:p>
    <w:p>
      <w:pPr>
        <w:pStyle w:val="4"/>
        <w:rPr>
          <w:color w:val="000000"/>
        </w:rPr>
      </w:pPr>
      <w:bookmarkStart w:id="209" w:name="_Toc74151025"/>
      <w:bookmarkStart w:id="210" w:name="_Toc5358"/>
      <w:bookmarkStart w:id="211" w:name="_Toc53235511"/>
      <w:bookmarkStart w:id="212" w:name="_Toc10238"/>
      <w:bookmarkStart w:id="213" w:name="_Toc26076"/>
      <w:r>
        <w:rPr>
          <w:rFonts w:hint="eastAsia"/>
          <w:color w:val="000000"/>
        </w:rPr>
        <w:t>5.8品牌打造工程</w:t>
      </w:r>
      <w:bookmarkEnd w:id="209"/>
      <w:bookmarkEnd w:id="210"/>
      <w:bookmarkEnd w:id="211"/>
      <w:bookmarkEnd w:id="212"/>
      <w:bookmarkEnd w:id="213"/>
    </w:p>
    <w:p>
      <w:pPr>
        <w:pStyle w:val="5"/>
        <w:rPr>
          <w:rFonts w:ascii="宋体" w:hAnsi="宋体" w:cs="宋体"/>
          <w:color w:val="000000"/>
          <w:szCs w:val="30"/>
        </w:rPr>
      </w:pPr>
      <w:bookmarkStart w:id="214" w:name="_Toc14338"/>
      <w:bookmarkStart w:id="215" w:name="_Toc27235008"/>
      <w:bookmarkStart w:id="216" w:name="_Toc12394"/>
      <w:bookmarkStart w:id="217" w:name="_Toc20099"/>
      <w:bookmarkStart w:id="218" w:name="_Toc53235512"/>
      <w:bookmarkStart w:id="219" w:name="_Toc74151026"/>
      <w:r>
        <w:rPr>
          <w:rFonts w:hint="eastAsia" w:ascii="宋体" w:hAnsi="宋体" w:cs="宋体"/>
          <w:color w:val="000000"/>
          <w:szCs w:val="30"/>
        </w:rPr>
        <w:t>5.8.1推进“三品一标”认证和绿色品牌建设</w:t>
      </w:r>
      <w:bookmarkEnd w:id="214"/>
      <w:bookmarkEnd w:id="215"/>
      <w:bookmarkEnd w:id="216"/>
      <w:bookmarkEnd w:id="217"/>
      <w:bookmarkEnd w:id="218"/>
      <w:bookmarkEnd w:id="219"/>
    </w:p>
    <w:p>
      <w:pPr>
        <w:spacing w:line="360" w:lineRule="auto"/>
        <w:ind w:firstLine="592" w:firstLineChars="200"/>
        <w:rPr>
          <w:sz w:val="30"/>
          <w:szCs w:val="30"/>
        </w:rPr>
      </w:pPr>
      <w:r>
        <w:rPr>
          <w:rFonts w:hint="eastAsia" w:ascii="宋体" w:hAnsi="宋体" w:cs="宋体"/>
          <w:color w:val="000000"/>
          <w:spacing w:val="8"/>
          <w:sz w:val="28"/>
          <w:szCs w:val="28"/>
        </w:rPr>
        <w:t>实施质量兴农战略，以提高农产品质量安全为目标，扎实推进“三品一标”认证，提升特色农产品知名度和影响力，推进嵩明农业优质化、特色化、品牌化发展。鼓励龙头企业、农民专业合作社引入采用国际公认的质量标准，建立有效的产品质量控制体系，促进产品质量全面提档升级。依法争创驰名商标、名牌产品、生态原产地产品和农产品地理标志产品，加快“三品一标”认证建设。创建一批绿色生产示范基地，增加一批进入国家有机产品认证示范区，鼓励有实力的企业采用合作、租赁等形式，在嵩明建立有机食品生产示范基地。将嵩明蔬菜、草莓、蓝莓、桃、苹果、中药材等优先列入有机绿色产品生产支持范围，打造蔬菜、花卉、水果名片，扩大市场影响力。规划期内每年新增“三品一标”认证不少于3个，到2025年，全县“三品一标”农产品新增20个以上。</w:t>
      </w:r>
    </w:p>
    <w:p>
      <w:pPr>
        <w:pStyle w:val="5"/>
        <w:rPr>
          <w:rFonts w:ascii="宋体" w:hAnsi="宋体" w:cs="宋体"/>
          <w:color w:val="000000"/>
          <w:szCs w:val="30"/>
        </w:rPr>
      </w:pPr>
      <w:bookmarkStart w:id="220" w:name="_Toc74151027"/>
      <w:bookmarkStart w:id="221" w:name="_Toc26095"/>
      <w:bookmarkStart w:id="222" w:name="_Toc53235513"/>
      <w:bookmarkStart w:id="223" w:name="_Toc3245"/>
      <w:bookmarkStart w:id="224" w:name="_Toc27235009"/>
      <w:bookmarkStart w:id="225" w:name="_Toc23080"/>
      <w:r>
        <w:rPr>
          <w:rFonts w:hint="eastAsia" w:ascii="宋体" w:hAnsi="宋体" w:cs="宋体"/>
          <w:color w:val="000000"/>
          <w:szCs w:val="30"/>
        </w:rPr>
        <w:t>5.8.2打造嵩明农业品牌</w:t>
      </w:r>
      <w:bookmarkEnd w:id="220"/>
      <w:bookmarkEnd w:id="221"/>
      <w:bookmarkEnd w:id="222"/>
      <w:bookmarkEnd w:id="223"/>
      <w:bookmarkEnd w:id="224"/>
      <w:bookmarkEnd w:id="225"/>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狠抓农产品质量安全监管，推进农产品品牌建设，打造一批嵩明农产品知名品牌。根据全县特色优势农业发展基础和趋势，着力打造嵩明蔬菜、嵩明花卉、嵩明水果、嵩明中药材等4个绿色农产品品牌。</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建立完善品牌管理制度，提升标准化生产能力和品牌培育创建能力。充分发挥市场配置作用、企业主体作用、政府引导作用和社会参与作用，培育一批特色鲜明、质量过硬、信誉可靠的农业品牌，促进农业质量效益竞争力全面提升。制定特色农产品区域品牌生产技术规程和产品质量标准，建立完善农产品质量、品牌管理制度，提升标准化生产能力和品牌培育创建能力，从源头防治产品质量问题带来的名誉以及经济利益受损。提升产品品质，筑牢品牌建设基础，鼓励农户实施有机绿色生产，将产品安全、资源节约、环境友好贯穿始终，建立健全农产品生产、加工、流通和质量安全标准体系，实现品牌农产品优势优质，优质优价。建立品牌农产品目录和标识制度，实施准入和退出管理。建立品牌授权使用、品牌危机预警、风险规避和紧急事件应对机制，实施监控、评估公用品牌状态，严厉打击各种冒用、滥用公用品牌、侵犯商标专用权等行为。</w:t>
      </w:r>
    </w:p>
    <w:p>
      <w:pPr>
        <w:pStyle w:val="5"/>
        <w:rPr>
          <w:rFonts w:ascii="宋体" w:hAnsi="宋体" w:cs="宋体"/>
          <w:color w:val="000000"/>
          <w:szCs w:val="30"/>
        </w:rPr>
      </w:pPr>
      <w:bookmarkStart w:id="226" w:name="_Toc160"/>
      <w:bookmarkStart w:id="227" w:name="_Toc53235514"/>
      <w:bookmarkStart w:id="228" w:name="_Toc27235010"/>
      <w:bookmarkStart w:id="229" w:name="_Toc74151028"/>
      <w:bookmarkStart w:id="230" w:name="_Toc3524"/>
      <w:bookmarkStart w:id="231" w:name="_Toc15178"/>
      <w:r>
        <w:rPr>
          <w:rFonts w:hint="eastAsia" w:ascii="宋体" w:hAnsi="宋体" w:cs="宋体"/>
          <w:color w:val="000000"/>
          <w:szCs w:val="30"/>
        </w:rPr>
        <w:t>5.8.3加强品牌宣传与营销</w:t>
      </w:r>
      <w:bookmarkEnd w:id="226"/>
      <w:bookmarkEnd w:id="227"/>
      <w:bookmarkEnd w:id="228"/>
      <w:bookmarkEnd w:id="229"/>
      <w:bookmarkEnd w:id="230"/>
      <w:bookmarkEnd w:id="231"/>
    </w:p>
    <w:p>
      <w:pPr>
        <w:spacing w:line="360" w:lineRule="auto"/>
        <w:ind w:firstLine="592" w:firstLineChars="200"/>
      </w:pPr>
      <w:r>
        <w:rPr>
          <w:rFonts w:hint="eastAsia" w:ascii="宋体" w:hAnsi="宋体" w:cs="宋体"/>
          <w:color w:val="000000"/>
          <w:spacing w:val="8"/>
          <w:sz w:val="28"/>
          <w:szCs w:val="28"/>
        </w:rPr>
        <w:t>推进区域农产品公共品牌建设，委托品牌策划机构培育嵩明高原特色现代农业整体品牌形象，做好品牌宣传推介，加强农产品商标和地理标志商标的注册和保护，建立区域公用品牌的授权使用机制以及品牌危机预警。借助嵩明高原特色资源，发展绿色营销，以绿色产品、绿色包装为宣传重点，引导消费者绿色消费，树立产品品牌在消费者心中的地位，建立品牌与消费者长期密切的关系，更有效地促进产品传播和产品营销。充分利用线上、线下多种渠道讲好品牌故事，营销方式多元化，注重整体形象推广，扩大省内、国内影响力。探索搭建开放式营销服务平台，推进新型农业经营主体、农产品产地批发市场、农产品加工企业、大型商超物流企业、电商平台及行业协会、社区、学校的产销衔接，发展订单农业、网上交易等对接方式，构建线下资源与线上需求高效对接的渠道，形成品牌农产品产销联合体，共同维护好品牌声誉，共享品牌溢价收</w:t>
      </w:r>
      <w:r>
        <w:rPr>
          <w:rFonts w:hint="eastAsia" w:ascii="宋体" w:hAnsi="宋体" w:cs="宋体"/>
          <w:color w:val="000000"/>
          <w:sz w:val="28"/>
          <w:szCs w:val="28"/>
          <w:shd w:val="clear" w:color="auto" w:fill="FFFFFF"/>
        </w:rPr>
        <w:t>益</w:t>
      </w:r>
      <w:r>
        <w:rPr>
          <w:rFonts w:hint="eastAsia" w:ascii="宋体" w:hAnsi="宋体" w:cs="宋体"/>
          <w:color w:val="000000"/>
          <w:spacing w:val="8"/>
          <w:sz w:val="28"/>
          <w:szCs w:val="28"/>
        </w:rPr>
        <w:t>。积极参与和举办各种类型的农业博览会、产销对接会、农产品推介会等，充分利用各种媒体媒介，拓宽营销传播渠道，讲好嵩明品牌故事，传递嵩明品牌价值。</w:t>
      </w:r>
    </w:p>
    <w:p>
      <w:pPr>
        <w:pStyle w:val="4"/>
        <w:rPr>
          <w:color w:val="000000"/>
        </w:rPr>
      </w:pPr>
      <w:bookmarkStart w:id="232" w:name="_Toc18603"/>
      <w:bookmarkStart w:id="233" w:name="_Toc74151029"/>
      <w:bookmarkStart w:id="234" w:name="_Toc6527"/>
      <w:bookmarkStart w:id="235" w:name="_Toc28542"/>
      <w:bookmarkStart w:id="236" w:name="_Toc4058"/>
      <w:r>
        <w:rPr>
          <w:rFonts w:hint="eastAsia"/>
          <w:color w:val="000000"/>
        </w:rPr>
        <w:t>5</w:t>
      </w:r>
      <w:r>
        <w:rPr>
          <w:color w:val="000000"/>
        </w:rPr>
        <w:t>.</w:t>
      </w:r>
      <w:r>
        <w:rPr>
          <w:rFonts w:hint="eastAsia"/>
          <w:color w:val="000000"/>
        </w:rPr>
        <w:t>9新型农业经营主体培育</w:t>
      </w:r>
      <w:bookmarkEnd w:id="232"/>
      <w:bookmarkEnd w:id="233"/>
      <w:bookmarkEnd w:id="234"/>
      <w:bookmarkEnd w:id="235"/>
      <w:bookmarkEnd w:id="236"/>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结合鼓励农业规模化、集约化经营的政策，用好、用足扶持政策，培育和壮大新型农业生产经营组织，努力提高农户集约经营水平，倡导以农户家庭为单位组建家庭农场。引导家庭农场通过土地流转，从事农业规模化、集约化生产经营，开展农产品加工和销售。至2020年，全县已经建成的家庭农场有23个。按每年发展10个的速度，规划期末全县要培育完成家庭农场50个左右，收入达2500万元。鼓励家庭农场进行工商登记注册，成为法人型经营主体。引导外出务工农民、个体工商户、农村经纪人等投资创办家庭农场。农业龙头企业进一步发展，在十四五期间每年培育新增或升级省、市级农业龙头企业1家，到2025年新增或升级省、市级农业龙头企业5家。改造和升级现有专业合作社，使之更加高效、更加专业、更加贴近农民、贴近市场。</w:t>
      </w:r>
    </w:p>
    <w:p>
      <w:pPr>
        <w:rPr>
          <w:rFonts w:ascii="宋体" w:hAnsi="宋体"/>
          <w:b/>
          <w:color w:val="000000"/>
          <w:kern w:val="0"/>
          <w:sz w:val="32"/>
          <w:szCs w:val="36"/>
        </w:rPr>
      </w:pPr>
      <w:r>
        <w:rPr>
          <w:rFonts w:hint="eastAsia" w:ascii="宋体" w:hAnsi="宋体"/>
          <w:b/>
          <w:color w:val="000000"/>
          <w:kern w:val="0"/>
          <w:sz w:val="32"/>
          <w:szCs w:val="36"/>
        </w:rPr>
        <w:t>5.10 重大动物疫病防控体系建设工程</w:t>
      </w:r>
    </w:p>
    <w:p>
      <w:pPr>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进一步完善重大动物疫病应急处置预案，加强应急物资储备，加强应急处置能力培养，全面提升应急处置能力，完善县级兽医实验室建设，提高县级监测能力。常态化做好非洲猪瘟等动物疫病防控工作，扎实做好春秋两季动物疫病集中免疫，确保强制免疫群体免疫密度常年保持在90%以上，应免畜禽免疫密度达100%，免疫抗体合格率达国家规定标准。产地检疫率达100%，屠宰检疫率达100%，保障畜产品质量安全。全面净化人畜共患病，保障人民身体健康，全面推行“先打后补”免疫补助政策，保障畜牧业高质量发展。</w:t>
      </w:r>
    </w:p>
    <w:p>
      <w:pPr>
        <w:pStyle w:val="4"/>
        <w:rPr>
          <w:color w:val="000000"/>
        </w:rPr>
      </w:pPr>
      <w:bookmarkStart w:id="237" w:name="_Toc74151030"/>
      <w:bookmarkStart w:id="238" w:name="_Toc9716"/>
      <w:bookmarkStart w:id="239" w:name="_Toc10144"/>
      <w:bookmarkStart w:id="240" w:name="_Toc20785"/>
      <w:r>
        <w:rPr>
          <w:rFonts w:hint="eastAsia"/>
          <w:color w:val="000000"/>
        </w:rPr>
        <w:t>5</w:t>
      </w:r>
      <w:r>
        <w:rPr>
          <w:color w:val="000000"/>
        </w:rPr>
        <w:t>.</w:t>
      </w:r>
      <w:r>
        <w:rPr>
          <w:rFonts w:hint="eastAsia"/>
          <w:color w:val="000000"/>
        </w:rPr>
        <w:t>10“十四五”时期重点项目</w:t>
      </w:r>
      <w:bookmarkEnd w:id="194"/>
      <w:bookmarkEnd w:id="237"/>
      <w:bookmarkEnd w:id="238"/>
      <w:bookmarkEnd w:id="239"/>
      <w:bookmarkEnd w:id="240"/>
    </w:p>
    <w:p>
      <w:pPr>
        <w:spacing w:line="360" w:lineRule="auto"/>
        <w:ind w:firstLine="592" w:firstLineChars="200"/>
        <w:rPr>
          <w:rFonts w:ascii="宋体" w:hAnsi="宋体" w:cs="宋体"/>
          <w:color w:val="000000"/>
          <w:sz w:val="28"/>
          <w:szCs w:val="28"/>
          <w:shd w:val="clear" w:color="auto" w:fill="FFFFFF"/>
        </w:rPr>
      </w:pPr>
      <w:r>
        <w:rPr>
          <w:rFonts w:hint="eastAsia" w:ascii="宋体" w:hAnsi="宋体" w:cs="宋体"/>
          <w:color w:val="000000"/>
          <w:spacing w:val="8"/>
          <w:sz w:val="28"/>
          <w:szCs w:val="28"/>
        </w:rPr>
        <w:t>主要有农业基础设施建设、种植养殖加工、经营主体扶持、农业生态管护、农业科技投入等项目。具体项目详见附表。</w:t>
      </w:r>
    </w:p>
    <w:p>
      <w:pPr>
        <w:spacing w:line="360" w:lineRule="auto"/>
        <w:ind w:firstLine="560" w:firstLineChars="200"/>
        <w:rPr>
          <w:rFonts w:ascii="宋体" w:hAnsi="宋体" w:cs="宋体"/>
          <w:color w:val="000000"/>
          <w:sz w:val="28"/>
          <w:szCs w:val="28"/>
          <w:shd w:val="clear" w:color="auto" w:fill="FFFFFF"/>
        </w:rPr>
        <w:sectPr>
          <w:pgSz w:w="11906" w:h="16838"/>
          <w:pgMar w:top="1417" w:right="1417" w:bottom="1417" w:left="1417" w:header="851" w:footer="992" w:gutter="0"/>
          <w:cols w:space="720" w:num="1"/>
          <w:docGrid w:type="lines" w:linePitch="312" w:charSpace="0"/>
        </w:sectPr>
      </w:pPr>
    </w:p>
    <w:p>
      <w:pPr>
        <w:pStyle w:val="3"/>
        <w:rPr>
          <w:rFonts w:ascii="宋体" w:hAnsi="宋体" w:cs="宋体"/>
          <w:color w:val="000000"/>
          <w:szCs w:val="36"/>
        </w:rPr>
      </w:pPr>
      <w:bookmarkStart w:id="241" w:name="_Toc74151031"/>
      <w:bookmarkStart w:id="242" w:name="_Toc3593"/>
      <w:bookmarkStart w:id="243" w:name="_Toc30307"/>
      <w:bookmarkStart w:id="244" w:name="_Toc24638"/>
      <w:bookmarkStart w:id="245" w:name="_Toc29193"/>
      <w:r>
        <w:rPr>
          <w:rFonts w:hint="eastAsia" w:ascii="宋体" w:hAnsi="宋体" w:cs="宋体"/>
          <w:color w:val="000000"/>
          <w:szCs w:val="36"/>
        </w:rPr>
        <w:t>6 投资估算与效益分析</w:t>
      </w:r>
      <w:bookmarkEnd w:id="241"/>
    </w:p>
    <w:p>
      <w:pPr>
        <w:pStyle w:val="4"/>
        <w:rPr>
          <w:color w:val="000000"/>
        </w:rPr>
      </w:pPr>
      <w:bookmarkStart w:id="246" w:name="_Toc74151032"/>
      <w:r>
        <w:rPr>
          <w:rFonts w:hint="eastAsia"/>
          <w:color w:val="000000"/>
        </w:rPr>
        <w:t>6</w:t>
      </w:r>
      <w:r>
        <w:rPr>
          <w:color w:val="000000"/>
        </w:rPr>
        <w:t>.</w:t>
      </w:r>
      <w:r>
        <w:rPr>
          <w:rFonts w:hint="eastAsia"/>
          <w:color w:val="000000"/>
        </w:rPr>
        <w:t>1投资估算与资金来源</w:t>
      </w:r>
      <w:bookmarkEnd w:id="246"/>
    </w:p>
    <w:p>
      <w:pPr>
        <w:pStyle w:val="5"/>
        <w:rPr>
          <w:rFonts w:ascii="宋体" w:hAnsi="宋体" w:cs="宋体"/>
          <w:color w:val="000000"/>
          <w:szCs w:val="30"/>
        </w:rPr>
      </w:pPr>
      <w:bookmarkStart w:id="247" w:name="_Toc74151033"/>
      <w:r>
        <w:rPr>
          <w:rFonts w:hint="eastAsia" w:ascii="宋体" w:hAnsi="宋体" w:cs="宋体"/>
          <w:color w:val="000000"/>
          <w:szCs w:val="30"/>
        </w:rPr>
        <w:t>6.1.1投资估算与计划</w:t>
      </w:r>
      <w:bookmarkEnd w:id="247"/>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严格依照国家和有关部门颁布的投资政策、法规和现行农业工程项目经济评价的有关规定，并结合项目所需设备近期询价及类似项目投资与市场浮动，对嵩明县“十四五”高原特色现代农业发展规划重点工程及科技支撑项目进行造价估算。经估算总投资约2.7亿元，分五年实施。具体投资估算与计划详见附件“重点项目计划表”。</w:t>
      </w:r>
    </w:p>
    <w:p>
      <w:pPr>
        <w:pStyle w:val="5"/>
        <w:rPr>
          <w:rFonts w:ascii="宋体" w:hAnsi="宋体" w:cs="宋体"/>
          <w:color w:val="000000"/>
          <w:szCs w:val="30"/>
        </w:rPr>
      </w:pPr>
      <w:bookmarkStart w:id="248" w:name="_Toc74151034"/>
      <w:r>
        <w:rPr>
          <w:rFonts w:hint="eastAsia" w:ascii="宋体" w:hAnsi="宋体" w:cs="宋体"/>
          <w:color w:val="000000"/>
          <w:szCs w:val="30"/>
        </w:rPr>
        <w:t>6.1.2资金筹措</w:t>
      </w:r>
      <w:bookmarkEnd w:id="248"/>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嵩明县“十四五”高原特色现代农业发展将按照“政府引导，市场运作”的原则进行资金筹措，政府一是对公共基础设施、部分生产设施和生态建设工程进行引导性投资；二是给予企业、专业合作社或种养大户奖励性支持。而产业发展、基地建设、园区建设和庄园建设主要以企业和农户自主投资及贷款为主。</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1)财政支农资金</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为推进嵩明县高原特色现代农业产业发展，不仅要对政府财政支农资金进行充分地利用，而且应整合财政、农业、发改委、林业、扶贫、科技等各部门的支农资金，使之充分发挥合力，重点建设支持嵩明县的农业产业发展。</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2)吸纳社会资本</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政府主要负责解决农田治理、水利灌溉、生态治理、道路建设等基础性的公共工程建设。而对于投资规模大、盈利能力较好、社会效益好的基地建设、示范园建设、庄园建设等，应积极吸收各种社会资本进入。</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3)银行信贷</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由嵩明县政府牵头与各大银行协商，充分利用国家相关的贷款汇率优惠政策，积极探索形式灵活多变的贷款方式，如宅基地抵押贷款、土地抵押贷款、房屋抵押贷款等。通过灵活多样的贷款方式和贷款汇率优惠政策对种养大户、种养殖生产企业、农产品加工企业、农产品物流企业、农业庄园企业等给予资金上的扶持。</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4)自筹资金</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由嵩明县农业产业结构调整和现代农业产业发展的主体企业、农民专业合作组织、农户等项目主体，根据项目建设情况自行筹集资金。</w:t>
      </w:r>
    </w:p>
    <w:p>
      <w:pPr>
        <w:pStyle w:val="4"/>
        <w:rPr>
          <w:color w:val="000000"/>
        </w:rPr>
      </w:pPr>
      <w:bookmarkStart w:id="249" w:name="_Toc74151035"/>
      <w:r>
        <w:rPr>
          <w:rFonts w:hint="eastAsia"/>
          <w:color w:val="000000"/>
        </w:rPr>
        <w:t>6</w:t>
      </w:r>
      <w:r>
        <w:rPr>
          <w:color w:val="000000"/>
        </w:rPr>
        <w:t>.</w:t>
      </w:r>
      <w:r>
        <w:rPr>
          <w:rFonts w:hint="eastAsia"/>
          <w:color w:val="000000"/>
        </w:rPr>
        <w:t>2效益分析</w:t>
      </w:r>
      <w:bookmarkEnd w:id="249"/>
    </w:p>
    <w:p>
      <w:pPr>
        <w:pStyle w:val="5"/>
        <w:rPr>
          <w:rFonts w:ascii="宋体" w:hAnsi="宋体" w:cs="宋体"/>
          <w:color w:val="000000"/>
          <w:szCs w:val="30"/>
        </w:rPr>
      </w:pPr>
      <w:bookmarkStart w:id="250" w:name="_Toc74151036"/>
      <w:r>
        <w:rPr>
          <w:rFonts w:hint="eastAsia" w:ascii="宋体" w:hAnsi="宋体" w:cs="宋体"/>
          <w:color w:val="000000"/>
          <w:szCs w:val="30"/>
        </w:rPr>
        <w:t>6.2.1经济效益</w:t>
      </w:r>
      <w:bookmarkEnd w:id="250"/>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1)提升农业经济总量</w:t>
      </w:r>
    </w:p>
    <w:p>
      <w:pPr>
        <w:spacing w:line="360" w:lineRule="auto"/>
        <w:ind w:firstLine="592" w:firstLineChars="200"/>
        <w:rPr>
          <w:rFonts w:ascii="宋体" w:hAnsi="宋体" w:cs="宋体"/>
          <w:spacing w:val="8"/>
          <w:sz w:val="28"/>
          <w:szCs w:val="28"/>
        </w:rPr>
      </w:pPr>
      <w:r>
        <w:rPr>
          <w:rFonts w:hint="eastAsia" w:ascii="宋体" w:hAnsi="宋体" w:cs="宋体"/>
          <w:spacing w:val="8"/>
          <w:sz w:val="28"/>
          <w:szCs w:val="28"/>
        </w:rPr>
        <w:t>到2025年，农林牧渔业总产值达到50亿元以上，农业综合生产能力显著提升。</w:t>
      </w:r>
    </w:p>
    <w:p>
      <w:pPr>
        <w:spacing w:line="360" w:lineRule="auto"/>
        <w:ind w:firstLine="594" w:firstLineChars="200"/>
        <w:rPr>
          <w:rFonts w:ascii="宋体" w:hAnsi="宋体" w:cs="宋体"/>
          <w:color w:val="000000"/>
          <w:spacing w:val="8"/>
          <w:sz w:val="28"/>
          <w:szCs w:val="28"/>
        </w:rPr>
      </w:pPr>
      <w:r>
        <w:rPr>
          <w:rFonts w:hint="eastAsia" w:ascii="宋体" w:hAnsi="宋体" w:cs="宋体"/>
          <w:b/>
          <w:spacing w:val="8"/>
          <w:sz w:val="28"/>
          <w:szCs w:val="28"/>
        </w:rPr>
        <w:t>2)改善农民收入</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随着嵩明县高原特色农业产业发展壮大，农业科技水平的提升，以现代高新农业技术作为支撑，运用现代农业机械进行耕作，降低劳动力投入、减少劳动成本。发展循环经济，充分利用农业资源，减少资源浪费、降低农用物资生产投入成本。通过加大农业科技投入和资源循环利用的方式增加农民收入。通过“公司+基地+合作社+农户”的方式，公司以订单方式与农户签订产销合同，确保农民收入水平有所提高。引导农民以土地、资金、劳力等资源作价，以入股、合伙、联营等方式参与农业产业化运作，提高资产投入产出效益。示范区建成后，鼓励农民进入农业加工、物流、旅游、培训等企业务工，以务工形式增加收入。</w:t>
      </w:r>
      <w:r>
        <w:rPr>
          <w:rFonts w:hint="eastAsia" w:ascii="宋体" w:hAnsi="宋体" w:cs="宋体"/>
          <w:spacing w:val="8"/>
          <w:sz w:val="28"/>
          <w:szCs w:val="28"/>
        </w:rPr>
        <w:t>到2025年末，农村居民收入水平明显提高，全县农村常住居民人均可支配收入达到25000元以上。</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3)繁荣农村经济</w:t>
      </w:r>
    </w:p>
    <w:p>
      <w:pPr>
        <w:spacing w:line="360" w:lineRule="auto"/>
        <w:ind w:firstLine="592" w:firstLineChars="200"/>
      </w:pPr>
      <w:r>
        <w:rPr>
          <w:rFonts w:hint="eastAsia" w:ascii="宋体" w:hAnsi="宋体" w:cs="宋体"/>
          <w:color w:val="000000"/>
          <w:spacing w:val="8"/>
          <w:sz w:val="28"/>
          <w:szCs w:val="28"/>
        </w:rPr>
        <w:t>高原特色农业的发展与社会主义新农村建设紧密结合，以现代农业促新农村建设，以新农村建设引领现代农业发展。通过示范区的建设，各级财政及社会资金的不断注入，农业基础设施及生产条件的极大改善，产业结构得到明显优化，农产品质量安全达到新水平，农业生产水平显著提高，将极大地促进农村经济的进一步繁荣。</w:t>
      </w:r>
    </w:p>
    <w:p>
      <w:pPr>
        <w:pStyle w:val="5"/>
        <w:rPr>
          <w:rFonts w:ascii="宋体" w:hAnsi="宋体" w:cs="宋体"/>
          <w:color w:val="000000"/>
          <w:szCs w:val="30"/>
        </w:rPr>
      </w:pPr>
      <w:bookmarkStart w:id="251" w:name="_Toc74151037"/>
      <w:r>
        <w:rPr>
          <w:rFonts w:hint="eastAsia" w:ascii="宋体" w:hAnsi="宋体" w:cs="宋体"/>
          <w:color w:val="000000"/>
          <w:szCs w:val="30"/>
        </w:rPr>
        <w:t>6.2.2社会效益</w:t>
      </w:r>
      <w:bookmarkEnd w:id="251"/>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1)增强农业产业竞争力</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通过规划实施，各项农业基础设施得到巩固和完善，增强了农业发展后劲。以土地流转促进规模化生产和经营，农业效益将持续提升。龙头企业的带动能力逐步加强，产业化水平提高，农民增收渠道有效拓宽。通过技术培训、成果展示、经验交流等形式，使农民掌握现代农业生产技术，学习到先进的科学文化知识，培养一批与现代农业发展相适应的有文化、有技术、会经营、懂管理的新型职业农民队伍。嵩明县现代农业的核心竞争力将得到显著提升，可持续发展能力得到明显加强。</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2)丰富农产品供给</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通过示范区规划及建设项目的实施，将极大改善农业生产条件，优化生产要素和种植业结构，丰富种植业种类，促进农畜产品单产水平和总量增长，显著提高农业综合生产能力。“菜蓝子”品种将得到极大丰富，数量能够充分满足，质量安全得到保障，名优特产品、绿色有机高端农产品增加，有效满足人们对于农产品的日常生活需求，极大改善我国西部地区、东南部沿海地区以及东南亚地区人们生活膳食结构。</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3)农民安居乐业</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随着示范区建设的深入推进、现代农业加快发展，嵩明县城乡一体化进程步伐加快。在积极稳妥推进城镇化进程中，新农村建设日新月异，农村各项社会事业将更加完善。农村劳动力将获得更多的就业机会，农民收入不断增长，农民居住条件将有极大的改善，农民生活水平将不断得到提高。促进人流、物流、资金流的聚集与交流，加速不同民族、不同文化相互融合和相互尊重，促进社会和谐。</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4）转移农村剩余劳动力</w:t>
      </w:r>
    </w:p>
    <w:p>
      <w:pPr>
        <w:spacing w:line="360" w:lineRule="auto"/>
        <w:ind w:firstLine="592" w:firstLineChars="200"/>
      </w:pPr>
      <w:r>
        <w:rPr>
          <w:rFonts w:hint="eastAsia" w:ascii="宋体" w:hAnsi="宋体" w:cs="宋体"/>
          <w:color w:val="000000"/>
          <w:spacing w:val="8"/>
          <w:sz w:val="28"/>
          <w:szCs w:val="28"/>
        </w:rPr>
        <w:t>通过推进农业产业化发展，鼓励老板进村创业和农民回乡创业，鼓励“公司+基地+合作社+农户”的经营模式，可以增加大量的本地就业岗位，促进农村剩余劳动力本地转移。</w:t>
      </w:r>
    </w:p>
    <w:p>
      <w:pPr>
        <w:pStyle w:val="5"/>
        <w:rPr>
          <w:rFonts w:ascii="宋体" w:hAnsi="宋体" w:cs="宋体"/>
          <w:color w:val="000000"/>
          <w:szCs w:val="30"/>
        </w:rPr>
      </w:pPr>
      <w:bookmarkStart w:id="252" w:name="_Toc74151038"/>
      <w:r>
        <w:rPr>
          <w:rFonts w:hint="eastAsia" w:ascii="宋体" w:hAnsi="宋体" w:cs="宋体"/>
          <w:color w:val="000000"/>
          <w:szCs w:val="30"/>
        </w:rPr>
        <w:t>6.2.3生态效益</w:t>
      </w:r>
      <w:bookmarkEnd w:id="252"/>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1）农业生态环境得到有效保护</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到2025年，农田基础设施条件得到有效改善，通过与农田水利建设、农业综合开发、生态环境工程有机结合，通过生物、工程措施，优化农作物种植结构，可涵养水源、治理水土流失，防止土地退化和土壤污染，增强土壤肥力和抗灾能力，沟渠的硬化和整理将使洪涝灾害频率降到最低限度，提高土地产出率。</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高原特色农业发展通过采用绿色、有机农产品种植技术及健康养殖方式，有效提高有机肥利用率，加大有机肥施用量，减少农药、化肥施用，加强对废旧农膜回收或再利用，有效防止农业面源污染，改善土壤结构，提高土壤肥力和水体质量，保障现代农业的可持续发展。</w:t>
      </w:r>
    </w:p>
    <w:p>
      <w:pPr>
        <w:spacing w:line="360" w:lineRule="auto"/>
        <w:ind w:firstLine="594" w:firstLineChars="200"/>
        <w:rPr>
          <w:rFonts w:ascii="宋体" w:hAnsi="宋体" w:cs="宋体"/>
          <w:b/>
          <w:spacing w:val="8"/>
          <w:sz w:val="28"/>
          <w:szCs w:val="28"/>
        </w:rPr>
      </w:pPr>
      <w:r>
        <w:rPr>
          <w:rFonts w:hint="eastAsia" w:ascii="宋体" w:hAnsi="宋体" w:cs="宋体"/>
          <w:b/>
          <w:spacing w:val="8"/>
          <w:sz w:val="28"/>
          <w:szCs w:val="28"/>
        </w:rPr>
        <w:t>2）农村生态资源得到合理开发</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以生态开发为主线、环境建设为重点，建立高效的生态机制，引入先进的生态技术，形成人与环境协调的能量流与物质流，形成良性生态系统。积极发展以生态农业为主体特征的现代农业生产，从而提高土地生产率和生态效益回报率。通过加强对农作物秸秆、牲畜粪便等农业可再生资源的综合开发利用，发展新型能源和畜牧饲料，走资源节约型和环境友好型的良性发展道路。</w:t>
      </w:r>
    </w:p>
    <w:p>
      <w:pPr>
        <w:pStyle w:val="11"/>
      </w:pPr>
    </w:p>
    <w:p>
      <w:pPr>
        <w:sectPr>
          <w:pgSz w:w="11906" w:h="16838"/>
          <w:pgMar w:top="1417" w:right="1417" w:bottom="1417" w:left="1417" w:header="851" w:footer="992" w:gutter="0"/>
          <w:cols w:space="720" w:num="1"/>
          <w:docGrid w:type="lines" w:linePitch="312" w:charSpace="0"/>
        </w:sectPr>
      </w:pPr>
    </w:p>
    <w:p>
      <w:pPr>
        <w:pStyle w:val="3"/>
        <w:rPr>
          <w:rFonts w:ascii="宋体" w:hAnsi="宋体" w:cs="宋体"/>
          <w:color w:val="000000"/>
          <w:szCs w:val="36"/>
        </w:rPr>
      </w:pPr>
      <w:bookmarkStart w:id="253" w:name="_Toc74151039"/>
      <w:r>
        <w:rPr>
          <w:rFonts w:hint="eastAsia" w:ascii="宋体" w:hAnsi="宋体" w:cs="宋体"/>
          <w:color w:val="000000"/>
          <w:szCs w:val="36"/>
        </w:rPr>
        <w:t>7保障措施</w:t>
      </w:r>
      <w:bookmarkEnd w:id="242"/>
      <w:bookmarkEnd w:id="243"/>
      <w:bookmarkEnd w:id="244"/>
      <w:bookmarkEnd w:id="245"/>
      <w:bookmarkEnd w:id="253"/>
    </w:p>
    <w:p>
      <w:pPr>
        <w:pStyle w:val="4"/>
        <w:rPr>
          <w:color w:val="000000"/>
        </w:rPr>
      </w:pPr>
      <w:bookmarkStart w:id="254" w:name="_Toc5486"/>
      <w:bookmarkStart w:id="255" w:name="_Toc25173"/>
      <w:bookmarkStart w:id="256" w:name="_Toc19231"/>
      <w:bookmarkStart w:id="257" w:name="_Toc31800"/>
      <w:bookmarkStart w:id="258" w:name="_Toc74151040"/>
      <w:r>
        <w:rPr>
          <w:rFonts w:hint="eastAsia"/>
          <w:color w:val="000000"/>
        </w:rPr>
        <w:t>7</w:t>
      </w:r>
      <w:r>
        <w:rPr>
          <w:color w:val="000000"/>
        </w:rPr>
        <w:t>.</w:t>
      </w:r>
      <w:r>
        <w:rPr>
          <w:rFonts w:hint="eastAsia"/>
          <w:color w:val="000000"/>
        </w:rPr>
        <w:t>1组织保障</w:t>
      </w:r>
      <w:bookmarkEnd w:id="254"/>
      <w:bookmarkEnd w:id="255"/>
      <w:bookmarkEnd w:id="256"/>
      <w:bookmarkEnd w:id="257"/>
      <w:bookmarkEnd w:id="258"/>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坚持和加强党对三农工作的领导，确保党在三农工作中始终总揽全局、协调各方，为嵩明县高原特色现代农业发展、乡村振兴提供坚强有力的政治保障。加强农业重点产业发展的组织领导和协调，实施各镇（街道）政府对本地区农业重点产业发展总负责，各相关部门按照职责合理分工，密切配合、各司其职；切实提高各镇（街道）政府对嵩明县重点农业产业发展重要性的认识，确保认识到位、责任到位、措施到位；实行镇（街道）政府目标责任制，实行“重心下移、区域负责、属地管理”，将重点农业产业发展纳入到各单位日常管理和工作考核之中，把各个产业目标、任务、责任落实到企业和单位，落实到产业和项目，落实到具体的负责人，做到层层负责，逐级落实。保障嵩明县高原特色现代农业发展规划的落地实施。</w:t>
      </w:r>
    </w:p>
    <w:p>
      <w:pPr>
        <w:pStyle w:val="4"/>
        <w:rPr>
          <w:color w:val="000000"/>
        </w:rPr>
      </w:pPr>
      <w:bookmarkStart w:id="259" w:name="_Toc13732"/>
      <w:bookmarkStart w:id="260" w:name="_Toc24005"/>
      <w:bookmarkStart w:id="261" w:name="_Toc522"/>
      <w:bookmarkStart w:id="262" w:name="_Toc2469"/>
      <w:bookmarkStart w:id="263" w:name="_Toc74151041"/>
      <w:r>
        <w:rPr>
          <w:rFonts w:hint="eastAsia"/>
          <w:color w:val="000000"/>
        </w:rPr>
        <w:t>7</w:t>
      </w:r>
      <w:r>
        <w:rPr>
          <w:color w:val="000000"/>
        </w:rPr>
        <w:t>.</w:t>
      </w:r>
      <w:r>
        <w:rPr>
          <w:rFonts w:hint="eastAsia"/>
          <w:color w:val="000000"/>
        </w:rPr>
        <w:t>2人才保障</w:t>
      </w:r>
      <w:bookmarkEnd w:id="259"/>
      <w:bookmarkEnd w:id="260"/>
      <w:bookmarkEnd w:id="261"/>
      <w:bookmarkEnd w:id="262"/>
      <w:bookmarkEnd w:id="263"/>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把“管理型”和“技术型”人才相并重，把“培智”与“引智”相结合，把政治素质好，懂经营、会管理的农村实用人才纳入村干部后备队伍，加大培养力度。整合科协、农业农村、林业、水产等涉农部门农业科技人员的力量，大力开展进村入户结对帮扶活动，推广实用技术，进行技术指导和知识培训。</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关心、关爱基层一线的涉农科技工作者。除了在精神上鼓励、物质上保证之外，在职称评聘方面要对一线人员给予政策倾斜。人才评价要坚决贯彻党和国家的方针政策，破“五唯”</w:t>
      </w:r>
      <w:r>
        <w:rPr>
          <w:rFonts w:hint="eastAsia" w:ascii="宋体" w:hAnsi="宋体" w:cs="宋体"/>
          <w:color w:val="000000"/>
          <w:sz w:val="28"/>
          <w:szCs w:val="28"/>
          <w:shd w:val="clear" w:color="auto" w:fill="FFFFFF"/>
        </w:rPr>
        <w:t>（</w:t>
      </w:r>
      <w:r>
        <w:rPr>
          <w:rFonts w:ascii="Arial" w:hAnsi="Arial" w:cs="Arial"/>
          <w:color w:val="000000"/>
          <w:sz w:val="28"/>
          <w:szCs w:val="28"/>
        </w:rPr>
        <w:t>唯论文、唯帽子、唯职称、唯学历、唯奖项</w:t>
      </w:r>
      <w:r>
        <w:rPr>
          <w:rFonts w:hint="eastAsia" w:ascii="宋体" w:hAnsi="宋体" w:cs="宋体"/>
          <w:color w:val="000000"/>
          <w:sz w:val="28"/>
          <w:szCs w:val="28"/>
          <w:shd w:val="clear" w:color="auto" w:fill="FFFFFF"/>
        </w:rPr>
        <w:t>）、</w:t>
      </w:r>
      <w:r>
        <w:rPr>
          <w:rFonts w:hint="eastAsia" w:ascii="宋体" w:hAnsi="宋体" w:cs="宋体"/>
          <w:color w:val="000000"/>
          <w:spacing w:val="8"/>
          <w:sz w:val="28"/>
          <w:szCs w:val="28"/>
        </w:rPr>
        <w:t>重实绩，使“把论文写在祖国大地上”的一线科技工作者有奔头，更好地立足本职、岗位建功，心无旁骛地投入到科技兴农的伟大实践中。</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培养高素质农民，勤劳致富的领头雁。充分利用杨林职教园涉农培训资源，通过政府购买或者市场运作等方式建立综合全面、快捷高效的社会化培训服务体系，为农民走向职业化提供学习平台。重视乡村振兴人才的培养和使用，有公开透明的考核体系和奖惩制度，制定合理的人才激励政策，让人才得到认可和尊重。</w:t>
      </w:r>
    </w:p>
    <w:p>
      <w:pPr>
        <w:pStyle w:val="4"/>
        <w:rPr>
          <w:color w:val="000000"/>
        </w:rPr>
      </w:pPr>
      <w:bookmarkStart w:id="264" w:name="_Toc20704"/>
      <w:bookmarkStart w:id="265" w:name="_Toc12747"/>
      <w:bookmarkStart w:id="266" w:name="_Toc74151042"/>
      <w:bookmarkStart w:id="267" w:name="_Toc3697"/>
      <w:bookmarkStart w:id="268" w:name="_Toc23252"/>
      <w:r>
        <w:rPr>
          <w:rFonts w:hint="eastAsia"/>
          <w:color w:val="000000"/>
        </w:rPr>
        <w:t>7</w:t>
      </w:r>
      <w:r>
        <w:rPr>
          <w:color w:val="000000"/>
        </w:rPr>
        <w:t>.</w:t>
      </w:r>
      <w:r>
        <w:rPr>
          <w:rFonts w:hint="eastAsia"/>
          <w:color w:val="000000"/>
        </w:rPr>
        <w:t>3政策保障</w:t>
      </w:r>
      <w:bookmarkEnd w:id="264"/>
      <w:bookmarkEnd w:id="265"/>
      <w:bookmarkEnd w:id="266"/>
      <w:bookmarkEnd w:id="267"/>
      <w:bookmarkEnd w:id="268"/>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随着党政机构以及事业单位改革的不断深入推进，政府职能转变取得一定成绩，行政权力在社会管理中调控作用不断弱化。以审批制度改革为突破口，直接推动政府职能向服务型转变，建立公开、公平、公正的窗口服务，逐步把政府职能从行政干预为主向以宏观调控和服务为主转变，实现法律、经济、行政等多种手段共同调控市场经济，逐步向服务型政府转变。</w:t>
      </w:r>
    </w:p>
    <w:p>
      <w:pPr>
        <w:spacing w:line="360" w:lineRule="auto"/>
        <w:ind w:firstLine="592" w:firstLineChars="200"/>
        <w:rPr>
          <w:rFonts w:ascii="宋体" w:cs="宋体"/>
          <w:color w:val="000000"/>
          <w:sz w:val="28"/>
          <w:szCs w:val="28"/>
          <w:shd w:val="clear" w:color="auto" w:fill="FFFFFF"/>
        </w:rPr>
      </w:pPr>
      <w:r>
        <w:rPr>
          <w:rFonts w:hint="eastAsia" w:ascii="宋体" w:hAnsi="宋体" w:cs="宋体"/>
          <w:color w:val="000000"/>
          <w:spacing w:val="8"/>
          <w:sz w:val="28"/>
          <w:szCs w:val="28"/>
        </w:rPr>
        <w:t>服从服务于规划。加强各类政策和规划的衔接，细化贯彻落实措施。强化规划宣传、统筹协调、决策服务、督查考核等职能，把发展高原特色现代农业各项重点任务纳入政府年度督查考核范围，落实分解任务。加强对发展高原特色现代农业的综合协调和宏观调控，通过引导、管理、服务把各项任务真正落到实处。各有关部门结合自身工作职能，采取切实有效措施，分阶段、有步骤地抓好规划的落实。</w:t>
      </w:r>
    </w:p>
    <w:p>
      <w:pPr>
        <w:pStyle w:val="4"/>
        <w:rPr>
          <w:color w:val="000000"/>
        </w:rPr>
      </w:pPr>
      <w:bookmarkStart w:id="269" w:name="_Toc8248"/>
      <w:bookmarkStart w:id="270" w:name="_Toc10270"/>
      <w:bookmarkStart w:id="271" w:name="_Toc1990"/>
      <w:bookmarkStart w:id="272" w:name="_Toc20057"/>
      <w:bookmarkStart w:id="273" w:name="_Toc74151043"/>
      <w:r>
        <w:rPr>
          <w:rFonts w:hint="eastAsia"/>
          <w:color w:val="000000"/>
        </w:rPr>
        <w:t>7</w:t>
      </w:r>
      <w:r>
        <w:rPr>
          <w:color w:val="000000"/>
        </w:rPr>
        <w:t>.</w:t>
      </w:r>
      <w:r>
        <w:rPr>
          <w:rFonts w:hint="eastAsia"/>
          <w:color w:val="000000"/>
        </w:rPr>
        <w:t>4资金保障</w:t>
      </w:r>
      <w:bookmarkEnd w:id="269"/>
      <w:bookmarkEnd w:id="270"/>
      <w:bookmarkEnd w:id="271"/>
      <w:bookmarkEnd w:id="272"/>
      <w:bookmarkEnd w:id="273"/>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资金倾向于农产品品牌培养、农业旅游业、农产品加工业、田园综合体和产业园区投资，推动一二三产业融合发展，进而合理经济结构占比，带动农民增收。统筹安排项目，分步实施、逐步推进，要把优势项目集中投入到增长极和龙头企业中，发展壮大其经济带动作用。</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加大各级财政支农力度，统筹整合涉农资金。健全“三农”投入稳定增长机制，保证财政支农投入稳定增长。积极申报中央及省市财政支农资金，充分利用现有财力为农业发展提供资金支持。以县为主体大力推进财政支农资金使用。公共财政更大力度向农业产业倾斜，通过财政政策引导资源要素向农业农村集聚，为乡村产业振兴提供政策和资金保障。发挥财政资金的引导和杠杆作用，强化涉农资金统筹整合及使用绩效监督。创新投入方式，通过政府与社会资本合作、政府购买服务、担保贴息、以奖代补、民办公助、风险补偿等措施，优化资金支出结构，突出绿色生态导向，提高农业补贴政策效能，引导和撬动更多金融资本和社会资本投向农业农村。加大招商引资力度，积极引进农业产业龙头企业，实施招商引资产业扶持奖励办法。引导社会资本投入农业，加大融资渠道拓展力度。</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大力扶持农业融资担保机构发展，支持农业龙头企业、农民专业合作社开展农业贷款担保，扩大农村抵押物担保范围。大力支持发展农业产业投资基金和股权投资企业。落实各项涉农税收优惠政策。研究制定出台扶持高原特色现代农业发展的专项配套奖补政策，形成完备的政策支撑体系。使资金有着落，项目能落地，规划可实施。</w:t>
      </w:r>
    </w:p>
    <w:p>
      <w:pPr>
        <w:pStyle w:val="4"/>
        <w:rPr>
          <w:color w:val="000000"/>
        </w:rPr>
      </w:pPr>
      <w:bookmarkStart w:id="274" w:name="_Toc10298"/>
      <w:bookmarkStart w:id="275" w:name="_Toc4584"/>
      <w:bookmarkStart w:id="276" w:name="_Toc7041"/>
      <w:bookmarkStart w:id="277" w:name="_Toc18339"/>
      <w:bookmarkStart w:id="278" w:name="_Toc74151044"/>
      <w:r>
        <w:rPr>
          <w:rFonts w:hint="eastAsia"/>
          <w:color w:val="000000"/>
        </w:rPr>
        <w:t>7</w:t>
      </w:r>
      <w:r>
        <w:rPr>
          <w:color w:val="000000"/>
        </w:rPr>
        <w:t>.</w:t>
      </w:r>
      <w:r>
        <w:rPr>
          <w:rFonts w:hint="eastAsia"/>
          <w:color w:val="000000"/>
        </w:rPr>
        <w:t>5用地保障</w:t>
      </w:r>
      <w:bookmarkEnd w:id="274"/>
      <w:bookmarkEnd w:id="275"/>
      <w:bookmarkEnd w:id="276"/>
      <w:bookmarkEnd w:id="277"/>
      <w:bookmarkEnd w:id="278"/>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2020年中央一号文件提出“破解乡村发展用地难题，坚守耕地和永久基本农田保护红线。完善乡村产业发展用地政策体系，明确用地类型和供地方式，实行分类管理。将农业种植养殖配建的保鲜冷藏、晾晒存贮、农机库房、分拣包装、废弃物处理、管理看护房等辅助设施用地纳入农用地管理，根据生产实际合理确定辅助设施用地规模上限。农业设施用地可以使用耕地。”</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新编县乡级国土空间规划安排不少于10%的建设用地指标，作为农业产业园、科技园、创业园等园区的用地保障。具体布局上，要实事求是、因地制宜，不能集中连片的，考虑点状分布。</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在坚持最严格的耕地保护制度的前提下，扩大设施农用地范围，满足各类设施用地的需求。将农业生产过程中所需各类生产设施和附属设施用地，以及由于农业规模经营必须兴建的配套设施，在不占用永久基本农田的前提下，纳入设施农用地管理。</w:t>
      </w:r>
    </w:p>
    <w:p>
      <w:pPr>
        <w:spacing w:line="360" w:lineRule="auto"/>
        <w:ind w:firstLine="592" w:firstLineChars="200"/>
        <w:rPr>
          <w:rFonts w:ascii="宋体" w:hAnsi="宋体" w:cs="宋体"/>
          <w:color w:val="000000"/>
          <w:spacing w:val="8"/>
          <w:sz w:val="28"/>
          <w:szCs w:val="28"/>
        </w:rPr>
      </w:pPr>
      <w:r>
        <w:rPr>
          <w:rFonts w:hint="eastAsia" w:ascii="宋体" w:hAnsi="宋体" w:cs="宋体"/>
          <w:color w:val="000000"/>
          <w:spacing w:val="8"/>
          <w:sz w:val="28"/>
          <w:szCs w:val="28"/>
        </w:rPr>
        <w:t>开展土地整理，改造中、低产田，整治闲散地和废弃地，对田、水、路、林、村综合整治，提高耕地质量，增加有效耕地面积，改善农业生产条件和生态环境。</w:t>
      </w: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sectPr>
          <w:pgSz w:w="11906" w:h="16838"/>
          <w:pgMar w:top="1417" w:right="1417" w:bottom="1417" w:left="1417" w:header="851" w:footer="992" w:gutter="0"/>
          <w:cols w:space="720" w:num="1"/>
          <w:docGrid w:type="lines" w:linePitch="312" w:charSpace="0"/>
        </w:sectPr>
      </w:pPr>
    </w:p>
    <w:p>
      <w:pPr>
        <w:pStyle w:val="3"/>
        <w:rPr>
          <w:rFonts w:ascii="宋体" w:hAnsi="宋体" w:cs="宋体"/>
          <w:color w:val="000000"/>
          <w:szCs w:val="36"/>
        </w:rPr>
      </w:pPr>
      <w:bookmarkStart w:id="279" w:name="_Toc74151045"/>
      <w:bookmarkStart w:id="280" w:name="_Toc26445"/>
      <w:bookmarkStart w:id="281" w:name="_Toc13056"/>
      <w:bookmarkStart w:id="282" w:name="_Toc23672"/>
      <w:bookmarkStart w:id="283" w:name="_Toc17004"/>
      <w:r>
        <w:rPr>
          <w:rFonts w:hint="eastAsia" w:ascii="宋体" w:hAnsi="宋体" w:cs="宋体"/>
          <w:color w:val="000000"/>
          <w:szCs w:val="36"/>
        </w:rPr>
        <w:t>8附件</w:t>
      </w:r>
      <w:bookmarkEnd w:id="279"/>
      <w:bookmarkEnd w:id="280"/>
      <w:bookmarkEnd w:id="281"/>
      <w:bookmarkEnd w:id="282"/>
      <w:bookmarkEnd w:id="283"/>
    </w:p>
    <w:p>
      <w:pPr>
        <w:pStyle w:val="4"/>
        <w:rPr>
          <w:color w:val="000000"/>
        </w:rPr>
      </w:pPr>
      <w:bookmarkStart w:id="284" w:name="_Toc74151046"/>
      <w:bookmarkStart w:id="285" w:name="_Toc29160"/>
      <w:bookmarkStart w:id="286" w:name="_Toc11661"/>
      <w:bookmarkStart w:id="287" w:name="_Toc4226"/>
      <w:bookmarkStart w:id="288" w:name="_Toc23008"/>
      <w:r>
        <w:rPr>
          <w:rFonts w:hint="eastAsia"/>
          <w:color w:val="000000"/>
        </w:rPr>
        <w:t>8.1重点项目计划表</w:t>
      </w:r>
      <w:bookmarkEnd w:id="284"/>
      <w:bookmarkEnd w:id="285"/>
      <w:bookmarkEnd w:id="286"/>
      <w:bookmarkEnd w:id="287"/>
      <w:bookmarkEnd w:id="288"/>
    </w:p>
    <w:p/>
    <w:tbl>
      <w:tblPr>
        <w:tblStyle w:val="28"/>
        <w:tblW w:w="9900" w:type="dxa"/>
        <w:jc w:val="center"/>
        <w:tblLayout w:type="fixed"/>
        <w:tblCellMar>
          <w:top w:w="0" w:type="dxa"/>
          <w:left w:w="108" w:type="dxa"/>
          <w:bottom w:w="0" w:type="dxa"/>
          <w:right w:w="108" w:type="dxa"/>
        </w:tblCellMar>
      </w:tblPr>
      <w:tblGrid>
        <w:gridCol w:w="720"/>
        <w:gridCol w:w="2217"/>
        <w:gridCol w:w="1134"/>
        <w:gridCol w:w="1212"/>
        <w:gridCol w:w="4617"/>
      </w:tblGrid>
      <w:tr>
        <w:tblPrEx>
          <w:tblCellMar>
            <w:top w:w="0" w:type="dxa"/>
            <w:left w:w="108" w:type="dxa"/>
            <w:bottom w:w="0" w:type="dxa"/>
            <w:right w:w="108" w:type="dxa"/>
          </w:tblCellMar>
        </w:tblPrEx>
        <w:trPr>
          <w:trHeight w:val="113" w:hRule="atLeast"/>
          <w:tblHeader/>
          <w:jc w:val="center"/>
        </w:trPr>
        <w:tc>
          <w:tcPr>
            <w:tcW w:w="9900" w:type="dxa"/>
            <w:gridSpan w:val="5"/>
            <w:tcBorders>
              <w:top w:val="nil"/>
              <w:left w:val="nil"/>
              <w:bottom w:val="nil"/>
              <w:right w:val="nil"/>
            </w:tcBorders>
            <w:noWrap/>
            <w:vAlign w:val="center"/>
          </w:tcPr>
          <w:p>
            <w:pPr>
              <w:widowControl/>
              <w:spacing w:line="360" w:lineRule="auto"/>
              <w:jc w:val="center"/>
              <w:rPr>
                <w:kern w:val="0"/>
                <w:sz w:val="24"/>
                <w:szCs w:val="24"/>
              </w:rPr>
            </w:pPr>
            <w:r>
              <w:rPr>
                <w:rFonts w:hint="eastAsia" w:ascii="宋体" w:hAnsi="宋体" w:cs="宋体"/>
                <w:b/>
                <w:sz w:val="28"/>
                <w:szCs w:val="28"/>
                <w:shd w:val="clear" w:color="auto" w:fill="FFFFFF"/>
              </w:rPr>
              <w:t>嵩明县农业“十四五”重点项目计划表</w:t>
            </w:r>
          </w:p>
        </w:tc>
      </w:tr>
      <w:tr>
        <w:tblPrEx>
          <w:tblCellMar>
            <w:top w:w="0" w:type="dxa"/>
            <w:left w:w="108" w:type="dxa"/>
            <w:bottom w:w="0" w:type="dxa"/>
            <w:right w:w="108" w:type="dxa"/>
          </w:tblCellMar>
        </w:tblPrEx>
        <w:trPr>
          <w:trHeight w:val="113" w:hRule="atLeast"/>
          <w:tblHeader/>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pStyle w:val="10"/>
              <w:jc w:val="center"/>
              <w:rPr>
                <w:b/>
                <w:sz w:val="24"/>
                <w:szCs w:val="24"/>
              </w:rPr>
            </w:pPr>
            <w:r>
              <w:rPr>
                <w:rFonts w:hint="eastAsia"/>
                <w:b/>
                <w:sz w:val="24"/>
                <w:szCs w:val="24"/>
              </w:rPr>
              <w:t>序号</w:t>
            </w:r>
          </w:p>
        </w:tc>
        <w:tc>
          <w:tcPr>
            <w:tcW w:w="2217" w:type="dxa"/>
            <w:tcBorders>
              <w:top w:val="single" w:color="auto" w:sz="4" w:space="0"/>
              <w:left w:val="nil"/>
              <w:bottom w:val="single" w:color="auto" w:sz="4" w:space="0"/>
              <w:right w:val="single" w:color="auto" w:sz="4" w:space="0"/>
            </w:tcBorders>
            <w:noWrap/>
            <w:vAlign w:val="center"/>
          </w:tcPr>
          <w:p>
            <w:pPr>
              <w:pStyle w:val="10"/>
              <w:jc w:val="center"/>
              <w:rPr>
                <w:b/>
                <w:sz w:val="24"/>
                <w:szCs w:val="24"/>
              </w:rPr>
            </w:pPr>
            <w:r>
              <w:rPr>
                <w:rFonts w:hint="eastAsia"/>
                <w:b/>
                <w:sz w:val="24"/>
                <w:szCs w:val="24"/>
              </w:rPr>
              <w:t>项目名称</w:t>
            </w:r>
          </w:p>
        </w:tc>
        <w:tc>
          <w:tcPr>
            <w:tcW w:w="1134" w:type="dxa"/>
            <w:tcBorders>
              <w:top w:val="single" w:color="auto" w:sz="4" w:space="0"/>
              <w:left w:val="nil"/>
              <w:bottom w:val="single" w:color="auto" w:sz="4" w:space="0"/>
              <w:right w:val="single" w:color="auto" w:sz="4" w:space="0"/>
            </w:tcBorders>
            <w:noWrap/>
            <w:vAlign w:val="center"/>
          </w:tcPr>
          <w:p>
            <w:pPr>
              <w:pStyle w:val="10"/>
              <w:jc w:val="center"/>
              <w:rPr>
                <w:b/>
                <w:sz w:val="24"/>
                <w:szCs w:val="24"/>
              </w:rPr>
            </w:pPr>
            <w:r>
              <w:rPr>
                <w:rFonts w:hint="eastAsia"/>
                <w:b/>
                <w:sz w:val="24"/>
                <w:szCs w:val="24"/>
              </w:rPr>
              <w:t>总投资（万元）</w:t>
            </w:r>
          </w:p>
        </w:tc>
        <w:tc>
          <w:tcPr>
            <w:tcW w:w="1212" w:type="dxa"/>
            <w:tcBorders>
              <w:top w:val="single" w:color="auto" w:sz="4" w:space="0"/>
              <w:left w:val="nil"/>
              <w:bottom w:val="single" w:color="auto" w:sz="4" w:space="0"/>
              <w:right w:val="single" w:color="auto" w:sz="4" w:space="0"/>
            </w:tcBorders>
            <w:noWrap/>
            <w:vAlign w:val="center"/>
          </w:tcPr>
          <w:p>
            <w:pPr>
              <w:pStyle w:val="10"/>
              <w:jc w:val="center"/>
              <w:rPr>
                <w:b/>
                <w:sz w:val="24"/>
                <w:szCs w:val="24"/>
              </w:rPr>
            </w:pPr>
            <w:r>
              <w:rPr>
                <w:rFonts w:hint="eastAsia"/>
                <w:b/>
                <w:sz w:val="24"/>
                <w:szCs w:val="24"/>
              </w:rPr>
              <w:t>开竣工</w:t>
            </w:r>
          </w:p>
          <w:p>
            <w:pPr>
              <w:pStyle w:val="10"/>
              <w:jc w:val="center"/>
              <w:rPr>
                <w:b/>
                <w:sz w:val="24"/>
                <w:szCs w:val="24"/>
              </w:rPr>
            </w:pPr>
            <w:r>
              <w:rPr>
                <w:rFonts w:hint="eastAsia"/>
                <w:b/>
                <w:sz w:val="24"/>
                <w:szCs w:val="24"/>
              </w:rPr>
              <w:t>时间</w:t>
            </w:r>
          </w:p>
        </w:tc>
        <w:tc>
          <w:tcPr>
            <w:tcW w:w="4617" w:type="dxa"/>
            <w:tcBorders>
              <w:top w:val="single" w:color="auto" w:sz="4" w:space="0"/>
              <w:left w:val="nil"/>
              <w:bottom w:val="single" w:color="auto" w:sz="4" w:space="0"/>
              <w:right w:val="single" w:color="auto" w:sz="4" w:space="0"/>
            </w:tcBorders>
            <w:noWrap/>
            <w:vAlign w:val="center"/>
          </w:tcPr>
          <w:p>
            <w:pPr>
              <w:pStyle w:val="10"/>
              <w:jc w:val="center"/>
              <w:rPr>
                <w:b/>
                <w:sz w:val="24"/>
                <w:szCs w:val="24"/>
              </w:rPr>
            </w:pPr>
            <w:r>
              <w:rPr>
                <w:rFonts w:hint="eastAsia"/>
                <w:b/>
                <w:sz w:val="24"/>
                <w:szCs w:val="24"/>
              </w:rPr>
              <w:t>建设内容及规模</w:t>
            </w:r>
          </w:p>
        </w:tc>
      </w:tr>
      <w:tr>
        <w:tblPrEx>
          <w:tblCellMar>
            <w:top w:w="0" w:type="dxa"/>
            <w:left w:w="108" w:type="dxa"/>
            <w:bottom w:w="0" w:type="dxa"/>
            <w:right w:w="108" w:type="dxa"/>
          </w:tblCellMar>
        </w:tblPrEx>
        <w:trPr>
          <w:trHeight w:val="834"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217" w:type="dxa"/>
            <w:tcBorders>
              <w:top w:val="nil"/>
              <w:left w:val="nil"/>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嵩明县食用农产品合格证制度推行</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每年</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合格证制度实施设备、补助经费</w:t>
            </w:r>
          </w:p>
        </w:tc>
      </w:tr>
      <w:tr>
        <w:tblPrEx>
          <w:tblCellMar>
            <w:top w:w="0" w:type="dxa"/>
            <w:left w:w="108" w:type="dxa"/>
            <w:bottom w:w="0" w:type="dxa"/>
            <w:right w:w="108" w:type="dxa"/>
          </w:tblCellMar>
        </w:tblPrEx>
        <w:trPr>
          <w:trHeight w:val="113"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217" w:type="dxa"/>
            <w:tcBorders>
              <w:top w:val="nil"/>
              <w:left w:val="nil"/>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嵩明县农产品质量安全监管体系建设</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10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每年</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农产品安全监管、监管设备、监管经费</w:t>
            </w:r>
          </w:p>
        </w:tc>
      </w:tr>
      <w:tr>
        <w:tblPrEx>
          <w:tblCellMar>
            <w:top w:w="0" w:type="dxa"/>
            <w:left w:w="108" w:type="dxa"/>
            <w:bottom w:w="0" w:type="dxa"/>
            <w:right w:w="108" w:type="dxa"/>
          </w:tblCellMar>
        </w:tblPrEx>
        <w:trPr>
          <w:trHeight w:val="113"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217" w:type="dxa"/>
            <w:tcBorders>
              <w:top w:val="nil"/>
              <w:left w:val="nil"/>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嵩明县“三品一标”补助项目</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10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每年</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“三品一标”认证产品补助</w:t>
            </w:r>
          </w:p>
        </w:tc>
      </w:tr>
      <w:tr>
        <w:tblPrEx>
          <w:tblCellMar>
            <w:top w:w="0" w:type="dxa"/>
            <w:left w:w="108" w:type="dxa"/>
            <w:bottom w:w="0" w:type="dxa"/>
            <w:right w:w="108" w:type="dxa"/>
          </w:tblCellMar>
        </w:tblPrEx>
        <w:trPr>
          <w:trHeight w:val="906"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2217" w:type="dxa"/>
            <w:tcBorders>
              <w:top w:val="nil"/>
              <w:left w:val="nil"/>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嵩明县农产品质量安全检测体系建设</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10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每年</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嵩明县农产品安全检测站设备、耗材、检测经费及办公经费</w:t>
            </w:r>
          </w:p>
        </w:tc>
      </w:tr>
      <w:tr>
        <w:tblPrEx>
          <w:tblCellMar>
            <w:top w:w="0" w:type="dxa"/>
            <w:left w:w="108" w:type="dxa"/>
            <w:bottom w:w="0" w:type="dxa"/>
            <w:right w:w="108" w:type="dxa"/>
          </w:tblCellMar>
        </w:tblPrEx>
        <w:trPr>
          <w:trHeight w:val="1156"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2217" w:type="dxa"/>
            <w:tcBorders>
              <w:top w:val="nil"/>
              <w:left w:val="nil"/>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嵩明县农产品安全检测示范点建设</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10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每年</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嵩明县五个乡镇建设一个农产品质量安全监测点，每个监测点每年送检</w:t>
            </w:r>
            <w:r>
              <w:rPr>
                <w:rFonts w:asciiTheme="minorEastAsia" w:hAnsiTheme="minorEastAsia" w:eastAsiaTheme="minorEastAsia"/>
                <w:sz w:val="21"/>
                <w:szCs w:val="21"/>
              </w:rPr>
              <w:t>30</w:t>
            </w:r>
            <w:r>
              <w:rPr>
                <w:rFonts w:hint="eastAsia" w:asciiTheme="minorEastAsia" w:hAnsiTheme="minorEastAsia" w:eastAsiaTheme="minorEastAsia"/>
                <w:sz w:val="21"/>
                <w:szCs w:val="21"/>
              </w:rPr>
              <w:t>批次的农产品，监测嵩明县农产品安全情况。</w:t>
            </w:r>
          </w:p>
        </w:tc>
      </w:tr>
      <w:tr>
        <w:tblPrEx>
          <w:tblCellMar>
            <w:top w:w="0" w:type="dxa"/>
            <w:left w:w="108" w:type="dxa"/>
            <w:bottom w:w="0" w:type="dxa"/>
            <w:right w:w="108" w:type="dxa"/>
          </w:tblCellMar>
        </w:tblPrEx>
        <w:trPr>
          <w:trHeight w:val="977"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2217" w:type="dxa"/>
            <w:tcBorders>
              <w:top w:val="nil"/>
              <w:left w:val="nil"/>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嵩明县第三次全国农作物种质资源普查与收集行动</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10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2020.5-</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2022.5</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收集</w:t>
            </w:r>
            <w:r>
              <w:rPr>
                <w:rFonts w:asciiTheme="minorEastAsia" w:hAnsiTheme="minorEastAsia" w:eastAsiaTheme="minorEastAsia"/>
                <w:sz w:val="21"/>
                <w:szCs w:val="21"/>
              </w:rPr>
              <w:t>30</w:t>
            </w:r>
            <w:r>
              <w:rPr>
                <w:rFonts w:hint="eastAsia" w:asciiTheme="minorEastAsia" w:hAnsiTheme="minorEastAsia" w:eastAsiaTheme="minorEastAsia"/>
                <w:sz w:val="21"/>
                <w:szCs w:val="21"/>
              </w:rPr>
              <w:t>个农作物种质资源</w:t>
            </w:r>
          </w:p>
        </w:tc>
      </w:tr>
      <w:tr>
        <w:tblPrEx>
          <w:tblCellMar>
            <w:top w:w="0" w:type="dxa"/>
            <w:left w:w="108" w:type="dxa"/>
            <w:bottom w:w="0" w:type="dxa"/>
            <w:right w:w="108" w:type="dxa"/>
          </w:tblCellMar>
        </w:tblPrEx>
        <w:trPr>
          <w:trHeight w:val="1035"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2217" w:type="dxa"/>
            <w:tcBorders>
              <w:top w:val="nil"/>
              <w:left w:val="nil"/>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稻田种养综合养殖项目</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30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w:t>
            </w: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w:t>
            </w:r>
            <w:r>
              <w:rPr>
                <w:rFonts w:hint="eastAsia" w:asciiTheme="minorEastAsia" w:hAnsiTheme="minorEastAsia" w:eastAsiaTheme="minorEastAsia"/>
                <w:sz w:val="21"/>
                <w:szCs w:val="21"/>
              </w:rPr>
              <w:t>.</w:t>
            </w:r>
            <w:r>
              <w:rPr>
                <w:rFonts w:asciiTheme="minorEastAsia" w:hAnsiTheme="minorEastAsia" w:eastAsiaTheme="minorEastAsia"/>
                <w:sz w:val="21"/>
                <w:szCs w:val="21"/>
              </w:rPr>
              <w:t>11</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在“十四五”期间每年实施稻鱼综合种养项目</w:t>
            </w:r>
            <w:r>
              <w:rPr>
                <w:rFonts w:asciiTheme="minorEastAsia" w:hAnsiTheme="minorEastAsia" w:eastAsiaTheme="minorEastAsia"/>
                <w:sz w:val="21"/>
                <w:szCs w:val="21"/>
              </w:rPr>
              <w:t>200</w:t>
            </w:r>
            <w:r>
              <w:rPr>
                <w:rFonts w:hint="eastAsia" w:asciiTheme="minorEastAsia" w:hAnsiTheme="minorEastAsia" w:eastAsiaTheme="minorEastAsia"/>
                <w:sz w:val="21"/>
                <w:szCs w:val="21"/>
              </w:rPr>
              <w:t>亩、每年每亩补贴鱼种费</w:t>
            </w:r>
            <w:r>
              <w:rPr>
                <w:rFonts w:asciiTheme="minorEastAsia" w:hAnsiTheme="minorEastAsia" w:eastAsiaTheme="minorEastAsia"/>
                <w:sz w:val="21"/>
                <w:szCs w:val="21"/>
              </w:rPr>
              <w:t>300</w:t>
            </w:r>
            <w:r>
              <w:rPr>
                <w:rFonts w:hint="eastAsia" w:asciiTheme="minorEastAsia" w:hAnsiTheme="minorEastAsia" w:eastAsiaTheme="minorEastAsia"/>
                <w:sz w:val="21"/>
                <w:szCs w:val="21"/>
              </w:rPr>
              <w:t>元。</w:t>
            </w:r>
          </w:p>
        </w:tc>
      </w:tr>
      <w:tr>
        <w:tblPrEx>
          <w:tblCellMar>
            <w:top w:w="0" w:type="dxa"/>
            <w:left w:w="108" w:type="dxa"/>
            <w:bottom w:w="0" w:type="dxa"/>
            <w:right w:w="108" w:type="dxa"/>
          </w:tblCellMar>
        </w:tblPrEx>
        <w:trPr>
          <w:trHeight w:val="113"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2217" w:type="dxa"/>
            <w:tcBorders>
              <w:top w:val="nil"/>
              <w:left w:val="nil"/>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科技增粮项目</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100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nil"/>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按照省、市藏粮于地，藏粮于技的总体要求，重点实施粮食绿色高质高效示范技术，百亩核心区，千亩展示片，万亩示范区。</w:t>
            </w:r>
          </w:p>
        </w:tc>
      </w:tr>
      <w:tr>
        <w:tblPrEx>
          <w:tblCellMar>
            <w:top w:w="0" w:type="dxa"/>
            <w:left w:w="108" w:type="dxa"/>
            <w:bottom w:w="0" w:type="dxa"/>
            <w:right w:w="108" w:type="dxa"/>
          </w:tblCellMar>
        </w:tblPrEx>
        <w:trPr>
          <w:trHeight w:val="913"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2217" w:type="dxa"/>
            <w:tcBorders>
              <w:top w:val="single" w:color="auto" w:sz="4" w:space="0"/>
              <w:left w:val="single" w:color="auto" w:sz="4" w:space="0"/>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农机购置补贴</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100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每年</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支持从事农业生产的个人和农业生产经营组织购置先进适用农业机械。</w:t>
            </w:r>
          </w:p>
        </w:tc>
      </w:tr>
      <w:tr>
        <w:tblPrEx>
          <w:tblCellMar>
            <w:top w:w="0" w:type="dxa"/>
            <w:left w:w="108" w:type="dxa"/>
            <w:bottom w:w="0" w:type="dxa"/>
            <w:right w:w="108" w:type="dxa"/>
          </w:tblCellMar>
        </w:tblPrEx>
        <w:trPr>
          <w:trHeight w:val="1093"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2217" w:type="dxa"/>
            <w:tcBorders>
              <w:top w:val="nil"/>
              <w:left w:val="nil"/>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农村太阳能热水器</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在三镇两街道推广农村太阳能热水器</w:t>
            </w:r>
            <w:r>
              <w:rPr>
                <w:rFonts w:asciiTheme="minorEastAsia" w:hAnsiTheme="minorEastAsia" w:eastAsiaTheme="minorEastAsia"/>
                <w:sz w:val="21"/>
                <w:szCs w:val="21"/>
              </w:rPr>
              <w:t>2000</w:t>
            </w:r>
            <w:r>
              <w:rPr>
                <w:rFonts w:hint="eastAsia" w:asciiTheme="minorEastAsia" w:hAnsiTheme="minorEastAsia" w:eastAsiaTheme="minorEastAsia"/>
                <w:sz w:val="21"/>
                <w:szCs w:val="21"/>
              </w:rPr>
              <w:t>台。</w:t>
            </w:r>
          </w:p>
        </w:tc>
      </w:tr>
      <w:tr>
        <w:tblPrEx>
          <w:tblCellMar>
            <w:top w:w="0" w:type="dxa"/>
            <w:left w:w="108" w:type="dxa"/>
            <w:bottom w:w="0" w:type="dxa"/>
            <w:right w:w="108" w:type="dxa"/>
          </w:tblCellMar>
        </w:tblPrEx>
        <w:trPr>
          <w:trHeight w:val="2480"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2217" w:type="dxa"/>
            <w:tcBorders>
              <w:top w:val="nil"/>
              <w:left w:val="nil"/>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水监测点建设及管护</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single" w:color="auto" w:sz="4" w:space="0"/>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根据该监测区基本情况，将在监测区径流入口及出口各按照</w:t>
            </w:r>
            <w:r>
              <w:rPr>
                <w:rFonts w:asciiTheme="minorEastAsia" w:hAnsiTheme="minorEastAsia" w:eastAsiaTheme="minorEastAsia"/>
                <w:sz w:val="21"/>
                <w:szCs w:val="21"/>
              </w:rPr>
              <w:t>1</w:t>
            </w:r>
            <w:r>
              <w:rPr>
                <w:rFonts w:hint="eastAsia" w:asciiTheme="minorEastAsia" w:hAnsiTheme="minorEastAsia" w:eastAsiaTheme="minorEastAsia"/>
                <w:sz w:val="21"/>
                <w:szCs w:val="21"/>
              </w:rPr>
              <w:t>个流量监测点，实现对径流入水量及出水量的在线监测。</w:t>
            </w:r>
          </w:p>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在出水口设置</w:t>
            </w:r>
            <w:r>
              <w:rPr>
                <w:rFonts w:asciiTheme="minorEastAsia" w:hAnsiTheme="minorEastAsia" w:eastAsiaTheme="minorEastAsia"/>
                <w:sz w:val="21"/>
                <w:szCs w:val="21"/>
              </w:rPr>
              <w:t>1</w:t>
            </w:r>
            <w:r>
              <w:rPr>
                <w:rFonts w:hint="eastAsia" w:asciiTheme="minorEastAsia" w:hAnsiTheme="minorEastAsia" w:eastAsiaTheme="minorEastAsia"/>
                <w:sz w:val="21"/>
                <w:szCs w:val="21"/>
              </w:rPr>
              <w:t>个水质在线监测点和一个无线视频监控点，实现对出水口水体总氮、总磷及氨氮的在线监测及周边环境的监控。同时安装雨量计，实时监测降雨量。</w:t>
            </w:r>
          </w:p>
        </w:tc>
      </w:tr>
      <w:tr>
        <w:tblPrEx>
          <w:tblCellMar>
            <w:top w:w="0" w:type="dxa"/>
            <w:left w:w="108" w:type="dxa"/>
            <w:bottom w:w="0" w:type="dxa"/>
            <w:right w:w="108" w:type="dxa"/>
          </w:tblCellMar>
        </w:tblPrEx>
        <w:trPr>
          <w:trHeight w:val="2458"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2217" w:type="dxa"/>
            <w:tcBorders>
              <w:top w:val="nil"/>
              <w:left w:val="nil"/>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土监测点建设及管护</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single" w:color="auto" w:sz="4" w:space="0"/>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按照《规程》要求，监测内容包括土壤墒情（土壤含水量）、地情（立地条件、自然属性、田间基础设施、土壤理化性状等）、肥情（有机肥、化肥使用情况）、环情（土壤重金属、生物指标等）。建立监测点时，应调查监测点的立地条件、自然属性、田间基础设施情况和农业生产概况，建立监测点档案信息。</w:t>
            </w:r>
          </w:p>
        </w:tc>
      </w:tr>
      <w:tr>
        <w:tblPrEx>
          <w:tblCellMar>
            <w:top w:w="0" w:type="dxa"/>
            <w:left w:w="108" w:type="dxa"/>
            <w:bottom w:w="0" w:type="dxa"/>
            <w:right w:w="108" w:type="dxa"/>
          </w:tblCellMar>
        </w:tblPrEx>
        <w:trPr>
          <w:trHeight w:val="2266"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2217" w:type="dxa"/>
            <w:tcBorders>
              <w:top w:val="nil"/>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农药包装废弃物处置项目</w:t>
            </w:r>
          </w:p>
        </w:tc>
        <w:tc>
          <w:tcPr>
            <w:tcW w:w="1134" w:type="dxa"/>
            <w:tcBorders>
              <w:top w:val="nil"/>
              <w:left w:val="nil"/>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200</w:t>
            </w:r>
          </w:p>
        </w:tc>
        <w:tc>
          <w:tcPr>
            <w:tcW w:w="1212" w:type="dxa"/>
            <w:tcBorders>
              <w:top w:val="nil"/>
              <w:left w:val="nil"/>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nil"/>
              <w:left w:val="nil"/>
              <w:bottom w:val="single" w:color="auto" w:sz="4" w:space="0"/>
              <w:right w:val="single" w:color="auto" w:sz="4" w:space="0"/>
            </w:tcBorders>
            <w:vAlign w:val="center"/>
          </w:tcPr>
          <w:p>
            <w:pPr>
              <w:spacing w:after="120"/>
              <w:rPr>
                <w:rFonts w:asciiTheme="minorEastAsia" w:hAnsiTheme="minorEastAsia" w:eastAsiaTheme="minorEastAsia"/>
                <w:szCs w:val="21"/>
              </w:rPr>
            </w:pPr>
            <w:r>
              <w:rPr>
                <w:rFonts w:hint="eastAsia" w:asciiTheme="minorEastAsia" w:hAnsiTheme="minorEastAsia" w:eastAsiaTheme="minorEastAsia"/>
                <w:kern w:val="0"/>
                <w:szCs w:val="21"/>
              </w:rPr>
              <w:t>监督农药生产者、经营者、使用者履行农药包装废弃物回收处理义务。监测本行政区域内农药包装废弃物产生情况，</w:t>
            </w:r>
            <w:r>
              <w:rPr>
                <w:rFonts w:hint="eastAsia" w:asciiTheme="minorEastAsia" w:hAnsiTheme="minorEastAsia" w:eastAsiaTheme="minorEastAsia"/>
                <w:szCs w:val="21"/>
              </w:rPr>
              <w:t>指导建立农药包装废弃物回收体系，合理布设县、乡、村农药包装废弃物回收站（点），明确管理责任。开展农药包装废弃物回收处理的宣传和教育</w:t>
            </w:r>
          </w:p>
        </w:tc>
      </w:tr>
      <w:tr>
        <w:tblPrEx>
          <w:tblCellMar>
            <w:top w:w="0" w:type="dxa"/>
            <w:left w:w="108" w:type="dxa"/>
            <w:bottom w:w="0" w:type="dxa"/>
            <w:right w:w="108" w:type="dxa"/>
          </w:tblCellMar>
        </w:tblPrEx>
        <w:trPr>
          <w:trHeight w:val="1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2217" w:type="dxa"/>
            <w:tcBorders>
              <w:top w:val="single" w:color="auto" w:sz="4" w:space="0"/>
              <w:left w:val="single" w:color="auto" w:sz="4" w:space="0"/>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农业园区智慧园区管理平台</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200</w:t>
            </w:r>
          </w:p>
        </w:tc>
        <w:tc>
          <w:tcPr>
            <w:tcW w:w="121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2020-2022</w:t>
            </w:r>
          </w:p>
        </w:tc>
        <w:tc>
          <w:tcPr>
            <w:tcW w:w="461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asciiTheme="minorEastAsia" w:hAnsiTheme="minorEastAsia" w:eastAsiaTheme="minorEastAsia"/>
                <w:sz w:val="21"/>
                <w:szCs w:val="21"/>
              </w:rPr>
              <w:t>包括园区门户系统、移动审批系统、专题图系统、在线办事中心、园区党建平台、企业经济运行监管平台（企业数据直报系统、企业数据监测预测系统、互动沟通系统）、信息展示服务平台、平台互动系统、企业展示平台、供需服务系统、创新创业服务平台（可视化创新创业、第三方服务）、资源共享系统、科普宣传系统（园区介绍、花卉介绍、园区区块图、数据采集服务可视化联动查询）、园区</w:t>
            </w:r>
            <w:r>
              <w:rPr>
                <w:rFonts w:asciiTheme="minorEastAsia" w:hAnsiTheme="minorEastAsia" w:eastAsiaTheme="minorEastAsia"/>
                <w:sz w:val="21"/>
                <w:szCs w:val="21"/>
              </w:rPr>
              <w:t>VR</w:t>
            </w:r>
            <w:r>
              <w:rPr>
                <w:rFonts w:hint="eastAsia" w:asciiTheme="minorEastAsia" w:hAnsiTheme="minorEastAsia" w:eastAsiaTheme="minorEastAsia"/>
                <w:sz w:val="21"/>
                <w:szCs w:val="21"/>
              </w:rPr>
              <w:t>生态旅游（电子导览图、</w:t>
            </w:r>
            <w:r>
              <w:rPr>
                <w:rFonts w:asciiTheme="minorEastAsia" w:hAnsiTheme="minorEastAsia" w:eastAsiaTheme="minorEastAsia"/>
                <w:sz w:val="21"/>
                <w:szCs w:val="21"/>
              </w:rPr>
              <w:t>VR</w:t>
            </w:r>
            <w:r>
              <w:rPr>
                <w:rFonts w:hint="eastAsia" w:asciiTheme="minorEastAsia" w:hAnsiTheme="minorEastAsia" w:eastAsiaTheme="minorEastAsia"/>
                <w:sz w:val="21"/>
                <w:szCs w:val="21"/>
              </w:rPr>
              <w:t>全景漫游、三维虚拟导览移动导览）、</w:t>
            </w:r>
            <w:r>
              <w:rPr>
                <w:rFonts w:asciiTheme="minorEastAsia" w:hAnsiTheme="minorEastAsia" w:eastAsiaTheme="minorEastAsia"/>
                <w:sz w:val="21"/>
                <w:szCs w:val="21"/>
              </w:rPr>
              <w:t>O2O</w:t>
            </w:r>
            <w:r>
              <w:rPr>
                <w:rFonts w:hint="eastAsia" w:asciiTheme="minorEastAsia" w:hAnsiTheme="minorEastAsia" w:eastAsiaTheme="minorEastAsia"/>
                <w:sz w:val="21"/>
                <w:szCs w:val="21"/>
              </w:rPr>
              <w:t>花卉展览（展会服务</w:t>
            </w:r>
            <w:r>
              <w:rPr>
                <w:rFonts w:asciiTheme="minorEastAsia" w:hAnsiTheme="minorEastAsia" w:eastAsiaTheme="minorEastAsia"/>
                <w:sz w:val="21"/>
                <w:szCs w:val="21"/>
              </w:rPr>
              <w:t>APP</w:t>
            </w:r>
            <w:r>
              <w:rPr>
                <w:rFonts w:hint="eastAsia" w:asciiTheme="minorEastAsia" w:hAnsiTheme="minorEastAsia" w:eastAsiaTheme="minorEastAsia"/>
                <w:sz w:val="21"/>
                <w:szCs w:val="21"/>
              </w:rPr>
              <w:t>、展会数据制作）、</w:t>
            </w:r>
            <w:r>
              <w:rPr>
                <w:rFonts w:asciiTheme="minorEastAsia" w:hAnsiTheme="minorEastAsia" w:eastAsiaTheme="minorEastAsia"/>
                <w:sz w:val="21"/>
                <w:szCs w:val="21"/>
              </w:rPr>
              <w:t>VR</w:t>
            </w:r>
            <w:r>
              <w:rPr>
                <w:rFonts w:hint="eastAsia" w:asciiTheme="minorEastAsia" w:hAnsiTheme="minorEastAsia" w:eastAsiaTheme="minorEastAsia"/>
                <w:sz w:val="21"/>
                <w:szCs w:val="21"/>
              </w:rPr>
              <w:t>数据采编服务（企业区块图、</w:t>
            </w:r>
            <w:r>
              <w:rPr>
                <w:rFonts w:asciiTheme="minorEastAsia" w:hAnsiTheme="minorEastAsia" w:eastAsiaTheme="minorEastAsia"/>
                <w:sz w:val="21"/>
                <w:szCs w:val="21"/>
              </w:rPr>
              <w:t>VR</w:t>
            </w:r>
            <w:r>
              <w:rPr>
                <w:rFonts w:hint="eastAsia" w:asciiTheme="minorEastAsia" w:hAnsiTheme="minorEastAsia" w:eastAsiaTheme="minorEastAsia"/>
                <w:sz w:val="21"/>
                <w:szCs w:val="21"/>
              </w:rPr>
              <w:t>全景点位、三维仿真模型）。</w:t>
            </w:r>
          </w:p>
        </w:tc>
      </w:tr>
      <w:tr>
        <w:tblPrEx>
          <w:tblCellMar>
            <w:top w:w="0" w:type="dxa"/>
            <w:left w:w="108" w:type="dxa"/>
            <w:bottom w:w="0" w:type="dxa"/>
            <w:right w:w="108" w:type="dxa"/>
          </w:tblCellMar>
        </w:tblPrEx>
        <w:trPr>
          <w:trHeight w:val="113"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2217" w:type="dxa"/>
            <w:tcBorders>
              <w:top w:val="nil"/>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重大农作物病虫害防控项目</w:t>
            </w:r>
          </w:p>
        </w:tc>
        <w:tc>
          <w:tcPr>
            <w:tcW w:w="1134" w:type="dxa"/>
            <w:tcBorders>
              <w:top w:val="nil"/>
              <w:left w:val="nil"/>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250</w:t>
            </w:r>
          </w:p>
        </w:tc>
        <w:tc>
          <w:tcPr>
            <w:tcW w:w="1212" w:type="dxa"/>
            <w:tcBorders>
              <w:top w:val="nil"/>
              <w:left w:val="nil"/>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玉米草地贪夜蛾等外来重大病虫害监测及防控。</w:t>
            </w:r>
          </w:p>
        </w:tc>
      </w:tr>
      <w:tr>
        <w:tblPrEx>
          <w:tblCellMar>
            <w:top w:w="0" w:type="dxa"/>
            <w:left w:w="108" w:type="dxa"/>
            <w:bottom w:w="0" w:type="dxa"/>
            <w:right w:w="108" w:type="dxa"/>
          </w:tblCellMar>
        </w:tblPrEx>
        <w:trPr>
          <w:trHeight w:val="959"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2217" w:type="dxa"/>
            <w:tcBorders>
              <w:top w:val="nil"/>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双室堆沤池</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300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农业废弃物资源化利用，建设双室堆沤池</w:t>
            </w:r>
            <w:r>
              <w:rPr>
                <w:rFonts w:asciiTheme="minorEastAsia" w:hAnsiTheme="minorEastAsia" w:eastAsiaTheme="minorEastAsia"/>
                <w:sz w:val="21"/>
                <w:szCs w:val="21"/>
              </w:rPr>
              <w:t>900</w:t>
            </w:r>
            <w:r>
              <w:rPr>
                <w:rFonts w:hint="eastAsia" w:asciiTheme="minorEastAsia" w:hAnsiTheme="minorEastAsia" w:eastAsiaTheme="minorEastAsia"/>
                <w:sz w:val="21"/>
                <w:szCs w:val="21"/>
              </w:rPr>
              <w:t>个。</w:t>
            </w:r>
          </w:p>
        </w:tc>
      </w:tr>
      <w:tr>
        <w:tblPrEx>
          <w:tblCellMar>
            <w:top w:w="0" w:type="dxa"/>
            <w:left w:w="108" w:type="dxa"/>
            <w:bottom w:w="0" w:type="dxa"/>
            <w:right w:w="108" w:type="dxa"/>
          </w:tblCellMar>
        </w:tblPrEx>
        <w:trPr>
          <w:trHeight w:val="30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2217" w:type="dxa"/>
            <w:tcBorders>
              <w:top w:val="single" w:color="auto" w:sz="4" w:space="0"/>
              <w:left w:val="single" w:color="auto" w:sz="4" w:space="0"/>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农业园区农产品质量追溯系统</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300</w:t>
            </w:r>
          </w:p>
        </w:tc>
        <w:tc>
          <w:tcPr>
            <w:tcW w:w="121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2025</w:t>
            </w:r>
          </w:p>
        </w:tc>
        <w:tc>
          <w:tcPr>
            <w:tcW w:w="4617" w:type="dxa"/>
            <w:tcBorders>
              <w:top w:val="single" w:color="auto" w:sz="4" w:space="0"/>
              <w:left w:val="single" w:color="auto" w:sz="4" w:space="0"/>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综合运用多种网络技术、条码二维码识别等前沿技术，具有生产企业（基地等）、农产品生产档案（产地环境、生产流程、质量检测）管理、检测数据（企业自检、检测中心抽检）管理、基于网站和手机短信平台的质量安全溯源等功能，实现对花卉、蔬菜等农产品生产、流通等环节信息的溯源管理，为政府部门提供监督、管理、支持和决策的依据，为企业建立包含生产、物流、销售的可信流通体系。</w:t>
            </w:r>
          </w:p>
        </w:tc>
      </w:tr>
      <w:tr>
        <w:tblPrEx>
          <w:tblCellMar>
            <w:top w:w="0" w:type="dxa"/>
            <w:left w:w="108" w:type="dxa"/>
            <w:bottom w:w="0" w:type="dxa"/>
            <w:right w:w="108" w:type="dxa"/>
          </w:tblCellMar>
        </w:tblPrEx>
        <w:trPr>
          <w:trHeight w:val="1099"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2217" w:type="dxa"/>
            <w:tcBorders>
              <w:top w:val="nil"/>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农药减量增效技术推广项目</w:t>
            </w:r>
          </w:p>
        </w:tc>
        <w:tc>
          <w:tcPr>
            <w:tcW w:w="1134" w:type="dxa"/>
            <w:tcBorders>
              <w:top w:val="nil"/>
              <w:left w:val="nil"/>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310</w:t>
            </w:r>
          </w:p>
        </w:tc>
        <w:tc>
          <w:tcPr>
            <w:tcW w:w="1212" w:type="dxa"/>
            <w:tcBorders>
              <w:top w:val="nil"/>
              <w:left w:val="nil"/>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病虫害绿色防控技术推广、示范新型生物农药、农药助剂、新型高效施药器械。</w:t>
            </w:r>
          </w:p>
        </w:tc>
      </w:tr>
      <w:tr>
        <w:tblPrEx>
          <w:tblCellMar>
            <w:top w:w="0" w:type="dxa"/>
            <w:left w:w="108" w:type="dxa"/>
            <w:bottom w:w="0" w:type="dxa"/>
            <w:right w:w="108" w:type="dxa"/>
          </w:tblCellMar>
        </w:tblPrEx>
        <w:trPr>
          <w:trHeight w:val="2075"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w:t>
            </w:r>
          </w:p>
        </w:tc>
        <w:tc>
          <w:tcPr>
            <w:tcW w:w="2217" w:type="dxa"/>
            <w:tcBorders>
              <w:top w:val="nil"/>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嵩阳街道东村居委会扶贫产业基地建设项目（一期）</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330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w:t>
            </w:r>
            <w:r>
              <w:rPr>
                <w:rFonts w:hint="eastAsia" w:asciiTheme="minorEastAsia" w:hAnsiTheme="minorEastAsia" w:eastAsiaTheme="minorEastAsia"/>
                <w:sz w:val="21"/>
                <w:szCs w:val="21"/>
              </w:rPr>
              <w:t>.</w:t>
            </w:r>
            <w:r>
              <w:rPr>
                <w:rFonts w:asciiTheme="minorEastAsia" w:hAnsiTheme="minorEastAsia" w:eastAsiaTheme="minorEastAsia"/>
                <w:sz w:val="21"/>
                <w:szCs w:val="21"/>
              </w:rPr>
              <w:t>1-12</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流转</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亩土地，建设</w:t>
            </w:r>
            <w:r>
              <w:rPr>
                <w:rFonts w:asciiTheme="minorEastAsia" w:hAnsiTheme="minorEastAsia" w:eastAsiaTheme="minorEastAsia"/>
                <w:sz w:val="21"/>
                <w:szCs w:val="21"/>
              </w:rPr>
              <w:t>500m</w:t>
            </w:r>
            <w:r>
              <w:rPr>
                <w:rFonts w:hint="eastAsia" w:asciiTheme="minorEastAsia" w:hAnsiTheme="minorEastAsia" w:eastAsiaTheme="minorEastAsia"/>
                <w:sz w:val="21"/>
                <w:szCs w:val="21"/>
              </w:rPr>
              <w:t>³水池</w:t>
            </w:r>
            <w:r>
              <w:rPr>
                <w:rFonts w:asciiTheme="minorEastAsia" w:hAnsiTheme="minorEastAsia" w:eastAsiaTheme="minorEastAsia"/>
                <w:sz w:val="21"/>
                <w:szCs w:val="21"/>
              </w:rPr>
              <w:t>1</w:t>
            </w:r>
            <w:r>
              <w:rPr>
                <w:rFonts w:hint="eastAsia" w:asciiTheme="minorEastAsia" w:hAnsiTheme="minorEastAsia" w:eastAsiaTheme="minorEastAsia"/>
                <w:sz w:val="21"/>
                <w:szCs w:val="21"/>
              </w:rPr>
              <w:t>个；热镀锌钢管</w:t>
            </w:r>
            <w:r>
              <w:rPr>
                <w:rFonts w:asciiTheme="minorEastAsia" w:hAnsiTheme="minorEastAsia" w:eastAsiaTheme="minorEastAsia"/>
                <w:sz w:val="21"/>
                <w:szCs w:val="21"/>
              </w:rPr>
              <w:t xml:space="preserve"> DN110</w:t>
            </w:r>
            <w:r>
              <w:rPr>
                <w:rFonts w:hint="eastAsia" w:asciiTheme="minorEastAsia" w:hAnsiTheme="minorEastAsia" w:eastAsiaTheme="minorEastAsia"/>
                <w:sz w:val="21"/>
                <w:szCs w:val="21"/>
              </w:rPr>
              <w:t>，</w:t>
            </w:r>
            <w:r>
              <w:rPr>
                <w:rFonts w:asciiTheme="minorEastAsia" w:hAnsiTheme="minorEastAsia" w:eastAsiaTheme="minorEastAsia"/>
                <w:sz w:val="21"/>
                <w:szCs w:val="21"/>
              </w:rPr>
              <w:t>3000</w:t>
            </w:r>
            <w:r>
              <w:rPr>
                <w:rFonts w:hint="eastAsia" w:asciiTheme="minorEastAsia" w:hAnsiTheme="minorEastAsia" w:eastAsiaTheme="minorEastAsia"/>
                <w:sz w:val="21"/>
                <w:szCs w:val="21"/>
              </w:rPr>
              <w:t>米；混凝土支墩</w:t>
            </w:r>
            <w:r>
              <w:rPr>
                <w:rFonts w:asciiTheme="minorEastAsia" w:hAnsiTheme="minorEastAsia" w:eastAsiaTheme="minorEastAsia"/>
                <w:sz w:val="21"/>
                <w:szCs w:val="21"/>
              </w:rPr>
              <w:t>30m</w:t>
            </w:r>
            <w:r>
              <w:rPr>
                <w:rFonts w:hint="eastAsia" w:asciiTheme="minorEastAsia" w:hAnsiTheme="minorEastAsia" w:eastAsiaTheme="minorEastAsia"/>
                <w:sz w:val="21"/>
                <w:szCs w:val="21"/>
              </w:rPr>
              <w:t>³；三通</w:t>
            </w:r>
            <w:r>
              <w:rPr>
                <w:rFonts w:asciiTheme="minorEastAsia" w:hAnsiTheme="minorEastAsia" w:eastAsiaTheme="minorEastAsia"/>
                <w:sz w:val="21"/>
                <w:szCs w:val="21"/>
              </w:rPr>
              <w:t>210</w:t>
            </w:r>
            <w:r>
              <w:rPr>
                <w:rFonts w:hint="eastAsia" w:asciiTheme="minorEastAsia" w:hAnsiTheme="minorEastAsia" w:eastAsiaTheme="minorEastAsia"/>
                <w:sz w:val="21"/>
                <w:szCs w:val="21"/>
              </w:rPr>
              <w:t>个；</w:t>
            </w:r>
            <w:r>
              <w:rPr>
                <w:rFonts w:asciiTheme="minorEastAsia" w:hAnsiTheme="minorEastAsia" w:eastAsiaTheme="minorEastAsia"/>
                <w:sz w:val="21"/>
                <w:szCs w:val="21"/>
              </w:rPr>
              <w:t>PE100</w:t>
            </w:r>
            <w:r>
              <w:rPr>
                <w:rFonts w:hint="eastAsia" w:asciiTheme="minorEastAsia" w:hAnsiTheme="minorEastAsia" w:eastAsiaTheme="minorEastAsia"/>
                <w:sz w:val="21"/>
                <w:szCs w:val="21"/>
              </w:rPr>
              <w:t>给水管</w:t>
            </w:r>
            <w:r>
              <w:rPr>
                <w:rFonts w:asciiTheme="minorEastAsia" w:hAnsiTheme="minorEastAsia" w:eastAsiaTheme="minorEastAsia"/>
                <w:sz w:val="21"/>
                <w:szCs w:val="21"/>
              </w:rPr>
              <w:t>3450</w:t>
            </w:r>
            <w:r>
              <w:rPr>
                <w:rFonts w:hint="eastAsia" w:asciiTheme="minorEastAsia" w:hAnsiTheme="minorEastAsia" w:eastAsiaTheme="minorEastAsia"/>
                <w:sz w:val="21"/>
                <w:szCs w:val="21"/>
              </w:rPr>
              <w:t>米，</w:t>
            </w:r>
          </w:p>
          <w:p>
            <w:pPr>
              <w:pStyle w:val="10"/>
              <w:rPr>
                <w:rFonts w:asciiTheme="minorEastAsia" w:hAnsiTheme="minorEastAsia" w:eastAsiaTheme="minorEastAsia"/>
                <w:sz w:val="21"/>
                <w:szCs w:val="21"/>
              </w:rPr>
            </w:pPr>
            <w:r>
              <w:rPr>
                <w:rFonts w:asciiTheme="minorEastAsia" w:hAnsiTheme="minorEastAsia" w:eastAsiaTheme="minorEastAsia"/>
                <w:sz w:val="21"/>
                <w:szCs w:val="21"/>
              </w:rPr>
              <w:t>PE63</w:t>
            </w:r>
            <w:r>
              <w:rPr>
                <w:rFonts w:hint="eastAsia" w:asciiTheme="minorEastAsia" w:hAnsiTheme="minorEastAsia" w:eastAsiaTheme="minorEastAsia"/>
                <w:sz w:val="21"/>
                <w:szCs w:val="21"/>
              </w:rPr>
              <w:t>给水管</w:t>
            </w:r>
            <w:r>
              <w:rPr>
                <w:rFonts w:asciiTheme="minorEastAsia" w:hAnsiTheme="minorEastAsia" w:eastAsiaTheme="minorEastAsia"/>
                <w:sz w:val="21"/>
                <w:szCs w:val="21"/>
              </w:rPr>
              <w:t>4500</w:t>
            </w:r>
            <w:r>
              <w:rPr>
                <w:rFonts w:hint="eastAsia" w:asciiTheme="minorEastAsia" w:hAnsiTheme="minorEastAsia" w:eastAsiaTheme="minorEastAsia"/>
                <w:sz w:val="21"/>
                <w:szCs w:val="21"/>
              </w:rPr>
              <w:t>米，铜闸阀</w:t>
            </w:r>
            <w:r>
              <w:rPr>
                <w:rFonts w:asciiTheme="minorEastAsia" w:hAnsiTheme="minorEastAsia" w:eastAsiaTheme="minorEastAsia"/>
                <w:sz w:val="21"/>
                <w:szCs w:val="21"/>
              </w:rPr>
              <w:t>4</w:t>
            </w:r>
            <w:r>
              <w:rPr>
                <w:rFonts w:hint="eastAsia" w:asciiTheme="minorEastAsia" w:hAnsiTheme="minorEastAsia" w:eastAsiaTheme="minorEastAsia"/>
                <w:sz w:val="21"/>
                <w:szCs w:val="21"/>
              </w:rPr>
              <w:t>个；机耕路</w:t>
            </w:r>
            <w:r>
              <w:rPr>
                <w:rFonts w:asciiTheme="minorEastAsia" w:hAnsiTheme="minorEastAsia" w:eastAsiaTheme="minorEastAsia"/>
                <w:sz w:val="21"/>
                <w:szCs w:val="21"/>
              </w:rPr>
              <w:t>3000</w:t>
            </w:r>
            <w:r>
              <w:rPr>
                <w:rFonts w:hint="eastAsia" w:asciiTheme="minorEastAsia" w:hAnsiTheme="minorEastAsia" w:eastAsiaTheme="minorEastAsia"/>
                <w:sz w:val="21"/>
                <w:szCs w:val="21"/>
              </w:rPr>
              <w:t>米，建设支架及网</w:t>
            </w:r>
            <w:r>
              <w:rPr>
                <w:rFonts w:asciiTheme="minorEastAsia" w:hAnsiTheme="minorEastAsia" w:eastAsiaTheme="minorEastAsia"/>
                <w:sz w:val="21"/>
                <w:szCs w:val="21"/>
              </w:rPr>
              <w:t>500</w:t>
            </w:r>
            <w:r>
              <w:rPr>
                <w:rFonts w:hint="eastAsia" w:asciiTheme="minorEastAsia" w:hAnsiTheme="minorEastAsia" w:eastAsiaTheme="minorEastAsia"/>
                <w:sz w:val="21"/>
                <w:szCs w:val="21"/>
              </w:rPr>
              <w:t>亩。</w:t>
            </w:r>
          </w:p>
        </w:tc>
      </w:tr>
      <w:tr>
        <w:tblPrEx>
          <w:tblCellMar>
            <w:top w:w="0" w:type="dxa"/>
            <w:left w:w="108" w:type="dxa"/>
            <w:bottom w:w="0" w:type="dxa"/>
            <w:right w:w="108" w:type="dxa"/>
          </w:tblCellMar>
        </w:tblPrEx>
        <w:trPr>
          <w:trHeight w:val="1172"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2217" w:type="dxa"/>
            <w:tcBorders>
              <w:top w:val="nil"/>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普渡居委会水生植物产业基地</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429</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w:t>
            </w:r>
            <w:r>
              <w:rPr>
                <w:rFonts w:hint="eastAsia" w:asciiTheme="minorEastAsia" w:hAnsiTheme="minorEastAsia" w:eastAsiaTheme="minorEastAsia"/>
                <w:sz w:val="21"/>
                <w:szCs w:val="21"/>
              </w:rPr>
              <w:t>.</w:t>
            </w:r>
            <w:r>
              <w:rPr>
                <w:rFonts w:asciiTheme="minorEastAsia" w:hAnsiTheme="minorEastAsia" w:eastAsiaTheme="minorEastAsia"/>
                <w:sz w:val="21"/>
                <w:szCs w:val="21"/>
              </w:rPr>
              <w:t>1-12</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建设水土保护坝</w:t>
            </w:r>
            <w:r>
              <w:rPr>
                <w:rFonts w:asciiTheme="minorEastAsia" w:hAnsiTheme="minorEastAsia" w:eastAsiaTheme="minorEastAsia"/>
                <w:sz w:val="21"/>
                <w:szCs w:val="21"/>
              </w:rPr>
              <w:t>5000</w:t>
            </w:r>
            <w:r>
              <w:rPr>
                <w:rFonts w:hint="eastAsia" w:asciiTheme="minorEastAsia" w:hAnsiTheme="minorEastAsia" w:eastAsiaTheme="minorEastAsia"/>
                <w:sz w:val="21"/>
                <w:szCs w:val="21"/>
              </w:rPr>
              <w:t>米根据地形分不同的种植模块。</w:t>
            </w:r>
          </w:p>
        </w:tc>
      </w:tr>
      <w:tr>
        <w:tblPrEx>
          <w:tblCellMar>
            <w:top w:w="0" w:type="dxa"/>
            <w:left w:w="108" w:type="dxa"/>
            <w:bottom w:w="0" w:type="dxa"/>
            <w:right w:w="108" w:type="dxa"/>
          </w:tblCellMar>
        </w:tblPrEx>
        <w:trPr>
          <w:trHeight w:val="2746"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2217" w:type="dxa"/>
            <w:tcBorders>
              <w:top w:val="single" w:color="auto" w:sz="4" w:space="0"/>
              <w:left w:val="single" w:color="auto" w:sz="4" w:space="0"/>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农业园区嵩明县现代农业科技创新平台</w:t>
            </w:r>
          </w:p>
        </w:tc>
        <w:tc>
          <w:tcPr>
            <w:tcW w:w="1134" w:type="dxa"/>
            <w:tcBorders>
              <w:top w:val="single" w:color="auto" w:sz="4" w:space="0"/>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450</w:t>
            </w:r>
          </w:p>
        </w:tc>
        <w:tc>
          <w:tcPr>
            <w:tcW w:w="1212" w:type="dxa"/>
            <w:tcBorders>
              <w:top w:val="single" w:color="auto" w:sz="4" w:space="0"/>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2020-2025</w:t>
            </w:r>
          </w:p>
        </w:tc>
        <w:tc>
          <w:tcPr>
            <w:tcW w:w="4617" w:type="dxa"/>
            <w:tcBorders>
              <w:top w:val="single" w:color="auto" w:sz="4" w:space="0"/>
              <w:left w:val="single" w:color="auto" w:sz="4" w:space="0"/>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围绕园区打造花卉产业区域性创新研发中心，加速促进科技创新资源汇聚，科技创新资源配置，形成科技资源要素共享；推进高原特色花卉产业新品种、新技术研发能力提升，加速科技成果转化，建立完善的花卉科技创新体系。包括：①</w:t>
            </w:r>
            <w:r>
              <w:rPr>
                <w:rFonts w:asciiTheme="minorEastAsia" w:hAnsiTheme="minorEastAsia" w:eastAsiaTheme="minorEastAsia"/>
                <w:sz w:val="21"/>
                <w:szCs w:val="21"/>
              </w:rPr>
              <w:t>.</w:t>
            </w:r>
            <w:r>
              <w:rPr>
                <w:rFonts w:hint="eastAsia" w:asciiTheme="minorEastAsia" w:hAnsiTheme="minorEastAsia" w:eastAsiaTheme="minorEastAsia"/>
                <w:sz w:val="21"/>
                <w:szCs w:val="21"/>
              </w:rPr>
              <w:t>科研资源共享平台</w:t>
            </w:r>
            <w:r>
              <w:rPr>
                <w:rFonts w:asciiTheme="minorEastAsia" w:hAnsiTheme="minorEastAsia" w:eastAsiaTheme="minorEastAsia"/>
                <w:sz w:val="21"/>
                <w:szCs w:val="21"/>
              </w:rPr>
              <w:t>;</w:t>
            </w:r>
            <w:r>
              <w:rPr>
                <w:rFonts w:hint="eastAsia" w:asciiTheme="minorEastAsia" w:hAnsiTheme="minorEastAsia" w:eastAsiaTheme="minorEastAsia"/>
                <w:sz w:val="21"/>
                <w:szCs w:val="21"/>
              </w:rPr>
              <w:t>②</w:t>
            </w:r>
            <w:r>
              <w:rPr>
                <w:rFonts w:asciiTheme="minorEastAsia" w:hAnsiTheme="minorEastAsia" w:eastAsiaTheme="minorEastAsia"/>
                <w:sz w:val="21"/>
                <w:szCs w:val="21"/>
              </w:rPr>
              <w:t>.</w:t>
            </w:r>
            <w:r>
              <w:rPr>
                <w:rFonts w:hint="eastAsia" w:asciiTheme="minorEastAsia" w:hAnsiTheme="minorEastAsia" w:eastAsiaTheme="minorEastAsia"/>
                <w:sz w:val="21"/>
                <w:szCs w:val="21"/>
              </w:rPr>
              <w:t>土地资源管理系统</w:t>
            </w:r>
            <w:r>
              <w:rPr>
                <w:rFonts w:asciiTheme="minorEastAsia" w:hAnsiTheme="minorEastAsia" w:eastAsiaTheme="minorEastAsia"/>
                <w:sz w:val="21"/>
                <w:szCs w:val="21"/>
              </w:rPr>
              <w:t>;</w:t>
            </w:r>
            <w:r>
              <w:rPr>
                <w:rFonts w:hint="eastAsia" w:asciiTheme="minorEastAsia" w:hAnsiTheme="minorEastAsia" w:eastAsiaTheme="minorEastAsia"/>
                <w:sz w:val="21"/>
                <w:szCs w:val="21"/>
              </w:rPr>
              <w:t>③</w:t>
            </w:r>
            <w:r>
              <w:rPr>
                <w:rFonts w:asciiTheme="minorEastAsia" w:hAnsiTheme="minorEastAsia" w:eastAsiaTheme="minorEastAsia"/>
                <w:sz w:val="21"/>
                <w:szCs w:val="21"/>
              </w:rPr>
              <w:t>.</w:t>
            </w:r>
            <w:r>
              <w:rPr>
                <w:rFonts w:hint="eastAsia" w:asciiTheme="minorEastAsia" w:hAnsiTheme="minorEastAsia" w:eastAsiaTheme="minorEastAsia"/>
                <w:sz w:val="21"/>
                <w:szCs w:val="21"/>
              </w:rPr>
              <w:t>产业链综合交易系统；④</w:t>
            </w:r>
            <w:r>
              <w:rPr>
                <w:rFonts w:asciiTheme="minorEastAsia" w:hAnsiTheme="minorEastAsia" w:eastAsiaTheme="minorEastAsia"/>
                <w:sz w:val="21"/>
                <w:szCs w:val="21"/>
              </w:rPr>
              <w:t>.</w:t>
            </w:r>
            <w:r>
              <w:rPr>
                <w:rFonts w:hint="eastAsia" w:asciiTheme="minorEastAsia" w:hAnsiTheme="minorEastAsia" w:eastAsiaTheme="minorEastAsia"/>
                <w:sz w:val="21"/>
                <w:szCs w:val="21"/>
              </w:rPr>
              <w:t>科技导览服务平台等科研体系信息化平台建设。</w:t>
            </w:r>
          </w:p>
        </w:tc>
      </w:tr>
      <w:tr>
        <w:tblPrEx>
          <w:tblCellMar>
            <w:top w:w="0" w:type="dxa"/>
            <w:left w:w="108" w:type="dxa"/>
            <w:bottom w:w="0" w:type="dxa"/>
            <w:right w:w="108" w:type="dxa"/>
          </w:tblCellMar>
        </w:tblPrEx>
        <w:trPr>
          <w:trHeight w:val="983"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2217" w:type="dxa"/>
            <w:tcBorders>
              <w:top w:val="nil"/>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农村行政村公厕</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500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行政村公厕改造建设</w:t>
            </w:r>
            <w:r>
              <w:rPr>
                <w:rFonts w:asciiTheme="minorEastAsia" w:hAnsiTheme="minorEastAsia" w:eastAsiaTheme="minorEastAsia"/>
                <w:sz w:val="21"/>
                <w:szCs w:val="21"/>
              </w:rPr>
              <w:t>50</w:t>
            </w:r>
            <w:r>
              <w:rPr>
                <w:rFonts w:hint="eastAsia" w:asciiTheme="minorEastAsia" w:hAnsiTheme="minorEastAsia" w:eastAsiaTheme="minorEastAsia"/>
                <w:sz w:val="21"/>
                <w:szCs w:val="21"/>
              </w:rPr>
              <w:t>座。</w:t>
            </w:r>
          </w:p>
        </w:tc>
      </w:tr>
      <w:tr>
        <w:tblPrEx>
          <w:tblCellMar>
            <w:top w:w="0" w:type="dxa"/>
            <w:left w:w="108" w:type="dxa"/>
            <w:bottom w:w="0" w:type="dxa"/>
            <w:right w:w="108" w:type="dxa"/>
          </w:tblCellMar>
        </w:tblPrEx>
        <w:trPr>
          <w:trHeight w:val="125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23</w:t>
            </w:r>
          </w:p>
        </w:tc>
        <w:tc>
          <w:tcPr>
            <w:tcW w:w="2217" w:type="dxa"/>
            <w:tcBorders>
              <w:top w:val="nil"/>
              <w:left w:val="nil"/>
              <w:bottom w:val="single" w:color="auto" w:sz="4" w:space="0"/>
              <w:right w:val="single" w:color="auto" w:sz="4" w:space="0"/>
            </w:tcBorders>
            <w:shd w:val="clear" w:color="000000" w:fill="FFFFFF"/>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重大动物疫病防控</w:t>
            </w:r>
          </w:p>
        </w:tc>
        <w:tc>
          <w:tcPr>
            <w:tcW w:w="1134" w:type="dxa"/>
            <w:tcBorders>
              <w:top w:val="nil"/>
              <w:left w:val="nil"/>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w:t>
            </w:r>
          </w:p>
        </w:tc>
        <w:tc>
          <w:tcPr>
            <w:tcW w:w="1212" w:type="dxa"/>
            <w:tcBorders>
              <w:top w:val="nil"/>
              <w:left w:val="nil"/>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nil"/>
              <w:left w:val="nil"/>
              <w:bottom w:val="single" w:color="auto" w:sz="4" w:space="0"/>
              <w:right w:val="single" w:color="auto" w:sz="4" w:space="0"/>
            </w:tcBorders>
            <w:shd w:val="clear" w:color="000000" w:fill="FFFFFF"/>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群体免疫密度常年达</w:t>
            </w:r>
            <w:r>
              <w:rPr>
                <w:rFonts w:asciiTheme="minorEastAsia" w:hAnsiTheme="minorEastAsia" w:eastAsiaTheme="minorEastAsia"/>
                <w:sz w:val="21"/>
                <w:szCs w:val="21"/>
              </w:rPr>
              <w:t>90%</w:t>
            </w:r>
            <w:r>
              <w:rPr>
                <w:rFonts w:hint="eastAsia" w:asciiTheme="minorEastAsia" w:hAnsiTheme="minorEastAsia" w:eastAsiaTheme="minorEastAsia"/>
                <w:sz w:val="21"/>
                <w:szCs w:val="21"/>
              </w:rPr>
              <w:t>以上，免疫抗体监测合格率达</w:t>
            </w:r>
            <w:r>
              <w:rPr>
                <w:rFonts w:asciiTheme="minorEastAsia" w:hAnsiTheme="minorEastAsia" w:eastAsiaTheme="minorEastAsia"/>
                <w:sz w:val="21"/>
                <w:szCs w:val="21"/>
              </w:rPr>
              <w:t>70%</w:t>
            </w:r>
            <w:r>
              <w:rPr>
                <w:rFonts w:hint="eastAsia" w:asciiTheme="minorEastAsia" w:hAnsiTheme="minorEastAsia" w:eastAsiaTheme="minorEastAsia"/>
                <w:sz w:val="21"/>
                <w:szCs w:val="21"/>
              </w:rPr>
              <w:t>以上。“十四五”期间每年计划投资1</w:t>
            </w:r>
            <w:r>
              <w:rPr>
                <w:rFonts w:asciiTheme="minorEastAsia" w:hAnsiTheme="minorEastAsia" w:eastAsiaTheme="minorEastAsia"/>
                <w:sz w:val="21"/>
                <w:szCs w:val="21"/>
              </w:rPr>
              <w:t>00</w:t>
            </w:r>
            <w:r>
              <w:rPr>
                <w:rFonts w:hint="eastAsia" w:asciiTheme="minorEastAsia" w:hAnsiTheme="minorEastAsia" w:eastAsiaTheme="minorEastAsia"/>
                <w:sz w:val="21"/>
                <w:szCs w:val="21"/>
              </w:rPr>
              <w:t>万元。</w:t>
            </w:r>
          </w:p>
        </w:tc>
      </w:tr>
      <w:tr>
        <w:tblPrEx>
          <w:tblCellMar>
            <w:top w:w="0" w:type="dxa"/>
            <w:left w:w="108" w:type="dxa"/>
            <w:bottom w:w="0" w:type="dxa"/>
            <w:right w:w="108" w:type="dxa"/>
          </w:tblCellMar>
        </w:tblPrEx>
        <w:trPr>
          <w:trHeight w:val="2598"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2217" w:type="dxa"/>
            <w:tcBorders>
              <w:top w:val="nil"/>
              <w:left w:val="nil"/>
              <w:bottom w:val="single" w:color="auto" w:sz="4" w:space="0"/>
              <w:right w:val="single" w:color="auto" w:sz="4" w:space="0"/>
            </w:tcBorders>
            <w:shd w:val="clear" w:color="000000" w:fill="FFFFFF"/>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中药材种植及加工</w:t>
            </w:r>
          </w:p>
        </w:tc>
        <w:tc>
          <w:tcPr>
            <w:tcW w:w="1134" w:type="dxa"/>
            <w:tcBorders>
              <w:top w:val="nil"/>
              <w:left w:val="nil"/>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w:t>
            </w:r>
          </w:p>
        </w:tc>
        <w:tc>
          <w:tcPr>
            <w:tcW w:w="1212" w:type="dxa"/>
            <w:tcBorders>
              <w:top w:val="nil"/>
              <w:left w:val="nil"/>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nil"/>
              <w:left w:val="nil"/>
              <w:bottom w:val="single" w:color="auto" w:sz="4" w:space="0"/>
              <w:right w:val="single" w:color="auto" w:sz="4" w:space="0"/>
            </w:tcBorders>
            <w:shd w:val="clear" w:color="000000" w:fill="FFFFFF"/>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在十四五期间全县中药材种植面积发展到</w:t>
            </w:r>
            <w:r>
              <w:rPr>
                <w:rFonts w:asciiTheme="minorEastAsia" w:hAnsiTheme="minorEastAsia" w:eastAsiaTheme="minorEastAsia"/>
                <w:sz w:val="21"/>
                <w:szCs w:val="21"/>
              </w:rPr>
              <w:t>4000</w:t>
            </w:r>
            <w:r>
              <w:rPr>
                <w:rFonts w:hint="eastAsia" w:asciiTheme="minorEastAsia" w:hAnsiTheme="minorEastAsia" w:eastAsiaTheme="minorEastAsia"/>
                <w:sz w:val="21"/>
                <w:szCs w:val="21"/>
              </w:rPr>
              <w:t>亩，产值达到</w:t>
            </w:r>
            <w:r>
              <w:rPr>
                <w:rFonts w:asciiTheme="minorEastAsia" w:hAnsiTheme="minorEastAsia" w:eastAsiaTheme="minorEastAsia"/>
                <w:sz w:val="21"/>
                <w:szCs w:val="21"/>
              </w:rPr>
              <w:t>1</w:t>
            </w:r>
            <w:r>
              <w:rPr>
                <w:rFonts w:hint="eastAsia" w:asciiTheme="minorEastAsia" w:hAnsiTheme="minorEastAsia" w:eastAsiaTheme="minorEastAsia"/>
                <w:sz w:val="21"/>
                <w:szCs w:val="21"/>
              </w:rPr>
              <w:t>个亿。扶持建成一家中药材初加工企业，加工产值</w:t>
            </w:r>
            <w:r>
              <w:rPr>
                <w:rFonts w:asciiTheme="minorEastAsia" w:hAnsiTheme="minorEastAsia" w:eastAsiaTheme="minorEastAsia"/>
                <w:sz w:val="21"/>
                <w:szCs w:val="21"/>
              </w:rPr>
              <w:t>2000</w:t>
            </w:r>
            <w:r>
              <w:rPr>
                <w:rFonts w:hint="eastAsia" w:asciiTheme="minorEastAsia" w:hAnsiTheme="minorEastAsia" w:eastAsiaTheme="minorEastAsia"/>
                <w:sz w:val="21"/>
                <w:szCs w:val="21"/>
              </w:rPr>
              <w:t>万元。</w:t>
            </w:r>
          </w:p>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培育扶持</w:t>
            </w:r>
            <w:r>
              <w:rPr>
                <w:rFonts w:asciiTheme="minorEastAsia" w:hAnsiTheme="minorEastAsia" w:eastAsiaTheme="minorEastAsia"/>
                <w:sz w:val="21"/>
                <w:szCs w:val="21"/>
              </w:rPr>
              <w:t>2</w:t>
            </w:r>
            <w:r>
              <w:rPr>
                <w:rFonts w:hint="eastAsia" w:asciiTheme="minorEastAsia" w:hAnsiTheme="minorEastAsia" w:eastAsiaTheme="minorEastAsia"/>
                <w:sz w:val="21"/>
                <w:szCs w:val="21"/>
              </w:rPr>
              <w:t>户中药材种苗生产企业，面积</w:t>
            </w:r>
            <w:r>
              <w:rPr>
                <w:rFonts w:asciiTheme="minorEastAsia" w:hAnsiTheme="minorEastAsia" w:eastAsiaTheme="minorEastAsia"/>
                <w:sz w:val="21"/>
                <w:szCs w:val="21"/>
              </w:rPr>
              <w:t>120</w:t>
            </w:r>
            <w:r>
              <w:rPr>
                <w:rFonts w:hint="eastAsia" w:asciiTheme="minorEastAsia" w:hAnsiTheme="minorEastAsia" w:eastAsiaTheme="minorEastAsia"/>
                <w:sz w:val="21"/>
                <w:szCs w:val="21"/>
              </w:rPr>
              <w:t>亩，产值</w:t>
            </w:r>
            <w:r>
              <w:rPr>
                <w:rFonts w:asciiTheme="minorEastAsia" w:hAnsiTheme="minorEastAsia" w:eastAsiaTheme="minorEastAsia"/>
                <w:sz w:val="21"/>
                <w:szCs w:val="21"/>
              </w:rPr>
              <w:t>1200</w:t>
            </w:r>
            <w:r>
              <w:rPr>
                <w:rFonts w:hint="eastAsia" w:asciiTheme="minorEastAsia" w:hAnsiTheme="minorEastAsia" w:eastAsiaTheme="minorEastAsia"/>
                <w:sz w:val="21"/>
                <w:szCs w:val="21"/>
              </w:rPr>
              <w:t>万元。</w:t>
            </w:r>
          </w:p>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建成一个面积</w:t>
            </w:r>
            <w:r>
              <w:rPr>
                <w:rFonts w:asciiTheme="minorEastAsia" w:hAnsiTheme="minorEastAsia" w:eastAsiaTheme="minorEastAsia"/>
                <w:sz w:val="21"/>
                <w:szCs w:val="21"/>
              </w:rPr>
              <w:t>300</w:t>
            </w:r>
            <w:r>
              <w:rPr>
                <w:rFonts w:hint="eastAsia" w:asciiTheme="minorEastAsia" w:hAnsiTheme="minorEastAsia" w:eastAsiaTheme="minorEastAsia"/>
                <w:sz w:val="21"/>
                <w:szCs w:val="21"/>
              </w:rPr>
              <w:t>亩以上的中药材种植基地。</w:t>
            </w:r>
          </w:p>
        </w:tc>
      </w:tr>
      <w:tr>
        <w:tblPrEx>
          <w:tblCellMar>
            <w:top w:w="0" w:type="dxa"/>
            <w:left w:w="108" w:type="dxa"/>
            <w:bottom w:w="0" w:type="dxa"/>
            <w:right w:w="108" w:type="dxa"/>
          </w:tblCellMar>
        </w:tblPrEx>
        <w:trPr>
          <w:trHeight w:val="1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25</w:t>
            </w:r>
          </w:p>
        </w:tc>
        <w:tc>
          <w:tcPr>
            <w:tcW w:w="2217" w:type="dxa"/>
            <w:tcBorders>
              <w:top w:val="single" w:color="auto" w:sz="4" w:space="0"/>
              <w:left w:val="single" w:color="auto" w:sz="4" w:space="0"/>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农业园区云南高原特色农业花卉科创分中心</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w:t>
            </w:r>
          </w:p>
        </w:tc>
        <w:tc>
          <w:tcPr>
            <w:tcW w:w="121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2025</w:t>
            </w:r>
          </w:p>
        </w:tc>
        <w:tc>
          <w:tcPr>
            <w:tcW w:w="4617" w:type="dxa"/>
            <w:tcBorders>
              <w:top w:val="single" w:color="auto" w:sz="4" w:space="0"/>
              <w:left w:val="single" w:color="auto" w:sz="4" w:space="0"/>
              <w:bottom w:val="single" w:color="auto" w:sz="4" w:space="0"/>
              <w:right w:val="single" w:color="auto" w:sz="4" w:space="0"/>
            </w:tcBorders>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目标开展服务中心</w:t>
            </w:r>
            <w:r>
              <w:rPr>
                <w:rFonts w:asciiTheme="minorEastAsia" w:hAnsiTheme="minorEastAsia" w:eastAsiaTheme="minorEastAsia"/>
                <w:sz w:val="21"/>
                <w:szCs w:val="21"/>
              </w:rPr>
              <w:t>1200</w:t>
            </w:r>
            <w:r>
              <w:rPr>
                <w:rFonts w:hint="eastAsia" w:asciiTheme="minorEastAsia" w:hAnsiTheme="minorEastAsia" w:eastAsiaTheme="minorEastAsia"/>
                <w:sz w:val="21"/>
                <w:szCs w:val="21"/>
              </w:rPr>
              <w:t>平米改扩建工程，</w:t>
            </w:r>
            <w:r>
              <w:rPr>
                <w:rFonts w:asciiTheme="minorEastAsia" w:hAnsiTheme="minorEastAsia" w:eastAsiaTheme="minorEastAsia"/>
                <w:sz w:val="21"/>
                <w:szCs w:val="21"/>
              </w:rPr>
              <w:t>2000</w:t>
            </w:r>
            <w:r>
              <w:rPr>
                <w:rFonts w:hint="eastAsia" w:asciiTheme="minorEastAsia" w:hAnsiTheme="minorEastAsia" w:eastAsiaTheme="minorEastAsia"/>
                <w:sz w:val="21"/>
                <w:szCs w:val="21"/>
              </w:rPr>
              <w:t>平米的新品种、新技术展示中心建设项目；</w:t>
            </w:r>
            <w:r>
              <w:rPr>
                <w:rFonts w:asciiTheme="minorEastAsia" w:hAnsiTheme="minorEastAsia" w:eastAsiaTheme="minorEastAsia"/>
                <w:sz w:val="21"/>
                <w:szCs w:val="21"/>
              </w:rPr>
              <w:t>10</w:t>
            </w:r>
            <w:r>
              <w:rPr>
                <w:rFonts w:hint="eastAsia" w:asciiTheme="minorEastAsia" w:hAnsiTheme="minorEastAsia" w:eastAsiaTheme="minorEastAsia"/>
                <w:sz w:val="21"/>
                <w:szCs w:val="21"/>
              </w:rPr>
              <w:t>个创新创业服务中心基层网点建设；引入知识产权、检验检测、金融服务、会计师事务所等第三方服务机构，开展专业化服务。围绕知识产权，与县市场监管局合作，打造嵩明特色的农业知识产权合作，形成工作合力，高效服务。加快协调部门之间数据共享信息交换、工作协同，提高一站式社会化服务中心效率，推动园区服务观念转变，实现园区服务专业化、社会化、便捷化，最终建立起完善的社会化服务体系。</w:t>
            </w:r>
          </w:p>
        </w:tc>
      </w:tr>
      <w:tr>
        <w:tblPrEx>
          <w:tblCellMar>
            <w:top w:w="0" w:type="dxa"/>
            <w:left w:w="108" w:type="dxa"/>
            <w:bottom w:w="0" w:type="dxa"/>
            <w:right w:w="108" w:type="dxa"/>
          </w:tblCellMar>
        </w:tblPrEx>
        <w:trPr>
          <w:trHeight w:val="885"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26</w:t>
            </w:r>
          </w:p>
        </w:tc>
        <w:tc>
          <w:tcPr>
            <w:tcW w:w="2217" w:type="dxa"/>
            <w:tcBorders>
              <w:top w:val="nil"/>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嵩明县畜禽粪污资源化利用项目</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506</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w:t>
            </w:r>
            <w:r>
              <w:rPr>
                <w:rFonts w:hint="eastAsia" w:asciiTheme="minorEastAsia" w:hAnsiTheme="minorEastAsia" w:eastAsiaTheme="minorEastAsia"/>
                <w:sz w:val="21"/>
                <w:szCs w:val="21"/>
              </w:rPr>
              <w:t>0.</w:t>
            </w:r>
            <w:r>
              <w:rPr>
                <w:rFonts w:asciiTheme="minorEastAsia" w:hAnsiTheme="minorEastAsia" w:eastAsiaTheme="minorEastAsia"/>
                <w:sz w:val="21"/>
                <w:szCs w:val="21"/>
              </w:rPr>
              <w:t>1</w:t>
            </w: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w:t>
            </w:r>
            <w:r>
              <w:rPr>
                <w:rFonts w:hint="eastAsia" w:asciiTheme="minorEastAsia" w:hAnsiTheme="minorEastAsia" w:eastAsiaTheme="minorEastAsia"/>
                <w:sz w:val="21"/>
                <w:szCs w:val="21"/>
              </w:rPr>
              <w:t>1.</w:t>
            </w:r>
            <w:r>
              <w:rPr>
                <w:rFonts w:asciiTheme="minorEastAsia" w:hAnsiTheme="minorEastAsia" w:eastAsiaTheme="minorEastAsia"/>
                <w:sz w:val="21"/>
                <w:szCs w:val="21"/>
              </w:rPr>
              <w:t>12</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规模化养殖场粪污处理设备升级改造</w:t>
            </w:r>
          </w:p>
        </w:tc>
      </w:tr>
      <w:tr>
        <w:tblPrEx>
          <w:tblCellMar>
            <w:top w:w="0" w:type="dxa"/>
            <w:left w:w="108" w:type="dxa"/>
            <w:bottom w:w="0" w:type="dxa"/>
            <w:right w:w="108" w:type="dxa"/>
          </w:tblCellMar>
        </w:tblPrEx>
        <w:trPr>
          <w:trHeight w:val="126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27</w:t>
            </w:r>
          </w:p>
        </w:tc>
        <w:tc>
          <w:tcPr>
            <w:tcW w:w="2217" w:type="dxa"/>
            <w:tcBorders>
              <w:top w:val="single" w:color="auto" w:sz="4" w:space="0"/>
              <w:left w:val="single" w:color="auto" w:sz="4" w:space="0"/>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嵩明县农业园区花卉、蔬菜产业大数据中心</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600</w:t>
            </w:r>
          </w:p>
        </w:tc>
        <w:tc>
          <w:tcPr>
            <w:tcW w:w="121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2025</w:t>
            </w:r>
          </w:p>
        </w:tc>
        <w:tc>
          <w:tcPr>
            <w:tcW w:w="4617" w:type="dxa"/>
            <w:tcBorders>
              <w:top w:val="single" w:color="auto" w:sz="4" w:space="0"/>
              <w:left w:val="single" w:color="auto" w:sz="4" w:space="0"/>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建设嵩明县花卉、蔬菜产业信息化数据服务中心，包括企业云平台、云仓库管理、专家人才信息管理和资源共享、资源供应、资源需求信息等内容。</w:t>
            </w:r>
          </w:p>
        </w:tc>
      </w:tr>
      <w:tr>
        <w:tblPrEx>
          <w:tblCellMar>
            <w:top w:w="0" w:type="dxa"/>
            <w:left w:w="108" w:type="dxa"/>
            <w:bottom w:w="0" w:type="dxa"/>
            <w:right w:w="108" w:type="dxa"/>
          </w:tblCellMar>
        </w:tblPrEx>
        <w:trPr>
          <w:trHeight w:val="113"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w:t>
            </w:r>
          </w:p>
        </w:tc>
        <w:tc>
          <w:tcPr>
            <w:tcW w:w="2217" w:type="dxa"/>
            <w:tcBorders>
              <w:top w:val="nil"/>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化肥减量增效技术推广项目</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1000</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测土配方施肥技术推广，绿色防控技术推广、示范新型生物菌肥、水肥一体化技术、农机农技配套组装、秸秆资源化综合利用。</w:t>
            </w:r>
          </w:p>
        </w:tc>
      </w:tr>
      <w:tr>
        <w:tblPrEx>
          <w:tblCellMar>
            <w:top w:w="0" w:type="dxa"/>
            <w:left w:w="108" w:type="dxa"/>
            <w:bottom w:w="0" w:type="dxa"/>
            <w:right w:w="108" w:type="dxa"/>
          </w:tblCellMar>
        </w:tblPrEx>
        <w:trPr>
          <w:trHeight w:val="113" w:hRule="atLeast"/>
          <w:jc w:val="center"/>
        </w:trPr>
        <w:tc>
          <w:tcPr>
            <w:tcW w:w="720" w:type="dxa"/>
            <w:tcBorders>
              <w:top w:val="nil"/>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29</w:t>
            </w:r>
          </w:p>
        </w:tc>
        <w:tc>
          <w:tcPr>
            <w:tcW w:w="2217" w:type="dxa"/>
            <w:tcBorders>
              <w:top w:val="nil"/>
              <w:left w:val="nil"/>
              <w:bottom w:val="single" w:color="auto" w:sz="4" w:space="0"/>
              <w:right w:val="single" w:color="auto" w:sz="4" w:space="0"/>
            </w:tcBorders>
            <w:noWrap/>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畜禽养殖业保险</w:t>
            </w:r>
          </w:p>
        </w:tc>
        <w:tc>
          <w:tcPr>
            <w:tcW w:w="1134"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1625.5</w:t>
            </w:r>
          </w:p>
        </w:tc>
        <w:tc>
          <w:tcPr>
            <w:tcW w:w="1212" w:type="dxa"/>
            <w:tcBorders>
              <w:top w:val="nil"/>
              <w:left w:val="nil"/>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nil"/>
              <w:left w:val="nil"/>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开展全县奶牛、育肥猪、能繁母猪、羊承保工作</w:t>
            </w:r>
          </w:p>
        </w:tc>
      </w:tr>
      <w:tr>
        <w:tblPrEx>
          <w:tblCellMar>
            <w:top w:w="0" w:type="dxa"/>
            <w:left w:w="108" w:type="dxa"/>
            <w:bottom w:w="0" w:type="dxa"/>
            <w:right w:w="108" w:type="dxa"/>
          </w:tblCellMar>
        </w:tblPrEx>
        <w:trPr>
          <w:trHeight w:val="93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2217" w:type="dxa"/>
            <w:tcBorders>
              <w:top w:val="single" w:color="auto" w:sz="4" w:space="0"/>
              <w:left w:val="single" w:color="auto" w:sz="4" w:space="0"/>
              <w:bottom w:val="single" w:color="auto" w:sz="4" w:space="0"/>
              <w:right w:val="single" w:color="auto" w:sz="4" w:space="0"/>
            </w:tcBorders>
            <w:noWrap/>
            <w:vAlign w:val="center"/>
          </w:tcPr>
          <w:p>
            <w:pPr>
              <w:pStyle w:val="1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农业园区云南滇中数字化示范园项目</w:t>
            </w:r>
          </w:p>
        </w:tc>
        <w:tc>
          <w:tcPr>
            <w:tcW w:w="1134" w:type="dxa"/>
            <w:tcBorders>
              <w:top w:val="single" w:color="auto" w:sz="4" w:space="0"/>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5250</w:t>
            </w:r>
          </w:p>
        </w:tc>
        <w:tc>
          <w:tcPr>
            <w:tcW w:w="1212" w:type="dxa"/>
            <w:tcBorders>
              <w:top w:val="single" w:color="auto" w:sz="4" w:space="0"/>
              <w:left w:val="single" w:color="auto" w:sz="4" w:space="0"/>
              <w:bottom w:val="single" w:color="auto" w:sz="4" w:space="0"/>
              <w:right w:val="single" w:color="auto" w:sz="4" w:space="0"/>
            </w:tcBorders>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2025</w:t>
            </w:r>
          </w:p>
        </w:tc>
        <w:tc>
          <w:tcPr>
            <w:tcW w:w="4617" w:type="dxa"/>
            <w:tcBorders>
              <w:top w:val="single" w:color="auto" w:sz="4" w:space="0"/>
              <w:left w:val="single" w:color="auto" w:sz="4" w:space="0"/>
              <w:bottom w:val="single" w:color="auto" w:sz="4" w:space="0"/>
              <w:right w:val="single" w:color="auto" w:sz="4" w:space="0"/>
            </w:tcBorders>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用地面积</w:t>
            </w:r>
            <w:r>
              <w:rPr>
                <w:rFonts w:asciiTheme="minorEastAsia" w:hAnsiTheme="minorEastAsia" w:eastAsiaTheme="minorEastAsia"/>
                <w:sz w:val="21"/>
                <w:szCs w:val="21"/>
              </w:rPr>
              <w:t>63</w:t>
            </w:r>
            <w:r>
              <w:rPr>
                <w:rFonts w:hint="eastAsia" w:asciiTheme="minorEastAsia" w:hAnsiTheme="minorEastAsia" w:eastAsiaTheme="minorEastAsia"/>
                <w:sz w:val="21"/>
                <w:szCs w:val="21"/>
              </w:rPr>
              <w:t>亩，建设用地</w:t>
            </w:r>
            <w:r>
              <w:rPr>
                <w:rFonts w:asciiTheme="minorEastAsia" w:hAnsiTheme="minorEastAsia" w:eastAsiaTheme="minorEastAsia"/>
                <w:sz w:val="21"/>
                <w:szCs w:val="21"/>
              </w:rPr>
              <w:t>24</w:t>
            </w:r>
            <w:r>
              <w:rPr>
                <w:rFonts w:hint="eastAsia" w:asciiTheme="minorEastAsia" w:hAnsiTheme="minorEastAsia" w:eastAsiaTheme="minorEastAsia"/>
                <w:sz w:val="21"/>
                <w:szCs w:val="21"/>
              </w:rPr>
              <w:t>亩，建筑面积约</w:t>
            </w:r>
            <w:r>
              <w:rPr>
                <w:rFonts w:asciiTheme="minorEastAsia" w:hAnsiTheme="minorEastAsia" w:eastAsiaTheme="minorEastAsia"/>
                <w:sz w:val="21"/>
                <w:szCs w:val="21"/>
              </w:rPr>
              <w:t>11725</w:t>
            </w:r>
            <w:r>
              <w:rPr>
                <w:rFonts w:hint="eastAsia" w:asciiTheme="minorEastAsia" w:hAnsiTheme="minorEastAsia" w:eastAsiaTheme="minorEastAsia"/>
                <w:sz w:val="21"/>
                <w:szCs w:val="21"/>
              </w:rPr>
              <w:t>平方米，包括数字化展厅及温室种植室。</w:t>
            </w:r>
          </w:p>
        </w:tc>
      </w:tr>
      <w:tr>
        <w:tblPrEx>
          <w:tblCellMar>
            <w:top w:w="0" w:type="dxa"/>
            <w:left w:w="108" w:type="dxa"/>
            <w:bottom w:w="0" w:type="dxa"/>
            <w:right w:w="108" w:type="dxa"/>
          </w:tblCellMar>
        </w:tblPrEx>
        <w:trPr>
          <w:trHeight w:val="11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31</w:t>
            </w:r>
          </w:p>
        </w:tc>
        <w:tc>
          <w:tcPr>
            <w:tcW w:w="221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嵩明县高标准农田建设项目</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500</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2021.01-</w:t>
            </w:r>
          </w:p>
          <w:p>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t>2025.12</w:t>
            </w:r>
          </w:p>
        </w:tc>
        <w:tc>
          <w:tcPr>
            <w:tcW w:w="461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每年建设高标准农田</w:t>
            </w:r>
            <w:r>
              <w:rPr>
                <w:rFonts w:asciiTheme="minorEastAsia" w:hAnsiTheme="minorEastAsia" w:eastAsiaTheme="minorEastAsia"/>
                <w:sz w:val="21"/>
                <w:szCs w:val="21"/>
              </w:rPr>
              <w:t>1</w:t>
            </w:r>
            <w:r>
              <w:rPr>
                <w:rFonts w:hint="eastAsia" w:asciiTheme="minorEastAsia" w:hAnsiTheme="minorEastAsia" w:eastAsiaTheme="minorEastAsia"/>
                <w:sz w:val="21"/>
                <w:szCs w:val="21"/>
              </w:rPr>
              <w:t>万亩。主要是进行田间排灌沟渠、机耕路、提灌站、蓄水池、输水管道等农田设施建设。</w:t>
            </w:r>
          </w:p>
        </w:tc>
      </w:tr>
      <w:tr>
        <w:tblPrEx>
          <w:tblCellMar>
            <w:top w:w="0" w:type="dxa"/>
            <w:left w:w="108" w:type="dxa"/>
            <w:bottom w:w="0" w:type="dxa"/>
            <w:right w:w="108" w:type="dxa"/>
          </w:tblCellMar>
        </w:tblPrEx>
        <w:trPr>
          <w:trHeight w:val="11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w:t>
            </w:r>
          </w:p>
        </w:tc>
        <w:tc>
          <w:tcPr>
            <w:tcW w:w="221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扶贫项目</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3000</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2021</w:t>
            </w:r>
          </w:p>
        </w:tc>
        <w:tc>
          <w:tcPr>
            <w:tcW w:w="461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rPr>
                <w:rFonts w:asciiTheme="minorEastAsia" w:hAnsiTheme="minorEastAsia" w:eastAsiaTheme="minorEastAsia"/>
                <w:sz w:val="21"/>
                <w:szCs w:val="21"/>
              </w:rPr>
            </w:pPr>
            <w:r>
              <w:rPr>
                <w:rFonts w:hint="eastAsia" w:asciiTheme="minorEastAsia" w:hAnsiTheme="minorEastAsia" w:eastAsiaTheme="minorEastAsia"/>
                <w:sz w:val="21"/>
                <w:szCs w:val="21"/>
              </w:rPr>
              <w:t>基础设施建设、产业扶贫项目资金扶持</w:t>
            </w:r>
          </w:p>
        </w:tc>
      </w:tr>
    </w:tbl>
    <w:p>
      <w:pPr>
        <w:spacing w:line="360" w:lineRule="auto"/>
        <w:rPr>
          <w:rFonts w:ascii="宋体" w:cs="宋体"/>
          <w:color w:val="000000"/>
          <w:sz w:val="28"/>
          <w:szCs w:val="28"/>
          <w:shd w:val="clear" w:color="auto" w:fill="FFFFFF"/>
        </w:rPr>
        <w:sectPr>
          <w:pgSz w:w="11906" w:h="16838"/>
          <w:pgMar w:top="1417" w:right="1417" w:bottom="1417" w:left="1417" w:header="851" w:footer="992" w:gutter="0"/>
          <w:cols w:space="720" w:num="1"/>
          <w:docGrid w:type="lines" w:linePitch="312" w:charSpace="0"/>
        </w:sectPr>
      </w:pPr>
    </w:p>
    <w:p>
      <w:pPr>
        <w:spacing w:line="360" w:lineRule="auto"/>
        <w:rPr>
          <w:rFonts w:ascii="宋体" w:cs="宋体"/>
          <w:color w:val="000000"/>
          <w:sz w:val="28"/>
          <w:szCs w:val="28"/>
          <w:shd w:val="clear" w:color="auto" w:fill="FFFFFF"/>
        </w:rPr>
        <w:sectPr>
          <w:pgSz w:w="23757" w:h="16783" w:orient="landscape"/>
          <w:pgMar w:top="1134" w:right="1134" w:bottom="1134" w:left="1134" w:header="851" w:footer="992" w:gutter="0"/>
          <w:cols w:space="720" w:num="1"/>
          <w:docGrid w:type="lines" w:linePitch="312" w:charSpace="0"/>
        </w:sectPr>
      </w:pPr>
    </w:p>
    <w:p>
      <w:pPr>
        <w:pStyle w:val="3"/>
        <w:jc w:val="center"/>
        <w:rPr>
          <w:rFonts w:ascii="宋体" w:hAnsi="宋体" w:cs="宋体"/>
          <w:color w:val="000000"/>
          <w:szCs w:val="36"/>
        </w:rPr>
      </w:pPr>
      <w:bookmarkStart w:id="289" w:name="_Toc23786"/>
      <w:bookmarkStart w:id="290" w:name="_Toc74151053"/>
      <w:bookmarkStart w:id="291" w:name="_Toc20834"/>
      <w:bookmarkStart w:id="292" w:name="_Toc18138"/>
      <w:bookmarkStart w:id="293" w:name="_Toc15339"/>
      <w:r>
        <w:rPr>
          <w:rFonts w:hint="eastAsia" w:ascii="宋体" w:hAnsi="宋体" w:cs="宋体"/>
          <w:color w:val="000000"/>
          <w:szCs w:val="36"/>
        </w:rPr>
        <w:t>参考文件</w:t>
      </w:r>
      <w:bookmarkEnd w:id="289"/>
      <w:bookmarkEnd w:id="290"/>
      <w:bookmarkEnd w:id="291"/>
      <w:bookmarkEnd w:id="292"/>
      <w:bookmarkEnd w:id="293"/>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《中共中央关于制定国民经济和社会发展第十四个五年规划和二〇三五年远景目标的建议》</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《中共云南省委关于制定云南省国民经济和社会发展第十四个五年规划和二〇三五年远景目标的建议》</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《中共昆明市委关于制定昆明市国民经济和社会发展第十四个五年规划和二〇三五年远景目标的建议》</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《中共中央国务院关于推动高质量发展的意见》</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《中共中央国务院关于统一规划体系更好发挥国家发展规划战略导向作用的意见》</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《中共中央国务院关于建立更加有效的区域协调发展新机制的意见》</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《中共云南省委关于深入贯彻落实习近平总书记考察云南重要讲话精神闯出跨越式发展路子的决定》</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《关于全面深化改革扎实推进高原特色农业现代化的意见》</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《云南省高原特色现代农业产业发展规划（2016—2020年）》</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《昆明市国民经济和社会发展第十三个五年规划纲要》</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《云南省昆明都市型现代农业产业规划（</w:t>
      </w:r>
      <w:r>
        <w:rPr>
          <w:rFonts w:ascii="宋体" w:hAnsi="宋体" w:cs="宋体"/>
          <w:spacing w:val="8"/>
          <w:kern w:val="0"/>
          <w:sz w:val="28"/>
          <w:szCs w:val="28"/>
        </w:rPr>
        <w:t>2009—2020</w:t>
      </w:r>
      <w:r>
        <w:rPr>
          <w:rFonts w:hint="eastAsia" w:ascii="宋体" w:hAnsi="宋体" w:cs="宋体"/>
          <w:spacing w:val="8"/>
          <w:kern w:val="0"/>
          <w:sz w:val="28"/>
          <w:szCs w:val="28"/>
        </w:rPr>
        <w:t>）》</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《关于发展高原特色农业进一步增强农村发展活力的实施意见》</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《关于实施产业强市战略推进“</w:t>
      </w:r>
      <w:r>
        <w:rPr>
          <w:rFonts w:ascii="宋体" w:hAnsi="宋体" w:cs="宋体"/>
          <w:spacing w:val="8"/>
          <w:kern w:val="0"/>
          <w:sz w:val="28"/>
          <w:szCs w:val="28"/>
        </w:rPr>
        <w:t>8185</w:t>
      </w:r>
      <w:r>
        <w:rPr>
          <w:rFonts w:hint="eastAsia" w:ascii="宋体" w:hAnsi="宋体" w:cs="宋体"/>
          <w:spacing w:val="8"/>
          <w:kern w:val="0"/>
          <w:sz w:val="28"/>
          <w:szCs w:val="28"/>
        </w:rPr>
        <w:t>”产业培育提升计划的意见》</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《关于加大农村改革创新力度加快推进高原特色农业现代化的实施意见》</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《昆明市人民政府关于印发养殖水域滩涂规划（</w:t>
      </w:r>
      <w:r>
        <w:rPr>
          <w:rFonts w:ascii="宋体" w:hAnsi="宋体" w:cs="宋体"/>
          <w:spacing w:val="8"/>
          <w:kern w:val="0"/>
          <w:sz w:val="28"/>
          <w:szCs w:val="28"/>
        </w:rPr>
        <w:t>2018-2030</w:t>
      </w:r>
      <w:r>
        <w:rPr>
          <w:rFonts w:hint="eastAsia" w:ascii="宋体" w:hAnsi="宋体" w:cs="宋体"/>
          <w:spacing w:val="8"/>
          <w:kern w:val="0"/>
          <w:sz w:val="28"/>
          <w:szCs w:val="28"/>
        </w:rPr>
        <w:t>年）的通知》</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《嵩明县经济和社会发展“十四五”规划编制工作方案》</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《嵩明县乡村振兴战略规划（</w:t>
      </w:r>
      <w:r>
        <w:rPr>
          <w:rFonts w:ascii="宋体" w:hAnsi="宋体" w:cs="宋体"/>
          <w:spacing w:val="8"/>
          <w:kern w:val="0"/>
          <w:sz w:val="28"/>
          <w:szCs w:val="28"/>
        </w:rPr>
        <w:t>2018—2022</w:t>
      </w:r>
      <w:r>
        <w:rPr>
          <w:rFonts w:hint="eastAsia" w:ascii="宋体" w:hAnsi="宋体" w:cs="宋体"/>
          <w:spacing w:val="8"/>
          <w:kern w:val="0"/>
          <w:sz w:val="28"/>
          <w:szCs w:val="28"/>
        </w:rPr>
        <w:t>年）》</w:t>
      </w:r>
      <w:r>
        <w:rPr>
          <w:rFonts w:ascii="宋体" w:hAnsi="宋体" w:cs="宋体"/>
          <w:spacing w:val="8"/>
          <w:kern w:val="0"/>
          <w:sz w:val="28"/>
          <w:szCs w:val="28"/>
        </w:rPr>
        <w:t>(</w:t>
      </w:r>
      <w:r>
        <w:rPr>
          <w:rFonts w:hint="eastAsia" w:ascii="宋体" w:hAnsi="宋体" w:cs="宋体"/>
          <w:spacing w:val="8"/>
          <w:kern w:val="0"/>
          <w:sz w:val="28"/>
          <w:szCs w:val="28"/>
        </w:rPr>
        <w:t>嵩发〔</w:t>
      </w:r>
      <w:r>
        <w:rPr>
          <w:rFonts w:ascii="宋体" w:hAnsi="宋体" w:cs="宋体"/>
          <w:spacing w:val="8"/>
          <w:kern w:val="0"/>
          <w:sz w:val="28"/>
          <w:szCs w:val="28"/>
        </w:rPr>
        <w:t>2019</w:t>
      </w:r>
      <w:r>
        <w:rPr>
          <w:rFonts w:hint="eastAsia" w:ascii="宋体" w:hAnsi="宋体" w:cs="宋体"/>
          <w:spacing w:val="8"/>
          <w:kern w:val="0"/>
          <w:sz w:val="28"/>
          <w:szCs w:val="28"/>
        </w:rPr>
        <w:t>〕</w:t>
      </w:r>
      <w:r>
        <w:rPr>
          <w:rFonts w:ascii="宋体" w:hAnsi="宋体" w:cs="宋体"/>
          <w:spacing w:val="8"/>
          <w:kern w:val="0"/>
          <w:sz w:val="28"/>
          <w:szCs w:val="28"/>
        </w:rPr>
        <w:t>7</w:t>
      </w:r>
      <w:r>
        <w:rPr>
          <w:rFonts w:hint="eastAsia" w:ascii="宋体" w:hAnsi="宋体" w:cs="宋体"/>
          <w:spacing w:val="8"/>
          <w:kern w:val="0"/>
          <w:sz w:val="28"/>
          <w:szCs w:val="28"/>
        </w:rPr>
        <w:t>号）</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《国家粮食安全中长期规划纲要（2008-2020年）》</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《乡村振兴战略规划（2018－2022年）》</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《数字乡村发展战略纲要》</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《数字农业农村发展规划（2019—2025年）》</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《农业绿色发展技术导则（2018—2030年）》</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《云南省人民政府关于开展现代农业示范区建设促进优势特色产业发展的意见》</w:t>
      </w:r>
    </w:p>
    <w:p>
      <w:pPr>
        <w:widowControl/>
        <w:spacing w:line="360" w:lineRule="auto"/>
        <w:ind w:firstLine="592" w:firstLineChars="200"/>
        <w:rPr>
          <w:rFonts w:ascii="宋体" w:hAnsi="宋体" w:cs="宋体"/>
          <w:spacing w:val="8"/>
          <w:kern w:val="0"/>
          <w:sz w:val="28"/>
          <w:szCs w:val="28"/>
        </w:rPr>
      </w:pPr>
      <w:r>
        <w:rPr>
          <w:rFonts w:hint="eastAsia" w:ascii="宋体" w:hAnsi="宋体" w:cs="宋体"/>
          <w:spacing w:val="8"/>
          <w:kern w:val="0"/>
          <w:sz w:val="28"/>
          <w:szCs w:val="28"/>
        </w:rPr>
        <w:t>《云南省人民政府关于创建“一县一业”示范加快打造世界一流“绿色食品牌”的指导意见》</w:t>
      </w:r>
    </w:p>
    <w:p>
      <w:pPr>
        <w:pStyle w:val="25"/>
        <w:spacing w:after="0" w:line="360" w:lineRule="auto"/>
        <w:ind w:firstLine="560" w:firstLineChars="200"/>
        <w:rPr>
          <w:color w:val="000000"/>
          <w:kern w:val="2"/>
          <w:sz w:val="28"/>
          <w:szCs w:val="28"/>
        </w:rPr>
      </w:pPr>
      <w:r>
        <w:rPr>
          <w:rFonts w:hint="eastAsia"/>
          <w:kern w:val="2"/>
          <w:sz w:val="28"/>
          <w:szCs w:val="28"/>
        </w:rPr>
        <w:t>《昆明市人民政府关于推进“一县一业”打造世界一流“绿色食品牌”的指导意见》（昆政发[2020]33号）</w:t>
      </w:r>
    </w:p>
    <w:sectPr>
      <w:pgSz w:w="11907" w:h="16839"/>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93</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2555" cy="139700"/>
              <wp:effectExtent l="0" t="0" r="0" b="0"/>
              <wp:wrapNone/>
              <wp:docPr id="2"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22555" cy="139700"/>
                      </a:xfrm>
                      <a:prstGeom prst="rect">
                        <a:avLst/>
                      </a:prstGeom>
                      <a:noFill/>
                      <a:ln>
                        <a:noFill/>
                      </a:ln>
                      <a:effectLst/>
                    </wps:spPr>
                    <wps:txbx>
                      <w:txbxContent>
                        <w:p>
                          <w:pPr>
                            <w:pStyle w:val="18"/>
                          </w:pPr>
                          <w:r>
                            <w:fldChar w:fldCharType="begin"/>
                          </w:r>
                          <w:r>
                            <w:instrText xml:space="preserve"> PAGE  \* MERGEFORMAT </w:instrText>
                          </w:r>
                          <w:r>
                            <w:fldChar w:fldCharType="separate"/>
                          </w:r>
                          <w:r>
                            <w:t>VI</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1pt;width:9.65pt;mso-position-horizontal:center;mso-position-horizontal-relative:margin;mso-wrap-style:none;z-index:251660288;mso-width-relative:page;mso-height-relative:page;" filled="f" stroked="f" coordsize="21600,21600" o:gfxdata="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&#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0yMV0AAAAAMBAAAPAAAAAAAAAAEAIAAAACIAAABk&#10;cnMvZG93bnJldi54bWxQSwECFAAUAAAACACHTuJAWAv2Fw4CAAARBAAADgAAAAAAAAABACAAAAAf&#10;AQAAZHJzL2Uyb0RvYy54bWxQSwUGAAAAAAYABgBZAQAAn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VI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8"/>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YulhTQAAAAAwEAAA8AAAAAAAAAAQAgAAAAIgAAAGRy&#10;cy9kb3ducmV2LnhtbFBLAQIUABQAAAAIAIdO4kAxLHdRDQIAABAEAAAOAAAAAAAAAAEAIAAAAB8B&#10;AABkcnMvZTJvRG9jLnhtbFBLBQYAAAAABgAGAFkBAACe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76CCC"/>
    <w:multiLevelType w:val="singleLevel"/>
    <w:tmpl w:val="1E376C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006A1760"/>
    <w:rsid w:val="000005DA"/>
    <w:rsid w:val="0000064B"/>
    <w:rsid w:val="000016AD"/>
    <w:rsid w:val="0000279C"/>
    <w:rsid w:val="0000669D"/>
    <w:rsid w:val="000069B4"/>
    <w:rsid w:val="000120E5"/>
    <w:rsid w:val="00016336"/>
    <w:rsid w:val="0001720A"/>
    <w:rsid w:val="00017ABD"/>
    <w:rsid w:val="00020775"/>
    <w:rsid w:val="000208DD"/>
    <w:rsid w:val="000218FE"/>
    <w:rsid w:val="00022170"/>
    <w:rsid w:val="00022478"/>
    <w:rsid w:val="00023149"/>
    <w:rsid w:val="00024E7F"/>
    <w:rsid w:val="00025E6C"/>
    <w:rsid w:val="00026087"/>
    <w:rsid w:val="00026B4C"/>
    <w:rsid w:val="0003005D"/>
    <w:rsid w:val="000313B9"/>
    <w:rsid w:val="0003168D"/>
    <w:rsid w:val="00032482"/>
    <w:rsid w:val="00032E0F"/>
    <w:rsid w:val="00033795"/>
    <w:rsid w:val="00037BBC"/>
    <w:rsid w:val="00044140"/>
    <w:rsid w:val="00044C59"/>
    <w:rsid w:val="00045C18"/>
    <w:rsid w:val="000465F6"/>
    <w:rsid w:val="000524F5"/>
    <w:rsid w:val="00054928"/>
    <w:rsid w:val="00055694"/>
    <w:rsid w:val="00055E68"/>
    <w:rsid w:val="00056A85"/>
    <w:rsid w:val="00056B54"/>
    <w:rsid w:val="00060EA2"/>
    <w:rsid w:val="00062AF3"/>
    <w:rsid w:val="000632D3"/>
    <w:rsid w:val="00063732"/>
    <w:rsid w:val="000639A4"/>
    <w:rsid w:val="00064875"/>
    <w:rsid w:val="00065110"/>
    <w:rsid w:val="00065AFD"/>
    <w:rsid w:val="00067C7E"/>
    <w:rsid w:val="00072808"/>
    <w:rsid w:val="00080B96"/>
    <w:rsid w:val="00082CFA"/>
    <w:rsid w:val="00083987"/>
    <w:rsid w:val="00083AAE"/>
    <w:rsid w:val="00085642"/>
    <w:rsid w:val="000862E7"/>
    <w:rsid w:val="00093706"/>
    <w:rsid w:val="0009393E"/>
    <w:rsid w:val="000A0A9E"/>
    <w:rsid w:val="000A2DF8"/>
    <w:rsid w:val="000A3EB4"/>
    <w:rsid w:val="000A438A"/>
    <w:rsid w:val="000A465D"/>
    <w:rsid w:val="000A50A1"/>
    <w:rsid w:val="000A645C"/>
    <w:rsid w:val="000A71E0"/>
    <w:rsid w:val="000A7A1F"/>
    <w:rsid w:val="000A7BE9"/>
    <w:rsid w:val="000B05F5"/>
    <w:rsid w:val="000B0768"/>
    <w:rsid w:val="000B41DF"/>
    <w:rsid w:val="000B48EE"/>
    <w:rsid w:val="000B4B56"/>
    <w:rsid w:val="000B5D19"/>
    <w:rsid w:val="000B7D88"/>
    <w:rsid w:val="000C030B"/>
    <w:rsid w:val="000C1372"/>
    <w:rsid w:val="000C1D0B"/>
    <w:rsid w:val="000C23A1"/>
    <w:rsid w:val="000C25EF"/>
    <w:rsid w:val="000C30FF"/>
    <w:rsid w:val="000C4775"/>
    <w:rsid w:val="000D0112"/>
    <w:rsid w:val="000D1989"/>
    <w:rsid w:val="000D26EA"/>
    <w:rsid w:val="000D2FD5"/>
    <w:rsid w:val="000D3207"/>
    <w:rsid w:val="000D353E"/>
    <w:rsid w:val="000D38DE"/>
    <w:rsid w:val="000D5D8B"/>
    <w:rsid w:val="000E1089"/>
    <w:rsid w:val="000E14EF"/>
    <w:rsid w:val="000E2207"/>
    <w:rsid w:val="000E2CD6"/>
    <w:rsid w:val="000E44AB"/>
    <w:rsid w:val="000E4770"/>
    <w:rsid w:val="000E579C"/>
    <w:rsid w:val="000E6FBA"/>
    <w:rsid w:val="000E73BE"/>
    <w:rsid w:val="000E7808"/>
    <w:rsid w:val="000F199A"/>
    <w:rsid w:val="000F1F23"/>
    <w:rsid w:val="000F26AF"/>
    <w:rsid w:val="000F64D6"/>
    <w:rsid w:val="000F6CDF"/>
    <w:rsid w:val="000F7B20"/>
    <w:rsid w:val="001014D6"/>
    <w:rsid w:val="00103F2D"/>
    <w:rsid w:val="00105111"/>
    <w:rsid w:val="00106D2F"/>
    <w:rsid w:val="00106EF9"/>
    <w:rsid w:val="00111650"/>
    <w:rsid w:val="00112300"/>
    <w:rsid w:val="0011274A"/>
    <w:rsid w:val="00112B90"/>
    <w:rsid w:val="001160B4"/>
    <w:rsid w:val="0011636F"/>
    <w:rsid w:val="001200B9"/>
    <w:rsid w:val="00124178"/>
    <w:rsid w:val="0012570B"/>
    <w:rsid w:val="00125773"/>
    <w:rsid w:val="00125C9A"/>
    <w:rsid w:val="00126FA9"/>
    <w:rsid w:val="001304E7"/>
    <w:rsid w:val="0013088D"/>
    <w:rsid w:val="00131013"/>
    <w:rsid w:val="00131AAD"/>
    <w:rsid w:val="001341ED"/>
    <w:rsid w:val="001345F1"/>
    <w:rsid w:val="00134EA0"/>
    <w:rsid w:val="001374C4"/>
    <w:rsid w:val="0014035A"/>
    <w:rsid w:val="00140450"/>
    <w:rsid w:val="001408B5"/>
    <w:rsid w:val="00141C11"/>
    <w:rsid w:val="001422E2"/>
    <w:rsid w:val="00143B68"/>
    <w:rsid w:val="00146646"/>
    <w:rsid w:val="001474AA"/>
    <w:rsid w:val="001475C6"/>
    <w:rsid w:val="0014780E"/>
    <w:rsid w:val="00147830"/>
    <w:rsid w:val="00151120"/>
    <w:rsid w:val="00151233"/>
    <w:rsid w:val="00153C7A"/>
    <w:rsid w:val="00156BAE"/>
    <w:rsid w:val="00160442"/>
    <w:rsid w:val="00160B13"/>
    <w:rsid w:val="00162177"/>
    <w:rsid w:val="001625DA"/>
    <w:rsid w:val="001649A4"/>
    <w:rsid w:val="0016608D"/>
    <w:rsid w:val="00166306"/>
    <w:rsid w:val="00170494"/>
    <w:rsid w:val="00171C6B"/>
    <w:rsid w:val="001725E2"/>
    <w:rsid w:val="0017282A"/>
    <w:rsid w:val="00172EE9"/>
    <w:rsid w:val="00173DB9"/>
    <w:rsid w:val="00174D72"/>
    <w:rsid w:val="001768EC"/>
    <w:rsid w:val="00176BD0"/>
    <w:rsid w:val="00181418"/>
    <w:rsid w:val="00181AD2"/>
    <w:rsid w:val="0018225A"/>
    <w:rsid w:val="00182484"/>
    <w:rsid w:val="001824BD"/>
    <w:rsid w:val="001826EE"/>
    <w:rsid w:val="00182851"/>
    <w:rsid w:val="00182C17"/>
    <w:rsid w:val="00185377"/>
    <w:rsid w:val="001862F6"/>
    <w:rsid w:val="00190DFE"/>
    <w:rsid w:val="00194AD7"/>
    <w:rsid w:val="00195751"/>
    <w:rsid w:val="001966D0"/>
    <w:rsid w:val="00196AA3"/>
    <w:rsid w:val="00197D18"/>
    <w:rsid w:val="001A2687"/>
    <w:rsid w:val="001A2D8B"/>
    <w:rsid w:val="001A4ABC"/>
    <w:rsid w:val="001A59CA"/>
    <w:rsid w:val="001A64CE"/>
    <w:rsid w:val="001A7D65"/>
    <w:rsid w:val="001B0042"/>
    <w:rsid w:val="001B0F71"/>
    <w:rsid w:val="001B1447"/>
    <w:rsid w:val="001B371B"/>
    <w:rsid w:val="001B50FB"/>
    <w:rsid w:val="001B56B3"/>
    <w:rsid w:val="001B5CDA"/>
    <w:rsid w:val="001B63DF"/>
    <w:rsid w:val="001C151F"/>
    <w:rsid w:val="001C197F"/>
    <w:rsid w:val="001C1BA2"/>
    <w:rsid w:val="001C3EEA"/>
    <w:rsid w:val="001C4430"/>
    <w:rsid w:val="001C4481"/>
    <w:rsid w:val="001C5921"/>
    <w:rsid w:val="001C65AF"/>
    <w:rsid w:val="001C685C"/>
    <w:rsid w:val="001D054B"/>
    <w:rsid w:val="001D0670"/>
    <w:rsid w:val="001D1160"/>
    <w:rsid w:val="001D3421"/>
    <w:rsid w:val="001D3743"/>
    <w:rsid w:val="001D4EFF"/>
    <w:rsid w:val="001D5270"/>
    <w:rsid w:val="001D6199"/>
    <w:rsid w:val="001D6347"/>
    <w:rsid w:val="001D6802"/>
    <w:rsid w:val="001D7009"/>
    <w:rsid w:val="001D7BF7"/>
    <w:rsid w:val="001E0BE1"/>
    <w:rsid w:val="001E28DD"/>
    <w:rsid w:val="001E3BBE"/>
    <w:rsid w:val="001E4CA4"/>
    <w:rsid w:val="001E534F"/>
    <w:rsid w:val="001E5563"/>
    <w:rsid w:val="001E6B0A"/>
    <w:rsid w:val="001E6CAB"/>
    <w:rsid w:val="001E7319"/>
    <w:rsid w:val="001E755E"/>
    <w:rsid w:val="001E7A43"/>
    <w:rsid w:val="001E7C0F"/>
    <w:rsid w:val="001F0386"/>
    <w:rsid w:val="001F1E94"/>
    <w:rsid w:val="001F214C"/>
    <w:rsid w:val="001F3D59"/>
    <w:rsid w:val="001F424A"/>
    <w:rsid w:val="001F4B6B"/>
    <w:rsid w:val="001F58B1"/>
    <w:rsid w:val="001F68D3"/>
    <w:rsid w:val="001F6ACE"/>
    <w:rsid w:val="001F7894"/>
    <w:rsid w:val="001F793C"/>
    <w:rsid w:val="00200E6C"/>
    <w:rsid w:val="00201392"/>
    <w:rsid w:val="00201636"/>
    <w:rsid w:val="0020264C"/>
    <w:rsid w:val="00202CC1"/>
    <w:rsid w:val="002048FD"/>
    <w:rsid w:val="00207CE6"/>
    <w:rsid w:val="00207EEC"/>
    <w:rsid w:val="00211001"/>
    <w:rsid w:val="00211394"/>
    <w:rsid w:val="00211586"/>
    <w:rsid w:val="00212B8D"/>
    <w:rsid w:val="00213EFF"/>
    <w:rsid w:val="002141FF"/>
    <w:rsid w:val="002142DD"/>
    <w:rsid w:val="00215242"/>
    <w:rsid w:val="00215C68"/>
    <w:rsid w:val="00220935"/>
    <w:rsid w:val="00222108"/>
    <w:rsid w:val="00222C22"/>
    <w:rsid w:val="00222D6C"/>
    <w:rsid w:val="00224158"/>
    <w:rsid w:val="002244A1"/>
    <w:rsid w:val="00224D6D"/>
    <w:rsid w:val="00224F92"/>
    <w:rsid w:val="002347FA"/>
    <w:rsid w:val="00234E72"/>
    <w:rsid w:val="00234F5A"/>
    <w:rsid w:val="002365D7"/>
    <w:rsid w:val="002403A5"/>
    <w:rsid w:val="00240BB9"/>
    <w:rsid w:val="00243A33"/>
    <w:rsid w:val="0024527F"/>
    <w:rsid w:val="00245744"/>
    <w:rsid w:val="0024606F"/>
    <w:rsid w:val="002470A1"/>
    <w:rsid w:val="00255443"/>
    <w:rsid w:val="00255DBF"/>
    <w:rsid w:val="0025757A"/>
    <w:rsid w:val="00257A94"/>
    <w:rsid w:val="00260696"/>
    <w:rsid w:val="0026152F"/>
    <w:rsid w:val="00261FF7"/>
    <w:rsid w:val="00265135"/>
    <w:rsid w:val="00266042"/>
    <w:rsid w:val="002662E5"/>
    <w:rsid w:val="00266BA7"/>
    <w:rsid w:val="00272AD1"/>
    <w:rsid w:val="002731B4"/>
    <w:rsid w:val="00273D47"/>
    <w:rsid w:val="0028005E"/>
    <w:rsid w:val="00280A39"/>
    <w:rsid w:val="00282B2F"/>
    <w:rsid w:val="0028520E"/>
    <w:rsid w:val="00286145"/>
    <w:rsid w:val="00286510"/>
    <w:rsid w:val="0028755D"/>
    <w:rsid w:val="00287D18"/>
    <w:rsid w:val="002902F6"/>
    <w:rsid w:val="00291348"/>
    <w:rsid w:val="00291A1C"/>
    <w:rsid w:val="00292E6F"/>
    <w:rsid w:val="00294A37"/>
    <w:rsid w:val="002A4568"/>
    <w:rsid w:val="002A51C6"/>
    <w:rsid w:val="002A5230"/>
    <w:rsid w:val="002A588D"/>
    <w:rsid w:val="002A6209"/>
    <w:rsid w:val="002B0A43"/>
    <w:rsid w:val="002B0DC6"/>
    <w:rsid w:val="002B13F1"/>
    <w:rsid w:val="002B223F"/>
    <w:rsid w:val="002B3DC0"/>
    <w:rsid w:val="002B3EC8"/>
    <w:rsid w:val="002B456A"/>
    <w:rsid w:val="002B5678"/>
    <w:rsid w:val="002B5DFD"/>
    <w:rsid w:val="002B6CCF"/>
    <w:rsid w:val="002B7B24"/>
    <w:rsid w:val="002B7E95"/>
    <w:rsid w:val="002C05A7"/>
    <w:rsid w:val="002C09CA"/>
    <w:rsid w:val="002C16BB"/>
    <w:rsid w:val="002C2B24"/>
    <w:rsid w:val="002C3015"/>
    <w:rsid w:val="002C657E"/>
    <w:rsid w:val="002C6AEC"/>
    <w:rsid w:val="002C6F49"/>
    <w:rsid w:val="002C748F"/>
    <w:rsid w:val="002C7B46"/>
    <w:rsid w:val="002D006C"/>
    <w:rsid w:val="002D0FE5"/>
    <w:rsid w:val="002D13D2"/>
    <w:rsid w:val="002D1CC6"/>
    <w:rsid w:val="002D2C10"/>
    <w:rsid w:val="002D2C96"/>
    <w:rsid w:val="002D3454"/>
    <w:rsid w:val="002D4E2B"/>
    <w:rsid w:val="002D63E9"/>
    <w:rsid w:val="002E1CBE"/>
    <w:rsid w:val="002E2365"/>
    <w:rsid w:val="002E31BF"/>
    <w:rsid w:val="002E3C3B"/>
    <w:rsid w:val="002E43A1"/>
    <w:rsid w:val="002E5CEA"/>
    <w:rsid w:val="002F300B"/>
    <w:rsid w:val="002F3557"/>
    <w:rsid w:val="002F3660"/>
    <w:rsid w:val="002F5056"/>
    <w:rsid w:val="002F5A5F"/>
    <w:rsid w:val="002F626B"/>
    <w:rsid w:val="002F725D"/>
    <w:rsid w:val="003022F1"/>
    <w:rsid w:val="003039DB"/>
    <w:rsid w:val="00305B16"/>
    <w:rsid w:val="00305CFB"/>
    <w:rsid w:val="00307992"/>
    <w:rsid w:val="00307D34"/>
    <w:rsid w:val="00310AE9"/>
    <w:rsid w:val="00311280"/>
    <w:rsid w:val="00312352"/>
    <w:rsid w:val="003124EA"/>
    <w:rsid w:val="00313D66"/>
    <w:rsid w:val="00313DAC"/>
    <w:rsid w:val="0031430D"/>
    <w:rsid w:val="0031472E"/>
    <w:rsid w:val="00314EC5"/>
    <w:rsid w:val="00316769"/>
    <w:rsid w:val="00317E8D"/>
    <w:rsid w:val="00320482"/>
    <w:rsid w:val="00320B04"/>
    <w:rsid w:val="00320BEE"/>
    <w:rsid w:val="0032127A"/>
    <w:rsid w:val="003225C6"/>
    <w:rsid w:val="0032464B"/>
    <w:rsid w:val="00324E4C"/>
    <w:rsid w:val="00325B36"/>
    <w:rsid w:val="00325BBC"/>
    <w:rsid w:val="00326905"/>
    <w:rsid w:val="0033043D"/>
    <w:rsid w:val="00330CA3"/>
    <w:rsid w:val="00333873"/>
    <w:rsid w:val="0033440F"/>
    <w:rsid w:val="00334887"/>
    <w:rsid w:val="003353F1"/>
    <w:rsid w:val="003356BC"/>
    <w:rsid w:val="00341AE4"/>
    <w:rsid w:val="0034496C"/>
    <w:rsid w:val="00346772"/>
    <w:rsid w:val="003472AD"/>
    <w:rsid w:val="00350C1F"/>
    <w:rsid w:val="00352CD6"/>
    <w:rsid w:val="0035381A"/>
    <w:rsid w:val="00362097"/>
    <w:rsid w:val="00362E39"/>
    <w:rsid w:val="00366264"/>
    <w:rsid w:val="003670D0"/>
    <w:rsid w:val="00367AAD"/>
    <w:rsid w:val="00370A45"/>
    <w:rsid w:val="00372A12"/>
    <w:rsid w:val="00374F99"/>
    <w:rsid w:val="003755CB"/>
    <w:rsid w:val="00375863"/>
    <w:rsid w:val="003761BA"/>
    <w:rsid w:val="00376C05"/>
    <w:rsid w:val="003775C2"/>
    <w:rsid w:val="00377F28"/>
    <w:rsid w:val="00380F6B"/>
    <w:rsid w:val="00381C0C"/>
    <w:rsid w:val="003825AC"/>
    <w:rsid w:val="00384194"/>
    <w:rsid w:val="00384F96"/>
    <w:rsid w:val="003862AD"/>
    <w:rsid w:val="003866CB"/>
    <w:rsid w:val="0039051B"/>
    <w:rsid w:val="00392197"/>
    <w:rsid w:val="00392B06"/>
    <w:rsid w:val="00392BF5"/>
    <w:rsid w:val="00393157"/>
    <w:rsid w:val="003939DB"/>
    <w:rsid w:val="00395011"/>
    <w:rsid w:val="00395403"/>
    <w:rsid w:val="003958DD"/>
    <w:rsid w:val="00396CB9"/>
    <w:rsid w:val="003A0134"/>
    <w:rsid w:val="003A08E4"/>
    <w:rsid w:val="003A0F02"/>
    <w:rsid w:val="003A1145"/>
    <w:rsid w:val="003A4060"/>
    <w:rsid w:val="003A523B"/>
    <w:rsid w:val="003A5283"/>
    <w:rsid w:val="003A537C"/>
    <w:rsid w:val="003A5E36"/>
    <w:rsid w:val="003A70DB"/>
    <w:rsid w:val="003A7D0D"/>
    <w:rsid w:val="003B017D"/>
    <w:rsid w:val="003B2ECB"/>
    <w:rsid w:val="003B344A"/>
    <w:rsid w:val="003B482A"/>
    <w:rsid w:val="003B558A"/>
    <w:rsid w:val="003B59EF"/>
    <w:rsid w:val="003B6280"/>
    <w:rsid w:val="003B755F"/>
    <w:rsid w:val="003C4F01"/>
    <w:rsid w:val="003C5467"/>
    <w:rsid w:val="003C5CE2"/>
    <w:rsid w:val="003C692D"/>
    <w:rsid w:val="003C7388"/>
    <w:rsid w:val="003C7CC1"/>
    <w:rsid w:val="003D0AEF"/>
    <w:rsid w:val="003D1CE5"/>
    <w:rsid w:val="003D3F9A"/>
    <w:rsid w:val="003D5A81"/>
    <w:rsid w:val="003D6249"/>
    <w:rsid w:val="003D6D55"/>
    <w:rsid w:val="003D75EB"/>
    <w:rsid w:val="003E2D9D"/>
    <w:rsid w:val="003E32BF"/>
    <w:rsid w:val="003E352A"/>
    <w:rsid w:val="003E45CE"/>
    <w:rsid w:val="003E5B22"/>
    <w:rsid w:val="003E5D4E"/>
    <w:rsid w:val="003E67F8"/>
    <w:rsid w:val="003E683C"/>
    <w:rsid w:val="003E6D55"/>
    <w:rsid w:val="003F021D"/>
    <w:rsid w:val="003F232F"/>
    <w:rsid w:val="003F4864"/>
    <w:rsid w:val="003F679B"/>
    <w:rsid w:val="003F6C7D"/>
    <w:rsid w:val="003F7687"/>
    <w:rsid w:val="00400794"/>
    <w:rsid w:val="00401B7A"/>
    <w:rsid w:val="00404238"/>
    <w:rsid w:val="00405535"/>
    <w:rsid w:val="0040588C"/>
    <w:rsid w:val="00406308"/>
    <w:rsid w:val="004070C4"/>
    <w:rsid w:val="00410340"/>
    <w:rsid w:val="004117CF"/>
    <w:rsid w:val="0041214A"/>
    <w:rsid w:val="0041271F"/>
    <w:rsid w:val="00414163"/>
    <w:rsid w:val="00414564"/>
    <w:rsid w:val="00415916"/>
    <w:rsid w:val="00416A46"/>
    <w:rsid w:val="00416FE7"/>
    <w:rsid w:val="004172F2"/>
    <w:rsid w:val="00420E40"/>
    <w:rsid w:val="00420E46"/>
    <w:rsid w:val="00421FF9"/>
    <w:rsid w:val="0042297A"/>
    <w:rsid w:val="00422A63"/>
    <w:rsid w:val="00423844"/>
    <w:rsid w:val="00425207"/>
    <w:rsid w:val="00425316"/>
    <w:rsid w:val="00426314"/>
    <w:rsid w:val="00430F00"/>
    <w:rsid w:val="0043120D"/>
    <w:rsid w:val="004326BD"/>
    <w:rsid w:val="00434E2D"/>
    <w:rsid w:val="00437F56"/>
    <w:rsid w:val="00442307"/>
    <w:rsid w:val="004440E9"/>
    <w:rsid w:val="0044465F"/>
    <w:rsid w:val="00445658"/>
    <w:rsid w:val="00450FF9"/>
    <w:rsid w:val="00451E7F"/>
    <w:rsid w:val="0046011D"/>
    <w:rsid w:val="00461055"/>
    <w:rsid w:val="00462EF0"/>
    <w:rsid w:val="004645CA"/>
    <w:rsid w:val="00467107"/>
    <w:rsid w:val="00471B0C"/>
    <w:rsid w:val="00472AC5"/>
    <w:rsid w:val="00473408"/>
    <w:rsid w:val="00473490"/>
    <w:rsid w:val="004772F6"/>
    <w:rsid w:val="00477BE0"/>
    <w:rsid w:val="004801FB"/>
    <w:rsid w:val="00481555"/>
    <w:rsid w:val="0048288B"/>
    <w:rsid w:val="004833EC"/>
    <w:rsid w:val="00483B63"/>
    <w:rsid w:val="004869FF"/>
    <w:rsid w:val="00486A1E"/>
    <w:rsid w:val="00491AED"/>
    <w:rsid w:val="0049216C"/>
    <w:rsid w:val="00493E71"/>
    <w:rsid w:val="00494BB4"/>
    <w:rsid w:val="004951FD"/>
    <w:rsid w:val="00495860"/>
    <w:rsid w:val="00496A93"/>
    <w:rsid w:val="00496DCD"/>
    <w:rsid w:val="00497521"/>
    <w:rsid w:val="004A028A"/>
    <w:rsid w:val="004A1401"/>
    <w:rsid w:val="004A2221"/>
    <w:rsid w:val="004A2884"/>
    <w:rsid w:val="004A39CE"/>
    <w:rsid w:val="004A48B7"/>
    <w:rsid w:val="004A5A6D"/>
    <w:rsid w:val="004B02F9"/>
    <w:rsid w:val="004B11B7"/>
    <w:rsid w:val="004B1413"/>
    <w:rsid w:val="004B182A"/>
    <w:rsid w:val="004B2049"/>
    <w:rsid w:val="004B23D7"/>
    <w:rsid w:val="004B2612"/>
    <w:rsid w:val="004B5F16"/>
    <w:rsid w:val="004B64B0"/>
    <w:rsid w:val="004B7B36"/>
    <w:rsid w:val="004C06CE"/>
    <w:rsid w:val="004C3E31"/>
    <w:rsid w:val="004C40FB"/>
    <w:rsid w:val="004C4801"/>
    <w:rsid w:val="004C5961"/>
    <w:rsid w:val="004C5ACF"/>
    <w:rsid w:val="004C6E76"/>
    <w:rsid w:val="004D1D0F"/>
    <w:rsid w:val="004D1D61"/>
    <w:rsid w:val="004D1D68"/>
    <w:rsid w:val="004D1D8B"/>
    <w:rsid w:val="004D4187"/>
    <w:rsid w:val="004D4642"/>
    <w:rsid w:val="004D6669"/>
    <w:rsid w:val="004D7898"/>
    <w:rsid w:val="004D79EC"/>
    <w:rsid w:val="004E4A0F"/>
    <w:rsid w:val="004E5915"/>
    <w:rsid w:val="004F1873"/>
    <w:rsid w:val="004F24EE"/>
    <w:rsid w:val="004F3ADA"/>
    <w:rsid w:val="004F4100"/>
    <w:rsid w:val="004F45A6"/>
    <w:rsid w:val="004F5EDC"/>
    <w:rsid w:val="004F68F9"/>
    <w:rsid w:val="004F6C16"/>
    <w:rsid w:val="00500050"/>
    <w:rsid w:val="0050062D"/>
    <w:rsid w:val="005007AE"/>
    <w:rsid w:val="0050093D"/>
    <w:rsid w:val="00501068"/>
    <w:rsid w:val="00503F28"/>
    <w:rsid w:val="005049E8"/>
    <w:rsid w:val="00504D7A"/>
    <w:rsid w:val="005054F6"/>
    <w:rsid w:val="00505B64"/>
    <w:rsid w:val="00506192"/>
    <w:rsid w:val="005079E7"/>
    <w:rsid w:val="00511D6C"/>
    <w:rsid w:val="005124C3"/>
    <w:rsid w:val="00512D73"/>
    <w:rsid w:val="00513F6E"/>
    <w:rsid w:val="0051407C"/>
    <w:rsid w:val="00516445"/>
    <w:rsid w:val="00516B42"/>
    <w:rsid w:val="00516B96"/>
    <w:rsid w:val="0052032F"/>
    <w:rsid w:val="005222B9"/>
    <w:rsid w:val="00522438"/>
    <w:rsid w:val="00523A1A"/>
    <w:rsid w:val="00525009"/>
    <w:rsid w:val="005254C3"/>
    <w:rsid w:val="00525D58"/>
    <w:rsid w:val="0052645F"/>
    <w:rsid w:val="00527F6D"/>
    <w:rsid w:val="00530CC7"/>
    <w:rsid w:val="00532075"/>
    <w:rsid w:val="00532AB1"/>
    <w:rsid w:val="00532C28"/>
    <w:rsid w:val="0053333F"/>
    <w:rsid w:val="00534AC5"/>
    <w:rsid w:val="00534CB5"/>
    <w:rsid w:val="00535324"/>
    <w:rsid w:val="0053588F"/>
    <w:rsid w:val="0053590C"/>
    <w:rsid w:val="00537C3D"/>
    <w:rsid w:val="00540B0D"/>
    <w:rsid w:val="00541230"/>
    <w:rsid w:val="00541682"/>
    <w:rsid w:val="00541B7A"/>
    <w:rsid w:val="00541D27"/>
    <w:rsid w:val="00542205"/>
    <w:rsid w:val="00544C92"/>
    <w:rsid w:val="00544FC3"/>
    <w:rsid w:val="00545833"/>
    <w:rsid w:val="00546FDC"/>
    <w:rsid w:val="0054735C"/>
    <w:rsid w:val="00547A81"/>
    <w:rsid w:val="005506BF"/>
    <w:rsid w:val="00552580"/>
    <w:rsid w:val="00552FBB"/>
    <w:rsid w:val="00553673"/>
    <w:rsid w:val="00554954"/>
    <w:rsid w:val="00555F3E"/>
    <w:rsid w:val="005566F4"/>
    <w:rsid w:val="00556AEA"/>
    <w:rsid w:val="00557119"/>
    <w:rsid w:val="00557996"/>
    <w:rsid w:val="00557DC4"/>
    <w:rsid w:val="005635B4"/>
    <w:rsid w:val="00565FE9"/>
    <w:rsid w:val="00566446"/>
    <w:rsid w:val="00566BC1"/>
    <w:rsid w:val="00570A0D"/>
    <w:rsid w:val="0057161D"/>
    <w:rsid w:val="00571958"/>
    <w:rsid w:val="00571AC8"/>
    <w:rsid w:val="0057470B"/>
    <w:rsid w:val="005748DC"/>
    <w:rsid w:val="00576825"/>
    <w:rsid w:val="00576DF3"/>
    <w:rsid w:val="00576E94"/>
    <w:rsid w:val="00580C47"/>
    <w:rsid w:val="005832F9"/>
    <w:rsid w:val="00584E9E"/>
    <w:rsid w:val="00584EDB"/>
    <w:rsid w:val="005906F2"/>
    <w:rsid w:val="00590EF7"/>
    <w:rsid w:val="005916BF"/>
    <w:rsid w:val="00591817"/>
    <w:rsid w:val="0059277F"/>
    <w:rsid w:val="005954B9"/>
    <w:rsid w:val="005961E6"/>
    <w:rsid w:val="005A23A9"/>
    <w:rsid w:val="005A25FD"/>
    <w:rsid w:val="005A3BB9"/>
    <w:rsid w:val="005A3F37"/>
    <w:rsid w:val="005A51F8"/>
    <w:rsid w:val="005A6BF7"/>
    <w:rsid w:val="005A6F5A"/>
    <w:rsid w:val="005A708C"/>
    <w:rsid w:val="005B0BFD"/>
    <w:rsid w:val="005B2C1E"/>
    <w:rsid w:val="005B362F"/>
    <w:rsid w:val="005B372D"/>
    <w:rsid w:val="005B4BB8"/>
    <w:rsid w:val="005B5893"/>
    <w:rsid w:val="005B755C"/>
    <w:rsid w:val="005B7B6F"/>
    <w:rsid w:val="005C1475"/>
    <w:rsid w:val="005C41CC"/>
    <w:rsid w:val="005C4E14"/>
    <w:rsid w:val="005C54F9"/>
    <w:rsid w:val="005C563F"/>
    <w:rsid w:val="005C64B7"/>
    <w:rsid w:val="005D2E04"/>
    <w:rsid w:val="005D3362"/>
    <w:rsid w:val="005D353E"/>
    <w:rsid w:val="005D3D03"/>
    <w:rsid w:val="005D5A4A"/>
    <w:rsid w:val="005D7707"/>
    <w:rsid w:val="005E0201"/>
    <w:rsid w:val="005E040A"/>
    <w:rsid w:val="005E3577"/>
    <w:rsid w:val="005E50BA"/>
    <w:rsid w:val="005E6277"/>
    <w:rsid w:val="005F1003"/>
    <w:rsid w:val="005F14D4"/>
    <w:rsid w:val="005F159E"/>
    <w:rsid w:val="005F1AF1"/>
    <w:rsid w:val="005F467D"/>
    <w:rsid w:val="00600A9C"/>
    <w:rsid w:val="00600F65"/>
    <w:rsid w:val="00601D45"/>
    <w:rsid w:val="00601E74"/>
    <w:rsid w:val="00603A5B"/>
    <w:rsid w:val="00603B09"/>
    <w:rsid w:val="006046A1"/>
    <w:rsid w:val="0060630D"/>
    <w:rsid w:val="0060646C"/>
    <w:rsid w:val="00607160"/>
    <w:rsid w:val="00607232"/>
    <w:rsid w:val="00607C4F"/>
    <w:rsid w:val="00610EAA"/>
    <w:rsid w:val="00612845"/>
    <w:rsid w:val="006133A1"/>
    <w:rsid w:val="00616841"/>
    <w:rsid w:val="00616A31"/>
    <w:rsid w:val="0061727C"/>
    <w:rsid w:val="00620365"/>
    <w:rsid w:val="006208CE"/>
    <w:rsid w:val="00621895"/>
    <w:rsid w:val="00622B67"/>
    <w:rsid w:val="0062306F"/>
    <w:rsid w:val="00624C19"/>
    <w:rsid w:val="00626F83"/>
    <w:rsid w:val="0063025F"/>
    <w:rsid w:val="00630296"/>
    <w:rsid w:val="006308E0"/>
    <w:rsid w:val="00631CC7"/>
    <w:rsid w:val="00632540"/>
    <w:rsid w:val="00633468"/>
    <w:rsid w:val="006338F4"/>
    <w:rsid w:val="00635ED8"/>
    <w:rsid w:val="00637227"/>
    <w:rsid w:val="006401F3"/>
    <w:rsid w:val="0064203D"/>
    <w:rsid w:val="00642C8D"/>
    <w:rsid w:val="0064302B"/>
    <w:rsid w:val="00643295"/>
    <w:rsid w:val="00644080"/>
    <w:rsid w:val="006442F5"/>
    <w:rsid w:val="006445CE"/>
    <w:rsid w:val="006449EA"/>
    <w:rsid w:val="00645691"/>
    <w:rsid w:val="00646642"/>
    <w:rsid w:val="0064721F"/>
    <w:rsid w:val="00650D07"/>
    <w:rsid w:val="00652839"/>
    <w:rsid w:val="00653CD3"/>
    <w:rsid w:val="00654EE7"/>
    <w:rsid w:val="00656026"/>
    <w:rsid w:val="00656862"/>
    <w:rsid w:val="00656EF8"/>
    <w:rsid w:val="00660366"/>
    <w:rsid w:val="006613E0"/>
    <w:rsid w:val="00661B9F"/>
    <w:rsid w:val="00661EC1"/>
    <w:rsid w:val="00665556"/>
    <w:rsid w:val="0066589B"/>
    <w:rsid w:val="00665A1B"/>
    <w:rsid w:val="00666D47"/>
    <w:rsid w:val="006678C4"/>
    <w:rsid w:val="00667B25"/>
    <w:rsid w:val="00672A22"/>
    <w:rsid w:val="00675EED"/>
    <w:rsid w:val="00677976"/>
    <w:rsid w:val="006779C2"/>
    <w:rsid w:val="00680171"/>
    <w:rsid w:val="00680403"/>
    <w:rsid w:val="00680B14"/>
    <w:rsid w:val="00682D15"/>
    <w:rsid w:val="00684087"/>
    <w:rsid w:val="0068480E"/>
    <w:rsid w:val="0068727B"/>
    <w:rsid w:val="00687866"/>
    <w:rsid w:val="00687C51"/>
    <w:rsid w:val="00690119"/>
    <w:rsid w:val="0069162C"/>
    <w:rsid w:val="00695171"/>
    <w:rsid w:val="006954F8"/>
    <w:rsid w:val="00697551"/>
    <w:rsid w:val="006A0792"/>
    <w:rsid w:val="006A11BC"/>
    <w:rsid w:val="006A1760"/>
    <w:rsid w:val="006A1AD8"/>
    <w:rsid w:val="006A2389"/>
    <w:rsid w:val="006A5044"/>
    <w:rsid w:val="006A55FC"/>
    <w:rsid w:val="006A6531"/>
    <w:rsid w:val="006A65D4"/>
    <w:rsid w:val="006A6781"/>
    <w:rsid w:val="006A6A9C"/>
    <w:rsid w:val="006B0E7C"/>
    <w:rsid w:val="006B1A29"/>
    <w:rsid w:val="006B29F0"/>
    <w:rsid w:val="006B2C43"/>
    <w:rsid w:val="006B2F07"/>
    <w:rsid w:val="006B4A8F"/>
    <w:rsid w:val="006B6090"/>
    <w:rsid w:val="006B63FF"/>
    <w:rsid w:val="006C13F9"/>
    <w:rsid w:val="006C1871"/>
    <w:rsid w:val="006C1F59"/>
    <w:rsid w:val="006C3D20"/>
    <w:rsid w:val="006C49A3"/>
    <w:rsid w:val="006C4BC4"/>
    <w:rsid w:val="006C56C7"/>
    <w:rsid w:val="006C63F6"/>
    <w:rsid w:val="006C7824"/>
    <w:rsid w:val="006D0472"/>
    <w:rsid w:val="006D07B1"/>
    <w:rsid w:val="006D119D"/>
    <w:rsid w:val="006D1238"/>
    <w:rsid w:val="006D1FB9"/>
    <w:rsid w:val="006D2561"/>
    <w:rsid w:val="006D326F"/>
    <w:rsid w:val="006D32DA"/>
    <w:rsid w:val="006D33DE"/>
    <w:rsid w:val="006D451A"/>
    <w:rsid w:val="006D5186"/>
    <w:rsid w:val="006D5C72"/>
    <w:rsid w:val="006D630D"/>
    <w:rsid w:val="006D68E0"/>
    <w:rsid w:val="006E12CD"/>
    <w:rsid w:val="006E200D"/>
    <w:rsid w:val="006E25A8"/>
    <w:rsid w:val="006E4E51"/>
    <w:rsid w:val="006E5838"/>
    <w:rsid w:val="006E6236"/>
    <w:rsid w:val="006E6AF2"/>
    <w:rsid w:val="006E74B4"/>
    <w:rsid w:val="006E77A4"/>
    <w:rsid w:val="006F0625"/>
    <w:rsid w:val="006F06FB"/>
    <w:rsid w:val="006F1AEA"/>
    <w:rsid w:val="006F3F7B"/>
    <w:rsid w:val="006F40D8"/>
    <w:rsid w:val="006F76B7"/>
    <w:rsid w:val="00703CF8"/>
    <w:rsid w:val="00704872"/>
    <w:rsid w:val="00704D47"/>
    <w:rsid w:val="007067BF"/>
    <w:rsid w:val="00706E95"/>
    <w:rsid w:val="00707659"/>
    <w:rsid w:val="007101B5"/>
    <w:rsid w:val="00712397"/>
    <w:rsid w:val="007123D4"/>
    <w:rsid w:val="0071289B"/>
    <w:rsid w:val="00712DB9"/>
    <w:rsid w:val="00712DBB"/>
    <w:rsid w:val="00716A37"/>
    <w:rsid w:val="00716FF5"/>
    <w:rsid w:val="0071774E"/>
    <w:rsid w:val="007247AD"/>
    <w:rsid w:val="00725A4D"/>
    <w:rsid w:val="00725F47"/>
    <w:rsid w:val="00725FA2"/>
    <w:rsid w:val="00726193"/>
    <w:rsid w:val="0072793F"/>
    <w:rsid w:val="0073220E"/>
    <w:rsid w:val="007323BC"/>
    <w:rsid w:val="00732776"/>
    <w:rsid w:val="00733602"/>
    <w:rsid w:val="007373EB"/>
    <w:rsid w:val="00740932"/>
    <w:rsid w:val="00740943"/>
    <w:rsid w:val="00740FFA"/>
    <w:rsid w:val="0074111F"/>
    <w:rsid w:val="00741550"/>
    <w:rsid w:val="007428F2"/>
    <w:rsid w:val="00744472"/>
    <w:rsid w:val="00745996"/>
    <w:rsid w:val="00745EDE"/>
    <w:rsid w:val="007477E0"/>
    <w:rsid w:val="00751695"/>
    <w:rsid w:val="00752E7E"/>
    <w:rsid w:val="007533C8"/>
    <w:rsid w:val="00754D49"/>
    <w:rsid w:val="00755630"/>
    <w:rsid w:val="0075574E"/>
    <w:rsid w:val="00755DFC"/>
    <w:rsid w:val="0076203F"/>
    <w:rsid w:val="00762AF6"/>
    <w:rsid w:val="00762EF9"/>
    <w:rsid w:val="00762F9B"/>
    <w:rsid w:val="00763A23"/>
    <w:rsid w:val="00773807"/>
    <w:rsid w:val="007743F5"/>
    <w:rsid w:val="00775949"/>
    <w:rsid w:val="00775A99"/>
    <w:rsid w:val="007779CA"/>
    <w:rsid w:val="007825FD"/>
    <w:rsid w:val="00782ECA"/>
    <w:rsid w:val="00783CC7"/>
    <w:rsid w:val="007857AC"/>
    <w:rsid w:val="007860EF"/>
    <w:rsid w:val="00786329"/>
    <w:rsid w:val="00786391"/>
    <w:rsid w:val="00791B77"/>
    <w:rsid w:val="00793E22"/>
    <w:rsid w:val="007953D5"/>
    <w:rsid w:val="007957A2"/>
    <w:rsid w:val="00797EC2"/>
    <w:rsid w:val="007A16DC"/>
    <w:rsid w:val="007A1901"/>
    <w:rsid w:val="007A1D16"/>
    <w:rsid w:val="007A30D0"/>
    <w:rsid w:val="007A3470"/>
    <w:rsid w:val="007A3E2E"/>
    <w:rsid w:val="007B0131"/>
    <w:rsid w:val="007B1453"/>
    <w:rsid w:val="007B1755"/>
    <w:rsid w:val="007B1CDF"/>
    <w:rsid w:val="007B1EFD"/>
    <w:rsid w:val="007B5A5F"/>
    <w:rsid w:val="007B7154"/>
    <w:rsid w:val="007B774E"/>
    <w:rsid w:val="007C087B"/>
    <w:rsid w:val="007C0B1E"/>
    <w:rsid w:val="007C0CD3"/>
    <w:rsid w:val="007C27C0"/>
    <w:rsid w:val="007C384A"/>
    <w:rsid w:val="007D045C"/>
    <w:rsid w:val="007D10C3"/>
    <w:rsid w:val="007D1336"/>
    <w:rsid w:val="007D21FC"/>
    <w:rsid w:val="007D2CF9"/>
    <w:rsid w:val="007D3F23"/>
    <w:rsid w:val="007D4303"/>
    <w:rsid w:val="007D5BEE"/>
    <w:rsid w:val="007D5F13"/>
    <w:rsid w:val="007D6427"/>
    <w:rsid w:val="007D78BD"/>
    <w:rsid w:val="007E0381"/>
    <w:rsid w:val="007E2115"/>
    <w:rsid w:val="007E30C6"/>
    <w:rsid w:val="007E63E1"/>
    <w:rsid w:val="007E6EDF"/>
    <w:rsid w:val="007E7090"/>
    <w:rsid w:val="007E7CC2"/>
    <w:rsid w:val="007F0EB6"/>
    <w:rsid w:val="007F2059"/>
    <w:rsid w:val="007F291B"/>
    <w:rsid w:val="007F4FF4"/>
    <w:rsid w:val="007F56A3"/>
    <w:rsid w:val="007F591B"/>
    <w:rsid w:val="007F629E"/>
    <w:rsid w:val="007F67D3"/>
    <w:rsid w:val="007F6C4D"/>
    <w:rsid w:val="007F76C9"/>
    <w:rsid w:val="007F7BFC"/>
    <w:rsid w:val="00800B18"/>
    <w:rsid w:val="00801C94"/>
    <w:rsid w:val="00802B3F"/>
    <w:rsid w:val="008038E5"/>
    <w:rsid w:val="008040DA"/>
    <w:rsid w:val="00806DD6"/>
    <w:rsid w:val="008107EC"/>
    <w:rsid w:val="00812A45"/>
    <w:rsid w:val="00815875"/>
    <w:rsid w:val="00815C45"/>
    <w:rsid w:val="00816CB7"/>
    <w:rsid w:val="00817162"/>
    <w:rsid w:val="008172A5"/>
    <w:rsid w:val="00821FFD"/>
    <w:rsid w:val="00822D28"/>
    <w:rsid w:val="008242E5"/>
    <w:rsid w:val="008244C2"/>
    <w:rsid w:val="00825953"/>
    <w:rsid w:val="00827769"/>
    <w:rsid w:val="008278E4"/>
    <w:rsid w:val="008300AE"/>
    <w:rsid w:val="00833817"/>
    <w:rsid w:val="00834E4A"/>
    <w:rsid w:val="00835341"/>
    <w:rsid w:val="008354EC"/>
    <w:rsid w:val="00837FED"/>
    <w:rsid w:val="00841BB2"/>
    <w:rsid w:val="0084269A"/>
    <w:rsid w:val="00845607"/>
    <w:rsid w:val="00845FC8"/>
    <w:rsid w:val="0084641C"/>
    <w:rsid w:val="0085074F"/>
    <w:rsid w:val="00851A4A"/>
    <w:rsid w:val="00852532"/>
    <w:rsid w:val="00852625"/>
    <w:rsid w:val="008529E1"/>
    <w:rsid w:val="008539D9"/>
    <w:rsid w:val="00855985"/>
    <w:rsid w:val="00856C10"/>
    <w:rsid w:val="00857711"/>
    <w:rsid w:val="00860303"/>
    <w:rsid w:val="00860C25"/>
    <w:rsid w:val="00861BFE"/>
    <w:rsid w:val="008621D2"/>
    <w:rsid w:val="00862BBA"/>
    <w:rsid w:val="00862D4F"/>
    <w:rsid w:val="00863E76"/>
    <w:rsid w:val="00864B44"/>
    <w:rsid w:val="00867856"/>
    <w:rsid w:val="0087311E"/>
    <w:rsid w:val="00874897"/>
    <w:rsid w:val="0087637C"/>
    <w:rsid w:val="008764B1"/>
    <w:rsid w:val="008807E7"/>
    <w:rsid w:val="00881162"/>
    <w:rsid w:val="00882AA9"/>
    <w:rsid w:val="00882EF3"/>
    <w:rsid w:val="0088328C"/>
    <w:rsid w:val="00883B65"/>
    <w:rsid w:val="0088657F"/>
    <w:rsid w:val="0088763A"/>
    <w:rsid w:val="00887854"/>
    <w:rsid w:val="00890471"/>
    <w:rsid w:val="008924FD"/>
    <w:rsid w:val="00892B00"/>
    <w:rsid w:val="008968FA"/>
    <w:rsid w:val="008A4747"/>
    <w:rsid w:val="008A6C72"/>
    <w:rsid w:val="008A73ED"/>
    <w:rsid w:val="008A7B96"/>
    <w:rsid w:val="008B13AE"/>
    <w:rsid w:val="008B1C31"/>
    <w:rsid w:val="008B4C2A"/>
    <w:rsid w:val="008B6A43"/>
    <w:rsid w:val="008B6D14"/>
    <w:rsid w:val="008B71CD"/>
    <w:rsid w:val="008C2352"/>
    <w:rsid w:val="008C2CD6"/>
    <w:rsid w:val="008C3420"/>
    <w:rsid w:val="008C4A9E"/>
    <w:rsid w:val="008C5BBD"/>
    <w:rsid w:val="008D0932"/>
    <w:rsid w:val="008D0B18"/>
    <w:rsid w:val="008D0FB8"/>
    <w:rsid w:val="008D1329"/>
    <w:rsid w:val="008D17D9"/>
    <w:rsid w:val="008D25AC"/>
    <w:rsid w:val="008D3E0B"/>
    <w:rsid w:val="008D4CEE"/>
    <w:rsid w:val="008D551B"/>
    <w:rsid w:val="008D5A41"/>
    <w:rsid w:val="008D67E5"/>
    <w:rsid w:val="008E33F7"/>
    <w:rsid w:val="008E4770"/>
    <w:rsid w:val="008E57A5"/>
    <w:rsid w:val="008E60F1"/>
    <w:rsid w:val="008E6FF0"/>
    <w:rsid w:val="008F03DC"/>
    <w:rsid w:val="008F06BB"/>
    <w:rsid w:val="008F0FBE"/>
    <w:rsid w:val="008F1EE4"/>
    <w:rsid w:val="008F2F0B"/>
    <w:rsid w:val="008F4DBB"/>
    <w:rsid w:val="00902E09"/>
    <w:rsid w:val="009042C3"/>
    <w:rsid w:val="0090495B"/>
    <w:rsid w:val="00906596"/>
    <w:rsid w:val="00906C61"/>
    <w:rsid w:val="00906FC2"/>
    <w:rsid w:val="00910252"/>
    <w:rsid w:val="0091126E"/>
    <w:rsid w:val="00913505"/>
    <w:rsid w:val="00913CAA"/>
    <w:rsid w:val="00913E10"/>
    <w:rsid w:val="00914068"/>
    <w:rsid w:val="009161F3"/>
    <w:rsid w:val="00920568"/>
    <w:rsid w:val="0092085E"/>
    <w:rsid w:val="0092111D"/>
    <w:rsid w:val="00921636"/>
    <w:rsid w:val="00921842"/>
    <w:rsid w:val="009233EB"/>
    <w:rsid w:val="009235F6"/>
    <w:rsid w:val="00924098"/>
    <w:rsid w:val="009247FC"/>
    <w:rsid w:val="009258D1"/>
    <w:rsid w:val="00926977"/>
    <w:rsid w:val="00930D37"/>
    <w:rsid w:val="009325AC"/>
    <w:rsid w:val="00932E71"/>
    <w:rsid w:val="009331FA"/>
    <w:rsid w:val="009349AB"/>
    <w:rsid w:val="009366F2"/>
    <w:rsid w:val="009412DC"/>
    <w:rsid w:val="00941667"/>
    <w:rsid w:val="00945404"/>
    <w:rsid w:val="00945A78"/>
    <w:rsid w:val="00947233"/>
    <w:rsid w:val="00950DE4"/>
    <w:rsid w:val="00953AED"/>
    <w:rsid w:val="0095477C"/>
    <w:rsid w:val="0095549A"/>
    <w:rsid w:val="00956FB5"/>
    <w:rsid w:val="00957A5B"/>
    <w:rsid w:val="00957ABD"/>
    <w:rsid w:val="00960626"/>
    <w:rsid w:val="00962880"/>
    <w:rsid w:val="00964971"/>
    <w:rsid w:val="0096705B"/>
    <w:rsid w:val="00967709"/>
    <w:rsid w:val="00967A15"/>
    <w:rsid w:val="009719AE"/>
    <w:rsid w:val="009722BC"/>
    <w:rsid w:val="00972D57"/>
    <w:rsid w:val="009733C8"/>
    <w:rsid w:val="00974B53"/>
    <w:rsid w:val="0097729F"/>
    <w:rsid w:val="009772BC"/>
    <w:rsid w:val="009818D8"/>
    <w:rsid w:val="009826CA"/>
    <w:rsid w:val="00982C7C"/>
    <w:rsid w:val="0098404B"/>
    <w:rsid w:val="009844BE"/>
    <w:rsid w:val="00985B12"/>
    <w:rsid w:val="0098624F"/>
    <w:rsid w:val="0098694F"/>
    <w:rsid w:val="00986C31"/>
    <w:rsid w:val="00987327"/>
    <w:rsid w:val="00987714"/>
    <w:rsid w:val="0099153F"/>
    <w:rsid w:val="009918EC"/>
    <w:rsid w:val="00991C7D"/>
    <w:rsid w:val="009933F8"/>
    <w:rsid w:val="00993D78"/>
    <w:rsid w:val="00995391"/>
    <w:rsid w:val="00995699"/>
    <w:rsid w:val="009956C7"/>
    <w:rsid w:val="009956CE"/>
    <w:rsid w:val="00996650"/>
    <w:rsid w:val="009A0C57"/>
    <w:rsid w:val="009A2ED8"/>
    <w:rsid w:val="009A3841"/>
    <w:rsid w:val="009A4259"/>
    <w:rsid w:val="009A4872"/>
    <w:rsid w:val="009A48EB"/>
    <w:rsid w:val="009A5912"/>
    <w:rsid w:val="009A59C6"/>
    <w:rsid w:val="009B09B3"/>
    <w:rsid w:val="009B103E"/>
    <w:rsid w:val="009B11EB"/>
    <w:rsid w:val="009B2A25"/>
    <w:rsid w:val="009B30A8"/>
    <w:rsid w:val="009B4FDA"/>
    <w:rsid w:val="009B5093"/>
    <w:rsid w:val="009B6EF4"/>
    <w:rsid w:val="009B70BC"/>
    <w:rsid w:val="009B7354"/>
    <w:rsid w:val="009B74B9"/>
    <w:rsid w:val="009C0427"/>
    <w:rsid w:val="009C0CC4"/>
    <w:rsid w:val="009C12D3"/>
    <w:rsid w:val="009C41C8"/>
    <w:rsid w:val="009C4623"/>
    <w:rsid w:val="009C4CF8"/>
    <w:rsid w:val="009C7705"/>
    <w:rsid w:val="009D0744"/>
    <w:rsid w:val="009D0E61"/>
    <w:rsid w:val="009D14C3"/>
    <w:rsid w:val="009D3595"/>
    <w:rsid w:val="009D42B8"/>
    <w:rsid w:val="009D58BA"/>
    <w:rsid w:val="009D6DBA"/>
    <w:rsid w:val="009E128B"/>
    <w:rsid w:val="009E1EA3"/>
    <w:rsid w:val="009E2804"/>
    <w:rsid w:val="009E2C09"/>
    <w:rsid w:val="009E48FB"/>
    <w:rsid w:val="009E4C7A"/>
    <w:rsid w:val="009E7254"/>
    <w:rsid w:val="009F32D8"/>
    <w:rsid w:val="009F430B"/>
    <w:rsid w:val="009F471C"/>
    <w:rsid w:val="009F63BD"/>
    <w:rsid w:val="009F6688"/>
    <w:rsid w:val="009F77F5"/>
    <w:rsid w:val="009F7C56"/>
    <w:rsid w:val="00A003A9"/>
    <w:rsid w:val="00A00EC3"/>
    <w:rsid w:val="00A01EC8"/>
    <w:rsid w:val="00A020FE"/>
    <w:rsid w:val="00A02255"/>
    <w:rsid w:val="00A03A1D"/>
    <w:rsid w:val="00A0453A"/>
    <w:rsid w:val="00A07B6C"/>
    <w:rsid w:val="00A135D6"/>
    <w:rsid w:val="00A15B20"/>
    <w:rsid w:val="00A20BD7"/>
    <w:rsid w:val="00A2159D"/>
    <w:rsid w:val="00A2168C"/>
    <w:rsid w:val="00A2407A"/>
    <w:rsid w:val="00A25A13"/>
    <w:rsid w:val="00A27BB0"/>
    <w:rsid w:val="00A307FC"/>
    <w:rsid w:val="00A315A6"/>
    <w:rsid w:val="00A31EE9"/>
    <w:rsid w:val="00A330FE"/>
    <w:rsid w:val="00A335BF"/>
    <w:rsid w:val="00A349E2"/>
    <w:rsid w:val="00A351D7"/>
    <w:rsid w:val="00A35777"/>
    <w:rsid w:val="00A36521"/>
    <w:rsid w:val="00A36930"/>
    <w:rsid w:val="00A3766A"/>
    <w:rsid w:val="00A37D57"/>
    <w:rsid w:val="00A37F55"/>
    <w:rsid w:val="00A40071"/>
    <w:rsid w:val="00A410B2"/>
    <w:rsid w:val="00A41228"/>
    <w:rsid w:val="00A4147F"/>
    <w:rsid w:val="00A41695"/>
    <w:rsid w:val="00A428F1"/>
    <w:rsid w:val="00A44A21"/>
    <w:rsid w:val="00A4555E"/>
    <w:rsid w:val="00A5087F"/>
    <w:rsid w:val="00A5190B"/>
    <w:rsid w:val="00A52704"/>
    <w:rsid w:val="00A539BE"/>
    <w:rsid w:val="00A54372"/>
    <w:rsid w:val="00A5460E"/>
    <w:rsid w:val="00A5469C"/>
    <w:rsid w:val="00A57257"/>
    <w:rsid w:val="00A574BD"/>
    <w:rsid w:val="00A574C7"/>
    <w:rsid w:val="00A60B62"/>
    <w:rsid w:val="00A61239"/>
    <w:rsid w:val="00A61BAE"/>
    <w:rsid w:val="00A62865"/>
    <w:rsid w:val="00A6429C"/>
    <w:rsid w:val="00A6471F"/>
    <w:rsid w:val="00A65EBD"/>
    <w:rsid w:val="00A66E24"/>
    <w:rsid w:val="00A72BF3"/>
    <w:rsid w:val="00A73068"/>
    <w:rsid w:val="00A73677"/>
    <w:rsid w:val="00A740E6"/>
    <w:rsid w:val="00A74315"/>
    <w:rsid w:val="00A7562E"/>
    <w:rsid w:val="00A75831"/>
    <w:rsid w:val="00A7650F"/>
    <w:rsid w:val="00A7778F"/>
    <w:rsid w:val="00A77A38"/>
    <w:rsid w:val="00A804A0"/>
    <w:rsid w:val="00A80D31"/>
    <w:rsid w:val="00A845CB"/>
    <w:rsid w:val="00A84FB4"/>
    <w:rsid w:val="00A850F6"/>
    <w:rsid w:val="00A85732"/>
    <w:rsid w:val="00A85A05"/>
    <w:rsid w:val="00A85A55"/>
    <w:rsid w:val="00A87220"/>
    <w:rsid w:val="00A91A0C"/>
    <w:rsid w:val="00A91EA5"/>
    <w:rsid w:val="00A92753"/>
    <w:rsid w:val="00A92941"/>
    <w:rsid w:val="00A93424"/>
    <w:rsid w:val="00A94774"/>
    <w:rsid w:val="00A9509B"/>
    <w:rsid w:val="00A9557D"/>
    <w:rsid w:val="00A95E21"/>
    <w:rsid w:val="00A965DF"/>
    <w:rsid w:val="00A976FE"/>
    <w:rsid w:val="00AA2DAC"/>
    <w:rsid w:val="00AA3710"/>
    <w:rsid w:val="00AA468C"/>
    <w:rsid w:val="00AA7D4F"/>
    <w:rsid w:val="00AB0DE0"/>
    <w:rsid w:val="00AB1A3C"/>
    <w:rsid w:val="00AB1F7D"/>
    <w:rsid w:val="00AB41F0"/>
    <w:rsid w:val="00AC04C1"/>
    <w:rsid w:val="00AC0C9F"/>
    <w:rsid w:val="00AC15F0"/>
    <w:rsid w:val="00AC2E1F"/>
    <w:rsid w:val="00AC6C8D"/>
    <w:rsid w:val="00AC7D2F"/>
    <w:rsid w:val="00AC7EA0"/>
    <w:rsid w:val="00AD021C"/>
    <w:rsid w:val="00AD09C5"/>
    <w:rsid w:val="00AD4C9B"/>
    <w:rsid w:val="00AD5733"/>
    <w:rsid w:val="00AD784C"/>
    <w:rsid w:val="00AD7AB4"/>
    <w:rsid w:val="00AE1926"/>
    <w:rsid w:val="00AE1F8C"/>
    <w:rsid w:val="00AE2EA1"/>
    <w:rsid w:val="00AE3830"/>
    <w:rsid w:val="00AE453D"/>
    <w:rsid w:val="00AE5728"/>
    <w:rsid w:val="00AE58D9"/>
    <w:rsid w:val="00AE6576"/>
    <w:rsid w:val="00AF0DFE"/>
    <w:rsid w:val="00AF1947"/>
    <w:rsid w:val="00AF26AB"/>
    <w:rsid w:val="00AF35DE"/>
    <w:rsid w:val="00AF39CA"/>
    <w:rsid w:val="00AF4B81"/>
    <w:rsid w:val="00AF564F"/>
    <w:rsid w:val="00AF5A46"/>
    <w:rsid w:val="00AF5BDA"/>
    <w:rsid w:val="00AF6576"/>
    <w:rsid w:val="00AF6D13"/>
    <w:rsid w:val="00AF7F83"/>
    <w:rsid w:val="00B00F11"/>
    <w:rsid w:val="00B0258C"/>
    <w:rsid w:val="00B034AE"/>
    <w:rsid w:val="00B05E65"/>
    <w:rsid w:val="00B0628F"/>
    <w:rsid w:val="00B066B7"/>
    <w:rsid w:val="00B0795F"/>
    <w:rsid w:val="00B11745"/>
    <w:rsid w:val="00B1176D"/>
    <w:rsid w:val="00B11AC6"/>
    <w:rsid w:val="00B121FD"/>
    <w:rsid w:val="00B12EDC"/>
    <w:rsid w:val="00B14E76"/>
    <w:rsid w:val="00B16788"/>
    <w:rsid w:val="00B202CE"/>
    <w:rsid w:val="00B21CCC"/>
    <w:rsid w:val="00B22711"/>
    <w:rsid w:val="00B22E65"/>
    <w:rsid w:val="00B23045"/>
    <w:rsid w:val="00B235AB"/>
    <w:rsid w:val="00B2597D"/>
    <w:rsid w:val="00B26DB0"/>
    <w:rsid w:val="00B316EE"/>
    <w:rsid w:val="00B34463"/>
    <w:rsid w:val="00B34DFB"/>
    <w:rsid w:val="00B36DAF"/>
    <w:rsid w:val="00B379F8"/>
    <w:rsid w:val="00B407BB"/>
    <w:rsid w:val="00B41398"/>
    <w:rsid w:val="00B44269"/>
    <w:rsid w:val="00B44A73"/>
    <w:rsid w:val="00B44F00"/>
    <w:rsid w:val="00B45229"/>
    <w:rsid w:val="00B459AD"/>
    <w:rsid w:val="00B459E9"/>
    <w:rsid w:val="00B46994"/>
    <w:rsid w:val="00B470BE"/>
    <w:rsid w:val="00B47803"/>
    <w:rsid w:val="00B478E6"/>
    <w:rsid w:val="00B50180"/>
    <w:rsid w:val="00B507D0"/>
    <w:rsid w:val="00B51A06"/>
    <w:rsid w:val="00B522A0"/>
    <w:rsid w:val="00B5437F"/>
    <w:rsid w:val="00B54624"/>
    <w:rsid w:val="00B546C8"/>
    <w:rsid w:val="00B55170"/>
    <w:rsid w:val="00B55D68"/>
    <w:rsid w:val="00B562EC"/>
    <w:rsid w:val="00B60DBB"/>
    <w:rsid w:val="00B610C7"/>
    <w:rsid w:val="00B6184D"/>
    <w:rsid w:val="00B625BA"/>
    <w:rsid w:val="00B62B0A"/>
    <w:rsid w:val="00B63A6B"/>
    <w:rsid w:val="00B63E82"/>
    <w:rsid w:val="00B6530B"/>
    <w:rsid w:val="00B65455"/>
    <w:rsid w:val="00B66D72"/>
    <w:rsid w:val="00B66E62"/>
    <w:rsid w:val="00B71C2D"/>
    <w:rsid w:val="00B729C4"/>
    <w:rsid w:val="00B73831"/>
    <w:rsid w:val="00B73DEF"/>
    <w:rsid w:val="00B73FD2"/>
    <w:rsid w:val="00B7459B"/>
    <w:rsid w:val="00B74F71"/>
    <w:rsid w:val="00B7648A"/>
    <w:rsid w:val="00B8176B"/>
    <w:rsid w:val="00B83815"/>
    <w:rsid w:val="00B8450B"/>
    <w:rsid w:val="00B84A37"/>
    <w:rsid w:val="00B865A1"/>
    <w:rsid w:val="00B866B4"/>
    <w:rsid w:val="00B8741F"/>
    <w:rsid w:val="00B87B48"/>
    <w:rsid w:val="00B9019A"/>
    <w:rsid w:val="00B902DD"/>
    <w:rsid w:val="00B91CE8"/>
    <w:rsid w:val="00B95015"/>
    <w:rsid w:val="00B95D37"/>
    <w:rsid w:val="00B97A5D"/>
    <w:rsid w:val="00BA0FAD"/>
    <w:rsid w:val="00BA20F1"/>
    <w:rsid w:val="00BA3712"/>
    <w:rsid w:val="00BA3DE4"/>
    <w:rsid w:val="00BA5156"/>
    <w:rsid w:val="00BA5199"/>
    <w:rsid w:val="00BA5549"/>
    <w:rsid w:val="00BB2A74"/>
    <w:rsid w:val="00BB3098"/>
    <w:rsid w:val="00BB3B1F"/>
    <w:rsid w:val="00BB45A3"/>
    <w:rsid w:val="00BB46D9"/>
    <w:rsid w:val="00BB4D1B"/>
    <w:rsid w:val="00BB626C"/>
    <w:rsid w:val="00BB6AE7"/>
    <w:rsid w:val="00BC03BB"/>
    <w:rsid w:val="00BC1008"/>
    <w:rsid w:val="00BC2716"/>
    <w:rsid w:val="00BC27E7"/>
    <w:rsid w:val="00BC31E2"/>
    <w:rsid w:val="00BC3BE1"/>
    <w:rsid w:val="00BC67F4"/>
    <w:rsid w:val="00BD1BD8"/>
    <w:rsid w:val="00BD1F12"/>
    <w:rsid w:val="00BD2FFC"/>
    <w:rsid w:val="00BD3E09"/>
    <w:rsid w:val="00BD40D3"/>
    <w:rsid w:val="00BD51FA"/>
    <w:rsid w:val="00BD7B40"/>
    <w:rsid w:val="00BE1956"/>
    <w:rsid w:val="00BE2A50"/>
    <w:rsid w:val="00BE3CEE"/>
    <w:rsid w:val="00BE4B61"/>
    <w:rsid w:val="00BE4ED9"/>
    <w:rsid w:val="00BE54A3"/>
    <w:rsid w:val="00BE5F2E"/>
    <w:rsid w:val="00BE703E"/>
    <w:rsid w:val="00BF04F6"/>
    <w:rsid w:val="00BF190D"/>
    <w:rsid w:val="00BF1EFC"/>
    <w:rsid w:val="00BF22FD"/>
    <w:rsid w:val="00BF2461"/>
    <w:rsid w:val="00BF2C17"/>
    <w:rsid w:val="00BF4345"/>
    <w:rsid w:val="00BF4FE6"/>
    <w:rsid w:val="00BF7096"/>
    <w:rsid w:val="00BF739D"/>
    <w:rsid w:val="00C00A4D"/>
    <w:rsid w:val="00C00FA6"/>
    <w:rsid w:val="00C0282F"/>
    <w:rsid w:val="00C02F13"/>
    <w:rsid w:val="00C02FCB"/>
    <w:rsid w:val="00C03CA6"/>
    <w:rsid w:val="00C0461A"/>
    <w:rsid w:val="00C06B5B"/>
    <w:rsid w:val="00C1277C"/>
    <w:rsid w:val="00C1346C"/>
    <w:rsid w:val="00C13649"/>
    <w:rsid w:val="00C15236"/>
    <w:rsid w:val="00C15846"/>
    <w:rsid w:val="00C15967"/>
    <w:rsid w:val="00C162BF"/>
    <w:rsid w:val="00C2082B"/>
    <w:rsid w:val="00C21AB1"/>
    <w:rsid w:val="00C230A0"/>
    <w:rsid w:val="00C25B97"/>
    <w:rsid w:val="00C302F4"/>
    <w:rsid w:val="00C30EFC"/>
    <w:rsid w:val="00C31BCD"/>
    <w:rsid w:val="00C31CF6"/>
    <w:rsid w:val="00C320AF"/>
    <w:rsid w:val="00C35482"/>
    <w:rsid w:val="00C35781"/>
    <w:rsid w:val="00C3694F"/>
    <w:rsid w:val="00C36FD8"/>
    <w:rsid w:val="00C40769"/>
    <w:rsid w:val="00C41365"/>
    <w:rsid w:val="00C417BC"/>
    <w:rsid w:val="00C4204F"/>
    <w:rsid w:val="00C439F5"/>
    <w:rsid w:val="00C43CBB"/>
    <w:rsid w:val="00C44BCC"/>
    <w:rsid w:val="00C50F7D"/>
    <w:rsid w:val="00C510A5"/>
    <w:rsid w:val="00C52717"/>
    <w:rsid w:val="00C5333D"/>
    <w:rsid w:val="00C53DD0"/>
    <w:rsid w:val="00C53E08"/>
    <w:rsid w:val="00C55663"/>
    <w:rsid w:val="00C60B63"/>
    <w:rsid w:val="00C61212"/>
    <w:rsid w:val="00C61779"/>
    <w:rsid w:val="00C61D99"/>
    <w:rsid w:val="00C62F56"/>
    <w:rsid w:val="00C635CD"/>
    <w:rsid w:val="00C649CF"/>
    <w:rsid w:val="00C662B0"/>
    <w:rsid w:val="00C6649E"/>
    <w:rsid w:val="00C7188F"/>
    <w:rsid w:val="00C71DE2"/>
    <w:rsid w:val="00C74C30"/>
    <w:rsid w:val="00C74F6D"/>
    <w:rsid w:val="00C7688F"/>
    <w:rsid w:val="00C80437"/>
    <w:rsid w:val="00C81F53"/>
    <w:rsid w:val="00C841C4"/>
    <w:rsid w:val="00C8561D"/>
    <w:rsid w:val="00C86553"/>
    <w:rsid w:val="00C87761"/>
    <w:rsid w:val="00C87D53"/>
    <w:rsid w:val="00C87EEC"/>
    <w:rsid w:val="00C90E1F"/>
    <w:rsid w:val="00C90E60"/>
    <w:rsid w:val="00C92618"/>
    <w:rsid w:val="00C930B1"/>
    <w:rsid w:val="00C93E34"/>
    <w:rsid w:val="00C94AE0"/>
    <w:rsid w:val="00C94DA6"/>
    <w:rsid w:val="00C96AB2"/>
    <w:rsid w:val="00C96C7C"/>
    <w:rsid w:val="00C96D9F"/>
    <w:rsid w:val="00C97BF6"/>
    <w:rsid w:val="00CA0272"/>
    <w:rsid w:val="00CA22D2"/>
    <w:rsid w:val="00CA36D3"/>
    <w:rsid w:val="00CA3DC7"/>
    <w:rsid w:val="00CA44AB"/>
    <w:rsid w:val="00CA56E1"/>
    <w:rsid w:val="00CA5C57"/>
    <w:rsid w:val="00CA6319"/>
    <w:rsid w:val="00CA7AEE"/>
    <w:rsid w:val="00CB1274"/>
    <w:rsid w:val="00CB1931"/>
    <w:rsid w:val="00CB5669"/>
    <w:rsid w:val="00CB5D86"/>
    <w:rsid w:val="00CB6340"/>
    <w:rsid w:val="00CB6CFA"/>
    <w:rsid w:val="00CB7251"/>
    <w:rsid w:val="00CB7B65"/>
    <w:rsid w:val="00CB7EF5"/>
    <w:rsid w:val="00CC0308"/>
    <w:rsid w:val="00CC1555"/>
    <w:rsid w:val="00CC1678"/>
    <w:rsid w:val="00CC1ABE"/>
    <w:rsid w:val="00CC1BDB"/>
    <w:rsid w:val="00CC5D41"/>
    <w:rsid w:val="00CC730E"/>
    <w:rsid w:val="00CC76F0"/>
    <w:rsid w:val="00CD05C0"/>
    <w:rsid w:val="00CD1463"/>
    <w:rsid w:val="00CD2F40"/>
    <w:rsid w:val="00CD3058"/>
    <w:rsid w:val="00CD315D"/>
    <w:rsid w:val="00CD3FE1"/>
    <w:rsid w:val="00CD5505"/>
    <w:rsid w:val="00CD5959"/>
    <w:rsid w:val="00CD6326"/>
    <w:rsid w:val="00CD6A0F"/>
    <w:rsid w:val="00CD6B94"/>
    <w:rsid w:val="00CD7824"/>
    <w:rsid w:val="00CD7899"/>
    <w:rsid w:val="00CE019A"/>
    <w:rsid w:val="00CE0717"/>
    <w:rsid w:val="00CE12C7"/>
    <w:rsid w:val="00CE2988"/>
    <w:rsid w:val="00CE675A"/>
    <w:rsid w:val="00CE6C80"/>
    <w:rsid w:val="00CE72A6"/>
    <w:rsid w:val="00CF0628"/>
    <w:rsid w:val="00CF10B7"/>
    <w:rsid w:val="00CF5108"/>
    <w:rsid w:val="00CF57CB"/>
    <w:rsid w:val="00CF62C0"/>
    <w:rsid w:val="00CF65C5"/>
    <w:rsid w:val="00CF6606"/>
    <w:rsid w:val="00CF78BB"/>
    <w:rsid w:val="00D02365"/>
    <w:rsid w:val="00D025A4"/>
    <w:rsid w:val="00D02679"/>
    <w:rsid w:val="00D03752"/>
    <w:rsid w:val="00D051AA"/>
    <w:rsid w:val="00D05E57"/>
    <w:rsid w:val="00D1111B"/>
    <w:rsid w:val="00D11C96"/>
    <w:rsid w:val="00D12021"/>
    <w:rsid w:val="00D1335E"/>
    <w:rsid w:val="00D143BC"/>
    <w:rsid w:val="00D15347"/>
    <w:rsid w:val="00D15437"/>
    <w:rsid w:val="00D161FF"/>
    <w:rsid w:val="00D17DDD"/>
    <w:rsid w:val="00D20C7F"/>
    <w:rsid w:val="00D21637"/>
    <w:rsid w:val="00D2541F"/>
    <w:rsid w:val="00D25B81"/>
    <w:rsid w:val="00D25F9E"/>
    <w:rsid w:val="00D26663"/>
    <w:rsid w:val="00D26D32"/>
    <w:rsid w:val="00D30397"/>
    <w:rsid w:val="00D30AEB"/>
    <w:rsid w:val="00D3100E"/>
    <w:rsid w:val="00D315F9"/>
    <w:rsid w:val="00D320A9"/>
    <w:rsid w:val="00D32539"/>
    <w:rsid w:val="00D32768"/>
    <w:rsid w:val="00D34F77"/>
    <w:rsid w:val="00D35268"/>
    <w:rsid w:val="00D36740"/>
    <w:rsid w:val="00D368D4"/>
    <w:rsid w:val="00D37639"/>
    <w:rsid w:val="00D42E43"/>
    <w:rsid w:val="00D4350C"/>
    <w:rsid w:val="00D45E1C"/>
    <w:rsid w:val="00D47AFC"/>
    <w:rsid w:val="00D52355"/>
    <w:rsid w:val="00D5405A"/>
    <w:rsid w:val="00D572FD"/>
    <w:rsid w:val="00D61836"/>
    <w:rsid w:val="00D627EC"/>
    <w:rsid w:val="00D639A5"/>
    <w:rsid w:val="00D700DC"/>
    <w:rsid w:val="00D71C16"/>
    <w:rsid w:val="00D73AD4"/>
    <w:rsid w:val="00D74FFF"/>
    <w:rsid w:val="00D75340"/>
    <w:rsid w:val="00D76D9A"/>
    <w:rsid w:val="00D76E4D"/>
    <w:rsid w:val="00D7702D"/>
    <w:rsid w:val="00D7788A"/>
    <w:rsid w:val="00D77B7B"/>
    <w:rsid w:val="00D81FFE"/>
    <w:rsid w:val="00D84E6D"/>
    <w:rsid w:val="00D85799"/>
    <w:rsid w:val="00D87ED6"/>
    <w:rsid w:val="00D90028"/>
    <w:rsid w:val="00D913B5"/>
    <w:rsid w:val="00D915B2"/>
    <w:rsid w:val="00D922AF"/>
    <w:rsid w:val="00D93AB8"/>
    <w:rsid w:val="00D95801"/>
    <w:rsid w:val="00D95AF0"/>
    <w:rsid w:val="00D97054"/>
    <w:rsid w:val="00D977AD"/>
    <w:rsid w:val="00DA0C76"/>
    <w:rsid w:val="00DA1CE9"/>
    <w:rsid w:val="00DA1F2D"/>
    <w:rsid w:val="00DA3B48"/>
    <w:rsid w:val="00DA48FE"/>
    <w:rsid w:val="00DA71E6"/>
    <w:rsid w:val="00DA7953"/>
    <w:rsid w:val="00DB1215"/>
    <w:rsid w:val="00DB3C3B"/>
    <w:rsid w:val="00DB45AD"/>
    <w:rsid w:val="00DB47FA"/>
    <w:rsid w:val="00DB4ADB"/>
    <w:rsid w:val="00DB5421"/>
    <w:rsid w:val="00DB58A2"/>
    <w:rsid w:val="00DC0071"/>
    <w:rsid w:val="00DC365E"/>
    <w:rsid w:val="00DC388C"/>
    <w:rsid w:val="00DC4050"/>
    <w:rsid w:val="00DC7053"/>
    <w:rsid w:val="00DC7F01"/>
    <w:rsid w:val="00DD2953"/>
    <w:rsid w:val="00DD2C11"/>
    <w:rsid w:val="00DD46B3"/>
    <w:rsid w:val="00DD5F3D"/>
    <w:rsid w:val="00DD673D"/>
    <w:rsid w:val="00DE1068"/>
    <w:rsid w:val="00DE53D0"/>
    <w:rsid w:val="00DE5622"/>
    <w:rsid w:val="00DE5CDD"/>
    <w:rsid w:val="00DE70AD"/>
    <w:rsid w:val="00DE7D65"/>
    <w:rsid w:val="00DF49EE"/>
    <w:rsid w:val="00DF6F14"/>
    <w:rsid w:val="00DF7B2B"/>
    <w:rsid w:val="00DF7CCE"/>
    <w:rsid w:val="00E00380"/>
    <w:rsid w:val="00E0094E"/>
    <w:rsid w:val="00E00E67"/>
    <w:rsid w:val="00E01E4A"/>
    <w:rsid w:val="00E028B2"/>
    <w:rsid w:val="00E06BF3"/>
    <w:rsid w:val="00E06E57"/>
    <w:rsid w:val="00E072D2"/>
    <w:rsid w:val="00E1018B"/>
    <w:rsid w:val="00E10EEF"/>
    <w:rsid w:val="00E129A5"/>
    <w:rsid w:val="00E12D10"/>
    <w:rsid w:val="00E1453E"/>
    <w:rsid w:val="00E15EF4"/>
    <w:rsid w:val="00E173C7"/>
    <w:rsid w:val="00E175ED"/>
    <w:rsid w:val="00E22E6B"/>
    <w:rsid w:val="00E22F68"/>
    <w:rsid w:val="00E2355F"/>
    <w:rsid w:val="00E24E52"/>
    <w:rsid w:val="00E25CD8"/>
    <w:rsid w:val="00E2604B"/>
    <w:rsid w:val="00E26BB6"/>
    <w:rsid w:val="00E278F1"/>
    <w:rsid w:val="00E27BDF"/>
    <w:rsid w:val="00E311B5"/>
    <w:rsid w:val="00E363AC"/>
    <w:rsid w:val="00E3729A"/>
    <w:rsid w:val="00E408C2"/>
    <w:rsid w:val="00E40F62"/>
    <w:rsid w:val="00E4238A"/>
    <w:rsid w:val="00E43054"/>
    <w:rsid w:val="00E4318C"/>
    <w:rsid w:val="00E447BA"/>
    <w:rsid w:val="00E44C2C"/>
    <w:rsid w:val="00E47C6F"/>
    <w:rsid w:val="00E50F60"/>
    <w:rsid w:val="00E5396F"/>
    <w:rsid w:val="00E540CE"/>
    <w:rsid w:val="00E54EAF"/>
    <w:rsid w:val="00E54F9F"/>
    <w:rsid w:val="00E56865"/>
    <w:rsid w:val="00E56F18"/>
    <w:rsid w:val="00E57141"/>
    <w:rsid w:val="00E579F4"/>
    <w:rsid w:val="00E621E3"/>
    <w:rsid w:val="00E62930"/>
    <w:rsid w:val="00E632BB"/>
    <w:rsid w:val="00E66331"/>
    <w:rsid w:val="00E67343"/>
    <w:rsid w:val="00E675E1"/>
    <w:rsid w:val="00E70127"/>
    <w:rsid w:val="00E70CC7"/>
    <w:rsid w:val="00E71E26"/>
    <w:rsid w:val="00E73BBC"/>
    <w:rsid w:val="00E75C0E"/>
    <w:rsid w:val="00E75FD4"/>
    <w:rsid w:val="00E77208"/>
    <w:rsid w:val="00E803CC"/>
    <w:rsid w:val="00E808A9"/>
    <w:rsid w:val="00E81880"/>
    <w:rsid w:val="00E83FE2"/>
    <w:rsid w:val="00E85895"/>
    <w:rsid w:val="00E85F18"/>
    <w:rsid w:val="00E86C29"/>
    <w:rsid w:val="00E86FDE"/>
    <w:rsid w:val="00E91BCF"/>
    <w:rsid w:val="00E92086"/>
    <w:rsid w:val="00EA0883"/>
    <w:rsid w:val="00EA0EEA"/>
    <w:rsid w:val="00EA2788"/>
    <w:rsid w:val="00EA2ABB"/>
    <w:rsid w:val="00EA384A"/>
    <w:rsid w:val="00EA38E4"/>
    <w:rsid w:val="00EA3B8B"/>
    <w:rsid w:val="00EA573A"/>
    <w:rsid w:val="00EA6A54"/>
    <w:rsid w:val="00EA7DA8"/>
    <w:rsid w:val="00EB2E8A"/>
    <w:rsid w:val="00EB3B3B"/>
    <w:rsid w:val="00EB4C2D"/>
    <w:rsid w:val="00EB4EEE"/>
    <w:rsid w:val="00EB6AC2"/>
    <w:rsid w:val="00EB7BAB"/>
    <w:rsid w:val="00EB7E38"/>
    <w:rsid w:val="00EC106A"/>
    <w:rsid w:val="00EC1190"/>
    <w:rsid w:val="00EC19CB"/>
    <w:rsid w:val="00EC2640"/>
    <w:rsid w:val="00EC34EF"/>
    <w:rsid w:val="00EC4D80"/>
    <w:rsid w:val="00EC54EA"/>
    <w:rsid w:val="00ED06B6"/>
    <w:rsid w:val="00ED3D4F"/>
    <w:rsid w:val="00ED6402"/>
    <w:rsid w:val="00ED6D98"/>
    <w:rsid w:val="00EE0692"/>
    <w:rsid w:val="00EE11F2"/>
    <w:rsid w:val="00EE1953"/>
    <w:rsid w:val="00EE399F"/>
    <w:rsid w:val="00EE660F"/>
    <w:rsid w:val="00EE67C4"/>
    <w:rsid w:val="00EE739D"/>
    <w:rsid w:val="00EE7F02"/>
    <w:rsid w:val="00EF2A13"/>
    <w:rsid w:val="00EF2E9C"/>
    <w:rsid w:val="00EF682C"/>
    <w:rsid w:val="00EF6864"/>
    <w:rsid w:val="00EF73AF"/>
    <w:rsid w:val="00EF7805"/>
    <w:rsid w:val="00F04025"/>
    <w:rsid w:val="00F04275"/>
    <w:rsid w:val="00F04788"/>
    <w:rsid w:val="00F05D19"/>
    <w:rsid w:val="00F05F8C"/>
    <w:rsid w:val="00F06D16"/>
    <w:rsid w:val="00F076B2"/>
    <w:rsid w:val="00F07E12"/>
    <w:rsid w:val="00F1439D"/>
    <w:rsid w:val="00F143A2"/>
    <w:rsid w:val="00F1519F"/>
    <w:rsid w:val="00F16E5F"/>
    <w:rsid w:val="00F17867"/>
    <w:rsid w:val="00F17A2E"/>
    <w:rsid w:val="00F206EE"/>
    <w:rsid w:val="00F2189C"/>
    <w:rsid w:val="00F22640"/>
    <w:rsid w:val="00F230CF"/>
    <w:rsid w:val="00F2314E"/>
    <w:rsid w:val="00F2655C"/>
    <w:rsid w:val="00F30B62"/>
    <w:rsid w:val="00F324AF"/>
    <w:rsid w:val="00F334CD"/>
    <w:rsid w:val="00F33D02"/>
    <w:rsid w:val="00F35C3F"/>
    <w:rsid w:val="00F36C78"/>
    <w:rsid w:val="00F407CB"/>
    <w:rsid w:val="00F423C5"/>
    <w:rsid w:val="00F44056"/>
    <w:rsid w:val="00F456AD"/>
    <w:rsid w:val="00F45954"/>
    <w:rsid w:val="00F45A75"/>
    <w:rsid w:val="00F47657"/>
    <w:rsid w:val="00F47A94"/>
    <w:rsid w:val="00F47C62"/>
    <w:rsid w:val="00F5226C"/>
    <w:rsid w:val="00F532C2"/>
    <w:rsid w:val="00F57A86"/>
    <w:rsid w:val="00F606D9"/>
    <w:rsid w:val="00F60D78"/>
    <w:rsid w:val="00F6357E"/>
    <w:rsid w:val="00F637BE"/>
    <w:rsid w:val="00F63D1A"/>
    <w:rsid w:val="00F63EDA"/>
    <w:rsid w:val="00F6464F"/>
    <w:rsid w:val="00F65308"/>
    <w:rsid w:val="00F658DE"/>
    <w:rsid w:val="00F66740"/>
    <w:rsid w:val="00F6771E"/>
    <w:rsid w:val="00F716B6"/>
    <w:rsid w:val="00F72CDC"/>
    <w:rsid w:val="00F73765"/>
    <w:rsid w:val="00F74C80"/>
    <w:rsid w:val="00F76971"/>
    <w:rsid w:val="00F77816"/>
    <w:rsid w:val="00F77E66"/>
    <w:rsid w:val="00F8188B"/>
    <w:rsid w:val="00F82D13"/>
    <w:rsid w:val="00F83176"/>
    <w:rsid w:val="00F9056B"/>
    <w:rsid w:val="00F90876"/>
    <w:rsid w:val="00F90A14"/>
    <w:rsid w:val="00F93BD6"/>
    <w:rsid w:val="00F94157"/>
    <w:rsid w:val="00F95A48"/>
    <w:rsid w:val="00F9651E"/>
    <w:rsid w:val="00F968DA"/>
    <w:rsid w:val="00FA165A"/>
    <w:rsid w:val="00FA2B97"/>
    <w:rsid w:val="00FA45FE"/>
    <w:rsid w:val="00FA4A12"/>
    <w:rsid w:val="00FA5D66"/>
    <w:rsid w:val="00FA69EE"/>
    <w:rsid w:val="00FB0315"/>
    <w:rsid w:val="00FB0EC7"/>
    <w:rsid w:val="00FB5B8F"/>
    <w:rsid w:val="00FB6A4D"/>
    <w:rsid w:val="00FB6C27"/>
    <w:rsid w:val="00FB7A62"/>
    <w:rsid w:val="00FC047A"/>
    <w:rsid w:val="00FC1108"/>
    <w:rsid w:val="00FC1986"/>
    <w:rsid w:val="00FC4241"/>
    <w:rsid w:val="00FC5EEA"/>
    <w:rsid w:val="00FC6832"/>
    <w:rsid w:val="00FC6D00"/>
    <w:rsid w:val="00FC702E"/>
    <w:rsid w:val="00FD08B5"/>
    <w:rsid w:val="00FD650B"/>
    <w:rsid w:val="00FE0DCE"/>
    <w:rsid w:val="00FE10CA"/>
    <w:rsid w:val="00FE1794"/>
    <w:rsid w:val="00FE26F6"/>
    <w:rsid w:val="00FE2A38"/>
    <w:rsid w:val="00FE3CDA"/>
    <w:rsid w:val="00FE7AB4"/>
    <w:rsid w:val="00FF030A"/>
    <w:rsid w:val="00FF2D88"/>
    <w:rsid w:val="00FF4D55"/>
    <w:rsid w:val="00FF6554"/>
    <w:rsid w:val="011E18EA"/>
    <w:rsid w:val="012A1C82"/>
    <w:rsid w:val="01451284"/>
    <w:rsid w:val="019408E1"/>
    <w:rsid w:val="01AC628F"/>
    <w:rsid w:val="01C247F0"/>
    <w:rsid w:val="02275247"/>
    <w:rsid w:val="024E4D4B"/>
    <w:rsid w:val="029B1719"/>
    <w:rsid w:val="02EA385D"/>
    <w:rsid w:val="03666151"/>
    <w:rsid w:val="043F7C19"/>
    <w:rsid w:val="04562BFF"/>
    <w:rsid w:val="0482378E"/>
    <w:rsid w:val="052A1339"/>
    <w:rsid w:val="053E7EA7"/>
    <w:rsid w:val="05537441"/>
    <w:rsid w:val="05CB1E68"/>
    <w:rsid w:val="05FA7AFD"/>
    <w:rsid w:val="06055193"/>
    <w:rsid w:val="062D5785"/>
    <w:rsid w:val="06380572"/>
    <w:rsid w:val="07364B2E"/>
    <w:rsid w:val="088B2DAE"/>
    <w:rsid w:val="09014801"/>
    <w:rsid w:val="09040429"/>
    <w:rsid w:val="091A486A"/>
    <w:rsid w:val="0935355E"/>
    <w:rsid w:val="093E4AD1"/>
    <w:rsid w:val="097E1830"/>
    <w:rsid w:val="09913F68"/>
    <w:rsid w:val="09E91CB8"/>
    <w:rsid w:val="0A5E3E81"/>
    <w:rsid w:val="0A81337C"/>
    <w:rsid w:val="0A8F622E"/>
    <w:rsid w:val="0AB263C9"/>
    <w:rsid w:val="0AE80E5E"/>
    <w:rsid w:val="0B3A5B5D"/>
    <w:rsid w:val="0B53433B"/>
    <w:rsid w:val="0B616C99"/>
    <w:rsid w:val="0BB378AD"/>
    <w:rsid w:val="0C86755A"/>
    <w:rsid w:val="0CC02572"/>
    <w:rsid w:val="0D2E6E05"/>
    <w:rsid w:val="0D3C07CA"/>
    <w:rsid w:val="0D5E2B71"/>
    <w:rsid w:val="0E0A1690"/>
    <w:rsid w:val="0E507196"/>
    <w:rsid w:val="0E69733D"/>
    <w:rsid w:val="0E7502C9"/>
    <w:rsid w:val="0EBF1B4D"/>
    <w:rsid w:val="0EF41115"/>
    <w:rsid w:val="0EF8334D"/>
    <w:rsid w:val="0F7C31B9"/>
    <w:rsid w:val="0FF82916"/>
    <w:rsid w:val="10431999"/>
    <w:rsid w:val="10434E24"/>
    <w:rsid w:val="109F0F0F"/>
    <w:rsid w:val="111350B5"/>
    <w:rsid w:val="11421068"/>
    <w:rsid w:val="114B11C1"/>
    <w:rsid w:val="117C5BA8"/>
    <w:rsid w:val="11934E66"/>
    <w:rsid w:val="11A927E5"/>
    <w:rsid w:val="11F32FB1"/>
    <w:rsid w:val="11F37635"/>
    <w:rsid w:val="1208486E"/>
    <w:rsid w:val="12224762"/>
    <w:rsid w:val="12D0101E"/>
    <w:rsid w:val="13E434E9"/>
    <w:rsid w:val="14C25DBE"/>
    <w:rsid w:val="14EC1F9B"/>
    <w:rsid w:val="14FC061A"/>
    <w:rsid w:val="15673269"/>
    <w:rsid w:val="15A75B5A"/>
    <w:rsid w:val="16013AEB"/>
    <w:rsid w:val="161D5819"/>
    <w:rsid w:val="164C27D4"/>
    <w:rsid w:val="17242128"/>
    <w:rsid w:val="17951BD8"/>
    <w:rsid w:val="183313E5"/>
    <w:rsid w:val="18550A0B"/>
    <w:rsid w:val="18F03F71"/>
    <w:rsid w:val="19C308F0"/>
    <w:rsid w:val="19D95B43"/>
    <w:rsid w:val="19E542E7"/>
    <w:rsid w:val="1A317143"/>
    <w:rsid w:val="1A741166"/>
    <w:rsid w:val="1AC857F6"/>
    <w:rsid w:val="1B537FB5"/>
    <w:rsid w:val="1B557FB9"/>
    <w:rsid w:val="1B61058C"/>
    <w:rsid w:val="1B992CC3"/>
    <w:rsid w:val="1BC114CF"/>
    <w:rsid w:val="1C0575C5"/>
    <w:rsid w:val="1C1E3699"/>
    <w:rsid w:val="1C7414EB"/>
    <w:rsid w:val="1D521A99"/>
    <w:rsid w:val="1D634C4B"/>
    <w:rsid w:val="1DB12226"/>
    <w:rsid w:val="1DC45FD9"/>
    <w:rsid w:val="1DCC4B23"/>
    <w:rsid w:val="1DD53055"/>
    <w:rsid w:val="1E0E2C57"/>
    <w:rsid w:val="1EF07972"/>
    <w:rsid w:val="1F29674E"/>
    <w:rsid w:val="1F333443"/>
    <w:rsid w:val="1F9E6842"/>
    <w:rsid w:val="20E13E32"/>
    <w:rsid w:val="21070496"/>
    <w:rsid w:val="21D63FA3"/>
    <w:rsid w:val="21FF7039"/>
    <w:rsid w:val="225A176A"/>
    <w:rsid w:val="231E0A1B"/>
    <w:rsid w:val="23252854"/>
    <w:rsid w:val="235C684E"/>
    <w:rsid w:val="235F6952"/>
    <w:rsid w:val="23681124"/>
    <w:rsid w:val="2454322D"/>
    <w:rsid w:val="24CA4F9B"/>
    <w:rsid w:val="251021B8"/>
    <w:rsid w:val="257E3EC5"/>
    <w:rsid w:val="25B32829"/>
    <w:rsid w:val="25DA02D6"/>
    <w:rsid w:val="25E62689"/>
    <w:rsid w:val="271C5871"/>
    <w:rsid w:val="27A95556"/>
    <w:rsid w:val="27CE626D"/>
    <w:rsid w:val="27D33E52"/>
    <w:rsid w:val="27DA2571"/>
    <w:rsid w:val="28EB247C"/>
    <w:rsid w:val="29437386"/>
    <w:rsid w:val="298237AB"/>
    <w:rsid w:val="298B7B9D"/>
    <w:rsid w:val="29D300E3"/>
    <w:rsid w:val="29EA508E"/>
    <w:rsid w:val="29F663D9"/>
    <w:rsid w:val="2A1C1E22"/>
    <w:rsid w:val="2A470BB6"/>
    <w:rsid w:val="2A993C21"/>
    <w:rsid w:val="2AAE1F16"/>
    <w:rsid w:val="2ACD4B2A"/>
    <w:rsid w:val="2B102E72"/>
    <w:rsid w:val="2B19164D"/>
    <w:rsid w:val="2B6C7746"/>
    <w:rsid w:val="2BC07453"/>
    <w:rsid w:val="2BE83937"/>
    <w:rsid w:val="2C9123F8"/>
    <w:rsid w:val="2CAC0EC0"/>
    <w:rsid w:val="2D3F29C6"/>
    <w:rsid w:val="2D55559B"/>
    <w:rsid w:val="2DC92181"/>
    <w:rsid w:val="2DE300C6"/>
    <w:rsid w:val="2DEC3470"/>
    <w:rsid w:val="2E92011E"/>
    <w:rsid w:val="2EE90F34"/>
    <w:rsid w:val="2F253FDB"/>
    <w:rsid w:val="2F447F24"/>
    <w:rsid w:val="30170BE6"/>
    <w:rsid w:val="303E16A3"/>
    <w:rsid w:val="304412E3"/>
    <w:rsid w:val="314D35C4"/>
    <w:rsid w:val="317C3524"/>
    <w:rsid w:val="32544DCF"/>
    <w:rsid w:val="33142757"/>
    <w:rsid w:val="33945AC7"/>
    <w:rsid w:val="33A91332"/>
    <w:rsid w:val="33E858D1"/>
    <w:rsid w:val="340E3BD8"/>
    <w:rsid w:val="34854D79"/>
    <w:rsid w:val="35077A3D"/>
    <w:rsid w:val="35BF7F48"/>
    <w:rsid w:val="35E11B0C"/>
    <w:rsid w:val="36546D96"/>
    <w:rsid w:val="36EF5CA4"/>
    <w:rsid w:val="36FA0A45"/>
    <w:rsid w:val="37254777"/>
    <w:rsid w:val="37F937F9"/>
    <w:rsid w:val="38EB4977"/>
    <w:rsid w:val="38F93CAF"/>
    <w:rsid w:val="393304F4"/>
    <w:rsid w:val="39525478"/>
    <w:rsid w:val="3A124CAD"/>
    <w:rsid w:val="3A4757C0"/>
    <w:rsid w:val="3ABD6E7D"/>
    <w:rsid w:val="3B7B6935"/>
    <w:rsid w:val="3B8B1B03"/>
    <w:rsid w:val="3BB60BBC"/>
    <w:rsid w:val="3BE307D3"/>
    <w:rsid w:val="3C294C45"/>
    <w:rsid w:val="3C480151"/>
    <w:rsid w:val="3D86574B"/>
    <w:rsid w:val="3DE61709"/>
    <w:rsid w:val="3E0D4945"/>
    <w:rsid w:val="3E2C0516"/>
    <w:rsid w:val="3E3160C4"/>
    <w:rsid w:val="3E897092"/>
    <w:rsid w:val="3ED328A1"/>
    <w:rsid w:val="3F0B7CA6"/>
    <w:rsid w:val="3F887FF1"/>
    <w:rsid w:val="40304732"/>
    <w:rsid w:val="40324F79"/>
    <w:rsid w:val="4064761C"/>
    <w:rsid w:val="40E5568E"/>
    <w:rsid w:val="41233CCB"/>
    <w:rsid w:val="41625F1E"/>
    <w:rsid w:val="41677115"/>
    <w:rsid w:val="41D913EB"/>
    <w:rsid w:val="41F723F2"/>
    <w:rsid w:val="42B22CA2"/>
    <w:rsid w:val="442C4C6F"/>
    <w:rsid w:val="44330C77"/>
    <w:rsid w:val="44A57CC3"/>
    <w:rsid w:val="44AE5969"/>
    <w:rsid w:val="44F93EF5"/>
    <w:rsid w:val="4533104A"/>
    <w:rsid w:val="4612378B"/>
    <w:rsid w:val="461522A5"/>
    <w:rsid w:val="46390971"/>
    <w:rsid w:val="468E589E"/>
    <w:rsid w:val="46F7100D"/>
    <w:rsid w:val="46F867B6"/>
    <w:rsid w:val="47033EB4"/>
    <w:rsid w:val="475236B1"/>
    <w:rsid w:val="47807F0F"/>
    <w:rsid w:val="478A67F4"/>
    <w:rsid w:val="479A0EFD"/>
    <w:rsid w:val="4863021E"/>
    <w:rsid w:val="48837D9D"/>
    <w:rsid w:val="48D06D3F"/>
    <w:rsid w:val="48F71BA1"/>
    <w:rsid w:val="494B497B"/>
    <w:rsid w:val="496F6183"/>
    <w:rsid w:val="497C5567"/>
    <w:rsid w:val="49A962FC"/>
    <w:rsid w:val="4A3C2FDA"/>
    <w:rsid w:val="4A575138"/>
    <w:rsid w:val="4A651199"/>
    <w:rsid w:val="4AE968A5"/>
    <w:rsid w:val="4B7F16E1"/>
    <w:rsid w:val="4B835507"/>
    <w:rsid w:val="4BA342EE"/>
    <w:rsid w:val="4C030C51"/>
    <w:rsid w:val="4C291FBA"/>
    <w:rsid w:val="4C5402A4"/>
    <w:rsid w:val="4D080077"/>
    <w:rsid w:val="4D6F4FF7"/>
    <w:rsid w:val="4D6F7665"/>
    <w:rsid w:val="4D872DF3"/>
    <w:rsid w:val="4D88239F"/>
    <w:rsid w:val="4D9A5D72"/>
    <w:rsid w:val="4E177AA1"/>
    <w:rsid w:val="4E2C4076"/>
    <w:rsid w:val="4E4F36D0"/>
    <w:rsid w:val="4E6A4731"/>
    <w:rsid w:val="4EF55AC8"/>
    <w:rsid w:val="4F0D6529"/>
    <w:rsid w:val="4FD35D07"/>
    <w:rsid w:val="505D5D80"/>
    <w:rsid w:val="505F0D9A"/>
    <w:rsid w:val="5068027D"/>
    <w:rsid w:val="51FE520E"/>
    <w:rsid w:val="52233DC1"/>
    <w:rsid w:val="52475CA6"/>
    <w:rsid w:val="52901C07"/>
    <w:rsid w:val="52E40E60"/>
    <w:rsid w:val="534E7147"/>
    <w:rsid w:val="5390020C"/>
    <w:rsid w:val="540E4D32"/>
    <w:rsid w:val="54187E12"/>
    <w:rsid w:val="54A80D9A"/>
    <w:rsid w:val="54F234FC"/>
    <w:rsid w:val="55C75490"/>
    <w:rsid w:val="562C0669"/>
    <w:rsid w:val="56347280"/>
    <w:rsid w:val="563F3F8C"/>
    <w:rsid w:val="56431091"/>
    <w:rsid w:val="566A1E2E"/>
    <w:rsid w:val="567377C5"/>
    <w:rsid w:val="5691156E"/>
    <w:rsid w:val="56AF5B53"/>
    <w:rsid w:val="56D47378"/>
    <w:rsid w:val="57A1326A"/>
    <w:rsid w:val="57B8727D"/>
    <w:rsid w:val="57D02D57"/>
    <w:rsid w:val="57DE44EC"/>
    <w:rsid w:val="587E2441"/>
    <w:rsid w:val="58A42D5B"/>
    <w:rsid w:val="58D449A7"/>
    <w:rsid w:val="594E2E2F"/>
    <w:rsid w:val="5A8409C6"/>
    <w:rsid w:val="5AAE7A6C"/>
    <w:rsid w:val="5AB03A59"/>
    <w:rsid w:val="5ADC09FD"/>
    <w:rsid w:val="5B296AD3"/>
    <w:rsid w:val="5B331C38"/>
    <w:rsid w:val="5B7243A6"/>
    <w:rsid w:val="5BC74C11"/>
    <w:rsid w:val="5BDA15CA"/>
    <w:rsid w:val="5C52083B"/>
    <w:rsid w:val="5CCB1566"/>
    <w:rsid w:val="5DE37F0E"/>
    <w:rsid w:val="5E047B01"/>
    <w:rsid w:val="5E213B42"/>
    <w:rsid w:val="5EAF0E64"/>
    <w:rsid w:val="5EF35E3E"/>
    <w:rsid w:val="5F545CF6"/>
    <w:rsid w:val="5F6B2FB0"/>
    <w:rsid w:val="5F8852EC"/>
    <w:rsid w:val="5FA80F6A"/>
    <w:rsid w:val="5FA94BAF"/>
    <w:rsid w:val="5FBD57A7"/>
    <w:rsid w:val="5FD50E10"/>
    <w:rsid w:val="5FEE7AD9"/>
    <w:rsid w:val="5FFE068A"/>
    <w:rsid w:val="60185DC9"/>
    <w:rsid w:val="606D6446"/>
    <w:rsid w:val="61140AC6"/>
    <w:rsid w:val="61143CFC"/>
    <w:rsid w:val="614A1CE7"/>
    <w:rsid w:val="61537353"/>
    <w:rsid w:val="616C34A0"/>
    <w:rsid w:val="61827656"/>
    <w:rsid w:val="61BF1BD3"/>
    <w:rsid w:val="6272298E"/>
    <w:rsid w:val="628863F6"/>
    <w:rsid w:val="62C5781C"/>
    <w:rsid w:val="62C63194"/>
    <w:rsid w:val="631751F5"/>
    <w:rsid w:val="636B1C4A"/>
    <w:rsid w:val="63957651"/>
    <w:rsid w:val="63A83231"/>
    <w:rsid w:val="6484402E"/>
    <w:rsid w:val="64893544"/>
    <w:rsid w:val="64DD7D75"/>
    <w:rsid w:val="64F14C9A"/>
    <w:rsid w:val="651A65C6"/>
    <w:rsid w:val="652055BA"/>
    <w:rsid w:val="652F4D0F"/>
    <w:rsid w:val="65841387"/>
    <w:rsid w:val="65B91E50"/>
    <w:rsid w:val="660E2D19"/>
    <w:rsid w:val="664018DA"/>
    <w:rsid w:val="6642206F"/>
    <w:rsid w:val="66904523"/>
    <w:rsid w:val="66C628DE"/>
    <w:rsid w:val="66FD3C6A"/>
    <w:rsid w:val="67013B89"/>
    <w:rsid w:val="67A15272"/>
    <w:rsid w:val="67C70DA3"/>
    <w:rsid w:val="67CC5874"/>
    <w:rsid w:val="68A50BDA"/>
    <w:rsid w:val="68B83DCA"/>
    <w:rsid w:val="69E33059"/>
    <w:rsid w:val="6A0F0E27"/>
    <w:rsid w:val="6A563B85"/>
    <w:rsid w:val="6A9714FC"/>
    <w:rsid w:val="6AE33607"/>
    <w:rsid w:val="6AEA0EBB"/>
    <w:rsid w:val="6B603EF6"/>
    <w:rsid w:val="6BA37BE4"/>
    <w:rsid w:val="6BB93738"/>
    <w:rsid w:val="6BCA17CF"/>
    <w:rsid w:val="6BF64D28"/>
    <w:rsid w:val="6C587A4D"/>
    <w:rsid w:val="6C8A1F82"/>
    <w:rsid w:val="6CF341C7"/>
    <w:rsid w:val="6D051395"/>
    <w:rsid w:val="6D4F667F"/>
    <w:rsid w:val="6D6C5547"/>
    <w:rsid w:val="6D7C4DC3"/>
    <w:rsid w:val="6DE66FB3"/>
    <w:rsid w:val="6DF53B4B"/>
    <w:rsid w:val="6E1D44D6"/>
    <w:rsid w:val="6E697656"/>
    <w:rsid w:val="6E912608"/>
    <w:rsid w:val="6EA80F7A"/>
    <w:rsid w:val="6EBC0A32"/>
    <w:rsid w:val="6ECD626D"/>
    <w:rsid w:val="6EF627A1"/>
    <w:rsid w:val="6F0F4D30"/>
    <w:rsid w:val="6F332AAD"/>
    <w:rsid w:val="70177C8B"/>
    <w:rsid w:val="702D359D"/>
    <w:rsid w:val="703952D7"/>
    <w:rsid w:val="7098106F"/>
    <w:rsid w:val="71916502"/>
    <w:rsid w:val="7217323F"/>
    <w:rsid w:val="724D2528"/>
    <w:rsid w:val="726E29A2"/>
    <w:rsid w:val="727C7E4A"/>
    <w:rsid w:val="73B0796B"/>
    <w:rsid w:val="740E3F27"/>
    <w:rsid w:val="743D7D1D"/>
    <w:rsid w:val="7466354B"/>
    <w:rsid w:val="76471D3C"/>
    <w:rsid w:val="76813A91"/>
    <w:rsid w:val="76881211"/>
    <w:rsid w:val="76F75985"/>
    <w:rsid w:val="7716410E"/>
    <w:rsid w:val="77404FC8"/>
    <w:rsid w:val="77DA779A"/>
    <w:rsid w:val="78494E7A"/>
    <w:rsid w:val="785B68F3"/>
    <w:rsid w:val="78784138"/>
    <w:rsid w:val="78C63803"/>
    <w:rsid w:val="790C76C0"/>
    <w:rsid w:val="79536776"/>
    <w:rsid w:val="79C05F9F"/>
    <w:rsid w:val="79D2031D"/>
    <w:rsid w:val="79DD1CBC"/>
    <w:rsid w:val="7A01509D"/>
    <w:rsid w:val="7AD31C8E"/>
    <w:rsid w:val="7AF533F8"/>
    <w:rsid w:val="7B2A4766"/>
    <w:rsid w:val="7B2B3A8F"/>
    <w:rsid w:val="7B494CA1"/>
    <w:rsid w:val="7CCB7131"/>
    <w:rsid w:val="7CDB2D38"/>
    <w:rsid w:val="7CE00167"/>
    <w:rsid w:val="7D136A2C"/>
    <w:rsid w:val="7D1F028E"/>
    <w:rsid w:val="7D82120D"/>
    <w:rsid w:val="7DBE49CF"/>
    <w:rsid w:val="7DF31678"/>
    <w:rsid w:val="7E283990"/>
    <w:rsid w:val="7EA61E04"/>
    <w:rsid w:val="7F100BA9"/>
    <w:rsid w:val="7F152391"/>
    <w:rsid w:val="7F577F2D"/>
    <w:rsid w:val="7FE55BF9"/>
    <w:rsid w:val="7FE86D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80"/>
      <w:jc w:val="both"/>
    </w:pPr>
    <w:rPr>
      <w:rFonts w:ascii="Calibri" w:hAnsi="Calibri" w:eastAsia="宋体" w:cs="Times New Roman"/>
      <w:kern w:val="2"/>
      <w:sz w:val="21"/>
      <w:szCs w:val="22"/>
      <w:lang w:val="en-US" w:eastAsia="zh-CN" w:bidi="ar-SA"/>
    </w:rPr>
  </w:style>
  <w:style w:type="paragraph" w:styleId="3">
    <w:name w:val="heading 1"/>
    <w:basedOn w:val="1"/>
    <w:next w:val="1"/>
    <w:link w:val="37"/>
    <w:autoRedefine/>
    <w:qFormat/>
    <w:uiPriority w:val="0"/>
    <w:pPr>
      <w:keepNext/>
      <w:keepLines/>
      <w:spacing w:before="340" w:after="330" w:line="578" w:lineRule="auto"/>
      <w:jc w:val="center"/>
      <w:outlineLvl w:val="0"/>
    </w:pPr>
    <w:rPr>
      <w:b/>
      <w:bCs/>
      <w:kern w:val="44"/>
      <w:sz w:val="36"/>
      <w:szCs w:val="44"/>
    </w:rPr>
  </w:style>
  <w:style w:type="paragraph" w:styleId="4">
    <w:name w:val="heading 2"/>
    <w:basedOn w:val="1"/>
    <w:next w:val="1"/>
    <w:link w:val="47"/>
    <w:autoRedefine/>
    <w:qFormat/>
    <w:uiPriority w:val="0"/>
    <w:pPr>
      <w:widowControl/>
      <w:jc w:val="left"/>
      <w:outlineLvl w:val="1"/>
    </w:pPr>
    <w:rPr>
      <w:rFonts w:ascii="宋体" w:hAnsi="宋体"/>
      <w:b/>
      <w:kern w:val="0"/>
      <w:sz w:val="32"/>
      <w:szCs w:val="36"/>
    </w:rPr>
  </w:style>
  <w:style w:type="paragraph" w:styleId="5">
    <w:name w:val="heading 3"/>
    <w:basedOn w:val="1"/>
    <w:next w:val="1"/>
    <w:link w:val="42"/>
    <w:autoRedefine/>
    <w:qFormat/>
    <w:uiPriority w:val="0"/>
    <w:pPr>
      <w:keepNext/>
      <w:keepLines/>
      <w:spacing w:before="260" w:after="260" w:line="416" w:lineRule="auto"/>
      <w:outlineLvl w:val="2"/>
    </w:pPr>
    <w:rPr>
      <w:b/>
      <w:bCs/>
      <w:kern w:val="0"/>
      <w:sz w:val="30"/>
      <w:szCs w:val="32"/>
    </w:rPr>
  </w:style>
  <w:style w:type="paragraph" w:styleId="6">
    <w:name w:val="heading 4"/>
    <w:basedOn w:val="1"/>
    <w:next w:val="1"/>
    <w:autoRedefine/>
    <w:qFormat/>
    <w:uiPriority w:val="9"/>
    <w:pPr>
      <w:keepNext/>
      <w:keepLines/>
      <w:spacing w:line="372" w:lineRule="auto"/>
      <w:outlineLvl w:val="3"/>
    </w:pPr>
    <w:rPr>
      <w:rFonts w:ascii="Arial" w:hAnsi="Arial"/>
      <w:b/>
      <w:sz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semiHidden/>
    <w:qFormat/>
    <w:uiPriority w:val="0"/>
    <w:pPr>
      <w:ind w:firstLine="420" w:firstLineChars="200"/>
    </w:pPr>
  </w:style>
  <w:style w:type="paragraph" w:styleId="7">
    <w:name w:val="toc 7"/>
    <w:basedOn w:val="1"/>
    <w:next w:val="1"/>
    <w:autoRedefine/>
    <w:unhideWhenUsed/>
    <w:qFormat/>
    <w:locked/>
    <w:uiPriority w:val="39"/>
    <w:pPr>
      <w:ind w:left="2520" w:leftChars="1200"/>
    </w:pPr>
    <w:rPr>
      <w:rFonts w:asciiTheme="minorHAnsi" w:hAnsiTheme="minorHAnsi" w:eastAsiaTheme="minorEastAsia" w:cstheme="minorBidi"/>
    </w:rPr>
  </w:style>
  <w:style w:type="paragraph" w:styleId="8">
    <w:name w:val="caption"/>
    <w:basedOn w:val="1"/>
    <w:next w:val="1"/>
    <w:autoRedefine/>
    <w:qFormat/>
    <w:locked/>
    <w:uiPriority w:val="0"/>
    <w:rPr>
      <w:rFonts w:ascii="Cambria" w:hAnsi="Cambria" w:eastAsia="黑体"/>
      <w:sz w:val="20"/>
      <w:szCs w:val="20"/>
    </w:rPr>
  </w:style>
  <w:style w:type="paragraph" w:styleId="9">
    <w:name w:val="annotation text"/>
    <w:basedOn w:val="1"/>
    <w:link w:val="49"/>
    <w:autoRedefine/>
    <w:qFormat/>
    <w:uiPriority w:val="0"/>
    <w:pPr>
      <w:jc w:val="left"/>
    </w:pPr>
  </w:style>
  <w:style w:type="paragraph" w:styleId="10">
    <w:name w:val="Body Text"/>
    <w:basedOn w:val="1"/>
    <w:next w:val="11"/>
    <w:link w:val="48"/>
    <w:autoRedefine/>
    <w:qFormat/>
    <w:uiPriority w:val="0"/>
    <w:pPr>
      <w:spacing w:after="120"/>
    </w:pPr>
    <w:rPr>
      <w:kern w:val="0"/>
      <w:sz w:val="20"/>
      <w:szCs w:val="20"/>
    </w:rPr>
  </w:style>
  <w:style w:type="paragraph" w:styleId="11">
    <w:name w:val="toc 5"/>
    <w:basedOn w:val="1"/>
    <w:next w:val="1"/>
    <w:autoRedefine/>
    <w:unhideWhenUsed/>
    <w:qFormat/>
    <w:locked/>
    <w:uiPriority w:val="39"/>
    <w:pPr>
      <w:ind w:left="1680" w:leftChars="800"/>
    </w:pPr>
  </w:style>
  <w:style w:type="paragraph" w:styleId="12">
    <w:name w:val="toc 3"/>
    <w:basedOn w:val="1"/>
    <w:next w:val="1"/>
    <w:autoRedefine/>
    <w:qFormat/>
    <w:uiPriority w:val="39"/>
    <w:pPr>
      <w:ind w:left="840" w:leftChars="400"/>
    </w:pPr>
  </w:style>
  <w:style w:type="paragraph" w:styleId="13">
    <w:name w:val="Plain Text"/>
    <w:basedOn w:val="1"/>
    <w:link w:val="38"/>
    <w:autoRedefine/>
    <w:qFormat/>
    <w:uiPriority w:val="99"/>
    <w:rPr>
      <w:rFonts w:ascii="宋体" w:hAnsi="Courier New" w:cs="Courier New"/>
      <w:szCs w:val="21"/>
    </w:rPr>
  </w:style>
  <w:style w:type="paragraph" w:styleId="14">
    <w:name w:val="toc 8"/>
    <w:basedOn w:val="1"/>
    <w:next w:val="1"/>
    <w:autoRedefine/>
    <w:unhideWhenUsed/>
    <w:qFormat/>
    <w:locked/>
    <w:uiPriority w:val="39"/>
    <w:pPr>
      <w:ind w:left="2940" w:leftChars="1400"/>
    </w:pPr>
    <w:rPr>
      <w:rFonts w:asciiTheme="minorHAnsi" w:hAnsiTheme="minorHAnsi" w:eastAsiaTheme="minorEastAsia" w:cstheme="minorBidi"/>
    </w:rPr>
  </w:style>
  <w:style w:type="paragraph" w:styleId="15">
    <w:name w:val="Date"/>
    <w:basedOn w:val="1"/>
    <w:next w:val="1"/>
    <w:link w:val="43"/>
    <w:autoRedefine/>
    <w:semiHidden/>
    <w:qFormat/>
    <w:uiPriority w:val="0"/>
    <w:pPr>
      <w:ind w:left="100" w:leftChars="2500"/>
    </w:pPr>
    <w:rPr>
      <w:sz w:val="22"/>
    </w:rPr>
  </w:style>
  <w:style w:type="paragraph" w:styleId="16">
    <w:name w:val="endnote text"/>
    <w:basedOn w:val="1"/>
    <w:link w:val="51"/>
    <w:autoRedefine/>
    <w:qFormat/>
    <w:uiPriority w:val="0"/>
    <w:pPr>
      <w:snapToGrid w:val="0"/>
      <w:jc w:val="left"/>
    </w:pPr>
  </w:style>
  <w:style w:type="paragraph" w:styleId="17">
    <w:name w:val="Balloon Text"/>
    <w:basedOn w:val="1"/>
    <w:link w:val="40"/>
    <w:autoRedefine/>
    <w:semiHidden/>
    <w:qFormat/>
    <w:uiPriority w:val="0"/>
    <w:rPr>
      <w:kern w:val="0"/>
      <w:sz w:val="18"/>
      <w:szCs w:val="18"/>
    </w:rPr>
  </w:style>
  <w:style w:type="paragraph" w:styleId="18">
    <w:name w:val="footer"/>
    <w:basedOn w:val="1"/>
    <w:link w:val="46"/>
    <w:autoRedefine/>
    <w:qFormat/>
    <w:uiPriority w:val="0"/>
    <w:pPr>
      <w:tabs>
        <w:tab w:val="center" w:pos="4153"/>
        <w:tab w:val="right" w:pos="8306"/>
      </w:tabs>
      <w:snapToGrid w:val="0"/>
      <w:jc w:val="left"/>
    </w:pPr>
    <w:rPr>
      <w:kern w:val="0"/>
      <w:sz w:val="18"/>
      <w:szCs w:val="18"/>
    </w:rPr>
  </w:style>
  <w:style w:type="paragraph" w:styleId="19">
    <w:name w:val="header"/>
    <w:basedOn w:val="1"/>
    <w:link w:val="50"/>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39"/>
    <w:pPr>
      <w:tabs>
        <w:tab w:val="right" w:leader="dot" w:pos="9412"/>
      </w:tabs>
      <w:jc w:val="center"/>
    </w:pPr>
    <w:rPr>
      <w:rFonts w:ascii="宋体" w:hAnsi="宋体" w:cs="宋体"/>
      <w:b/>
      <w:bCs/>
      <w:sz w:val="32"/>
      <w:szCs w:val="32"/>
    </w:rPr>
  </w:style>
  <w:style w:type="paragraph" w:styleId="21">
    <w:name w:val="toc 4"/>
    <w:basedOn w:val="1"/>
    <w:next w:val="1"/>
    <w:autoRedefine/>
    <w:qFormat/>
    <w:locked/>
    <w:uiPriority w:val="39"/>
    <w:pPr>
      <w:ind w:left="1260" w:leftChars="600"/>
    </w:pPr>
  </w:style>
  <w:style w:type="paragraph" w:styleId="22">
    <w:name w:val="toc 6"/>
    <w:basedOn w:val="1"/>
    <w:next w:val="1"/>
    <w:autoRedefine/>
    <w:unhideWhenUsed/>
    <w:qFormat/>
    <w:locked/>
    <w:uiPriority w:val="39"/>
    <w:pPr>
      <w:ind w:left="2100" w:leftChars="1000"/>
    </w:pPr>
    <w:rPr>
      <w:rFonts w:asciiTheme="minorHAnsi" w:hAnsiTheme="minorHAnsi" w:eastAsiaTheme="minorEastAsia" w:cstheme="minorBidi"/>
    </w:rPr>
  </w:style>
  <w:style w:type="paragraph" w:styleId="23">
    <w:name w:val="toc 2"/>
    <w:basedOn w:val="1"/>
    <w:next w:val="1"/>
    <w:autoRedefine/>
    <w:qFormat/>
    <w:uiPriority w:val="39"/>
    <w:pPr>
      <w:ind w:left="420" w:leftChars="200"/>
    </w:pPr>
  </w:style>
  <w:style w:type="paragraph" w:styleId="24">
    <w:name w:val="toc 9"/>
    <w:basedOn w:val="1"/>
    <w:next w:val="1"/>
    <w:autoRedefine/>
    <w:unhideWhenUsed/>
    <w:qFormat/>
    <w:locked/>
    <w:uiPriority w:val="39"/>
    <w:pPr>
      <w:ind w:left="3360" w:leftChars="1600"/>
    </w:pPr>
    <w:rPr>
      <w:rFonts w:asciiTheme="minorHAnsi" w:hAnsiTheme="minorHAnsi" w:eastAsiaTheme="minorEastAsia" w:cstheme="minorBidi"/>
    </w:rPr>
  </w:style>
  <w:style w:type="paragraph" w:styleId="25">
    <w:name w:val="Normal (Web)"/>
    <w:basedOn w:val="1"/>
    <w:autoRedefine/>
    <w:qFormat/>
    <w:uiPriority w:val="0"/>
    <w:pPr>
      <w:widowControl/>
      <w:spacing w:after="150"/>
      <w:jc w:val="left"/>
    </w:pPr>
    <w:rPr>
      <w:rFonts w:ascii="宋体" w:hAnsi="宋体" w:cs="宋体"/>
      <w:kern w:val="0"/>
      <w:sz w:val="24"/>
      <w:szCs w:val="24"/>
    </w:rPr>
  </w:style>
  <w:style w:type="paragraph" w:styleId="26">
    <w:name w:val="annotation subject"/>
    <w:basedOn w:val="9"/>
    <w:next w:val="9"/>
    <w:link w:val="41"/>
    <w:autoRedefine/>
    <w:qFormat/>
    <w:uiPriority w:val="0"/>
    <w:rPr>
      <w:b/>
      <w:bCs/>
    </w:rPr>
  </w:style>
  <w:style w:type="paragraph" w:styleId="27">
    <w:name w:val="Body Text First Indent"/>
    <w:basedOn w:val="10"/>
    <w:link w:val="39"/>
    <w:autoRedefine/>
    <w:qFormat/>
    <w:uiPriority w:val="0"/>
    <w:pPr>
      <w:spacing w:after="0"/>
      <w:ind w:left="707" w:firstLine="420"/>
    </w:pPr>
    <w:rPr>
      <w:rFonts w:ascii="Times New Roman" w:hAnsi="Times New Roman"/>
      <w:sz w:val="21"/>
      <w:szCs w:val="21"/>
    </w:rPr>
  </w:style>
  <w:style w:type="table" w:styleId="29">
    <w:name w:val="Table Grid"/>
    <w:basedOn w:val="28"/>
    <w:autoRedefine/>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22"/>
    <w:rPr>
      <w:rFonts w:cs="Times New Roman"/>
      <w:b/>
      <w:bCs/>
    </w:rPr>
  </w:style>
  <w:style w:type="character" w:styleId="32">
    <w:name w:val="endnote reference"/>
    <w:autoRedefine/>
    <w:qFormat/>
    <w:uiPriority w:val="0"/>
    <w:rPr>
      <w:vertAlign w:val="superscript"/>
    </w:rPr>
  </w:style>
  <w:style w:type="character" w:styleId="33">
    <w:name w:val="page number"/>
    <w:basedOn w:val="30"/>
    <w:autoRedefine/>
    <w:qFormat/>
    <w:uiPriority w:val="0"/>
  </w:style>
  <w:style w:type="character" w:styleId="34">
    <w:name w:val="Emphasis"/>
    <w:autoRedefine/>
    <w:qFormat/>
    <w:uiPriority w:val="0"/>
    <w:rPr>
      <w:rFonts w:cs="Times New Roman"/>
      <w:color w:val="CC0000"/>
    </w:rPr>
  </w:style>
  <w:style w:type="character" w:styleId="35">
    <w:name w:val="Hyperlink"/>
    <w:autoRedefine/>
    <w:qFormat/>
    <w:uiPriority w:val="99"/>
    <w:rPr>
      <w:rFonts w:cs="Times New Roman"/>
      <w:color w:val="0000FF"/>
      <w:u w:val="single"/>
    </w:rPr>
  </w:style>
  <w:style w:type="character" w:styleId="36">
    <w:name w:val="annotation reference"/>
    <w:autoRedefine/>
    <w:qFormat/>
    <w:uiPriority w:val="0"/>
    <w:rPr>
      <w:sz w:val="21"/>
      <w:szCs w:val="21"/>
    </w:rPr>
  </w:style>
  <w:style w:type="character" w:customStyle="1" w:styleId="37">
    <w:name w:val="标题 1 Char"/>
    <w:link w:val="3"/>
    <w:autoRedefine/>
    <w:qFormat/>
    <w:locked/>
    <w:uiPriority w:val="0"/>
    <w:rPr>
      <w:rFonts w:ascii="Calibri" w:hAnsi="Calibri" w:eastAsia="宋体" w:cs="Times New Roman"/>
      <w:b/>
      <w:bCs/>
      <w:kern w:val="44"/>
      <w:sz w:val="36"/>
      <w:szCs w:val="44"/>
    </w:rPr>
  </w:style>
  <w:style w:type="character" w:customStyle="1" w:styleId="38">
    <w:name w:val="纯文本 Char"/>
    <w:link w:val="13"/>
    <w:autoRedefine/>
    <w:qFormat/>
    <w:uiPriority w:val="99"/>
    <w:rPr>
      <w:rFonts w:ascii="宋体" w:hAnsi="Courier New" w:cs="Courier New"/>
      <w:kern w:val="2"/>
      <w:sz w:val="21"/>
      <w:szCs w:val="21"/>
    </w:rPr>
  </w:style>
  <w:style w:type="character" w:customStyle="1" w:styleId="39">
    <w:name w:val="正文首行缩进 Char"/>
    <w:link w:val="27"/>
    <w:autoRedefine/>
    <w:qFormat/>
    <w:locked/>
    <w:uiPriority w:val="0"/>
    <w:rPr>
      <w:rFonts w:ascii="Times New Roman" w:hAnsi="Times New Roman" w:eastAsia="宋体" w:cs="Times New Roman"/>
      <w:sz w:val="21"/>
      <w:szCs w:val="21"/>
    </w:rPr>
  </w:style>
  <w:style w:type="character" w:customStyle="1" w:styleId="40">
    <w:name w:val="批注框文本 Char"/>
    <w:link w:val="17"/>
    <w:autoRedefine/>
    <w:semiHidden/>
    <w:qFormat/>
    <w:locked/>
    <w:uiPriority w:val="0"/>
    <w:rPr>
      <w:rFonts w:cs="Times New Roman"/>
      <w:sz w:val="18"/>
      <w:szCs w:val="18"/>
    </w:rPr>
  </w:style>
  <w:style w:type="character" w:customStyle="1" w:styleId="41">
    <w:name w:val="批注主题 Char"/>
    <w:link w:val="26"/>
    <w:autoRedefine/>
    <w:qFormat/>
    <w:uiPriority w:val="0"/>
    <w:rPr>
      <w:b/>
      <w:bCs/>
      <w:kern w:val="2"/>
      <w:sz w:val="21"/>
      <w:szCs w:val="22"/>
    </w:rPr>
  </w:style>
  <w:style w:type="character" w:customStyle="1" w:styleId="42">
    <w:name w:val="标题 3 Char"/>
    <w:link w:val="5"/>
    <w:autoRedefine/>
    <w:qFormat/>
    <w:locked/>
    <w:uiPriority w:val="0"/>
    <w:rPr>
      <w:rFonts w:ascii="Calibri" w:hAnsi="Calibri" w:eastAsia="宋体" w:cs="Times New Roman"/>
      <w:b/>
      <w:bCs/>
      <w:sz w:val="30"/>
      <w:szCs w:val="32"/>
    </w:rPr>
  </w:style>
  <w:style w:type="character" w:customStyle="1" w:styleId="43">
    <w:name w:val="日期 Char"/>
    <w:link w:val="15"/>
    <w:autoRedefine/>
    <w:semiHidden/>
    <w:qFormat/>
    <w:locked/>
    <w:uiPriority w:val="0"/>
    <w:rPr>
      <w:rFonts w:ascii="Calibri" w:hAnsi="Calibri" w:eastAsia="宋体" w:cs="Times New Roman"/>
      <w:kern w:val="2"/>
      <w:sz w:val="22"/>
      <w:szCs w:val="22"/>
    </w:rPr>
  </w:style>
  <w:style w:type="character" w:customStyle="1" w:styleId="44">
    <w:name w:val="bjh-strong"/>
    <w:autoRedefine/>
    <w:qFormat/>
    <w:uiPriority w:val="0"/>
    <w:rPr>
      <w:rFonts w:cs="Times New Roman"/>
    </w:rPr>
  </w:style>
  <w:style w:type="character" w:customStyle="1" w:styleId="45">
    <w:name w:val="title-prefix"/>
    <w:autoRedefine/>
    <w:qFormat/>
    <w:uiPriority w:val="0"/>
    <w:rPr>
      <w:rFonts w:cs="Times New Roman"/>
    </w:rPr>
  </w:style>
  <w:style w:type="character" w:customStyle="1" w:styleId="46">
    <w:name w:val="页脚 Char"/>
    <w:link w:val="18"/>
    <w:autoRedefine/>
    <w:qFormat/>
    <w:locked/>
    <w:uiPriority w:val="0"/>
    <w:rPr>
      <w:rFonts w:cs="Times New Roman"/>
      <w:sz w:val="18"/>
      <w:szCs w:val="18"/>
    </w:rPr>
  </w:style>
  <w:style w:type="character" w:customStyle="1" w:styleId="47">
    <w:name w:val="标题 2 Char"/>
    <w:link w:val="4"/>
    <w:autoRedefine/>
    <w:qFormat/>
    <w:locked/>
    <w:uiPriority w:val="0"/>
    <w:rPr>
      <w:rFonts w:ascii="宋体" w:hAnsi="宋体" w:eastAsia="宋体" w:cs="宋体"/>
      <w:b/>
      <w:kern w:val="0"/>
      <w:sz w:val="32"/>
      <w:szCs w:val="36"/>
    </w:rPr>
  </w:style>
  <w:style w:type="character" w:customStyle="1" w:styleId="48">
    <w:name w:val="正文文本 Char"/>
    <w:link w:val="10"/>
    <w:autoRedefine/>
    <w:qFormat/>
    <w:locked/>
    <w:uiPriority w:val="0"/>
    <w:rPr>
      <w:rFonts w:cs="Times New Roman"/>
    </w:rPr>
  </w:style>
  <w:style w:type="character" w:customStyle="1" w:styleId="49">
    <w:name w:val="批注文字 Char"/>
    <w:link w:val="9"/>
    <w:autoRedefine/>
    <w:qFormat/>
    <w:uiPriority w:val="0"/>
    <w:rPr>
      <w:kern w:val="2"/>
      <w:sz w:val="21"/>
      <w:szCs w:val="22"/>
    </w:rPr>
  </w:style>
  <w:style w:type="character" w:customStyle="1" w:styleId="50">
    <w:name w:val="页眉 Char"/>
    <w:link w:val="19"/>
    <w:autoRedefine/>
    <w:qFormat/>
    <w:locked/>
    <w:uiPriority w:val="0"/>
    <w:rPr>
      <w:rFonts w:cs="Times New Roman"/>
      <w:sz w:val="18"/>
      <w:szCs w:val="18"/>
    </w:rPr>
  </w:style>
  <w:style w:type="character" w:customStyle="1" w:styleId="51">
    <w:name w:val="尾注文本 Char"/>
    <w:link w:val="16"/>
    <w:autoRedefine/>
    <w:qFormat/>
    <w:uiPriority w:val="0"/>
    <w:rPr>
      <w:kern w:val="2"/>
      <w:sz w:val="21"/>
      <w:szCs w:val="22"/>
    </w:rPr>
  </w:style>
  <w:style w:type="paragraph" w:customStyle="1" w:styleId="52">
    <w:name w:val="列出段落1"/>
    <w:basedOn w:val="1"/>
    <w:autoRedefine/>
    <w:qFormat/>
    <w:uiPriority w:val="0"/>
    <w:pPr>
      <w:ind w:firstLine="420" w:firstLineChars="200"/>
    </w:pPr>
  </w:style>
  <w:style w:type="paragraph" w:customStyle="1" w:styleId="53">
    <w:name w:val="Char"/>
    <w:basedOn w:val="1"/>
    <w:autoRedefine/>
    <w:qFormat/>
    <w:uiPriority w:val="0"/>
    <w:rPr>
      <w:rFonts w:ascii="Times New Roman" w:hAnsi="Times New Roman" w:eastAsia="仿宋_GB2312"/>
      <w:sz w:val="32"/>
      <w:szCs w:val="20"/>
    </w:rPr>
  </w:style>
  <w:style w:type="paragraph" w:styleId="54">
    <w:name w:val="List Paragraph"/>
    <w:basedOn w:val="1"/>
    <w:autoRedefine/>
    <w:qFormat/>
    <w:uiPriority w:val="99"/>
    <w:pPr>
      <w:ind w:firstLine="420" w:firstLineChars="200"/>
    </w:pPr>
  </w:style>
  <w:style w:type="paragraph" w:customStyle="1" w:styleId="5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56">
    <w:name w:val="NormalCharacter"/>
    <w:link w:val="57"/>
    <w:autoRedefine/>
    <w:semiHidden/>
    <w:qFormat/>
    <w:locked/>
    <w:uiPriority w:val="99"/>
    <w:rPr>
      <w:rFonts w:ascii="Arial" w:hAnsi="Arial" w:eastAsia="宋体"/>
      <w:b/>
      <w:kern w:val="0"/>
      <w:sz w:val="24"/>
      <w:lang w:eastAsia="en-US"/>
    </w:rPr>
  </w:style>
  <w:style w:type="paragraph" w:customStyle="1" w:styleId="57">
    <w:name w:val="UserStyle_3"/>
    <w:basedOn w:val="1"/>
    <w:link w:val="56"/>
    <w:autoRedefine/>
    <w:qFormat/>
    <w:uiPriority w:val="99"/>
    <w:pPr>
      <w:spacing w:after="160" w:line="240" w:lineRule="exact"/>
      <w:jc w:val="left"/>
    </w:pPr>
    <w:rPr>
      <w:rFonts w:ascii="Arial" w:hAnsi="Arial"/>
      <w:b/>
      <w:kern w:val="0"/>
      <w:sz w:val="24"/>
      <w:lang w:eastAsia="en-US"/>
    </w:rPr>
  </w:style>
  <w:style w:type="paragraph" w:customStyle="1" w:styleId="58">
    <w:name w:val="无间隔1"/>
    <w:autoRedefine/>
    <w:qFormat/>
    <w:uiPriority w:val="99"/>
    <w:pPr>
      <w:widowControl w:val="0"/>
      <w:jc w:val="both"/>
    </w:pPr>
    <w:rPr>
      <w:rFonts w:ascii="Calibri" w:hAnsi="Calibri" w:eastAsia="方正仿宋_GBK"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增长率</a:t>
            </a:r>
            <a:endParaRPr lang="zh-CN" altLang="en-US" sz="1400" baseline="0"/>
          </a:p>
        </c:rich>
      </c:tx>
      <c:layout>
        <c:manualLayout>
          <c:xMode val="edge"/>
          <c:yMode val="edge"/>
          <c:x val="0.426712066397106"/>
          <c:y val="0.0447039299459767"/>
        </c:manualLayout>
      </c:layout>
      <c:overlay val="0"/>
    </c:title>
    <c:autoTitleDeleted val="0"/>
    <c:plotArea>
      <c:layout/>
      <c:barChart>
        <c:barDir val="col"/>
        <c:grouping val="clustered"/>
        <c:varyColors val="0"/>
        <c:ser>
          <c:idx val="0"/>
          <c:order val="0"/>
          <c:tx>
            <c:strRef>
              <c:f>Sheet1!$B$1</c:f>
              <c:strCache>
                <c:ptCount val="1"/>
                <c:pt idx="0">
                  <c:v>增长率</c:v>
                </c:pt>
              </c:strCache>
            </c:strRef>
          </c:tx>
          <c:invertIfNegative val="0"/>
          <c:dLbls>
            <c:dLbl>
              <c:idx val="0"/>
              <c:layout>
                <c:manualLayout>
                  <c:x val="0"/>
                  <c:y val="-0.01858736059479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02053720557658"/>
                  <c:y val="0.01220953150087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农林牧渔总产值</c:v>
                </c:pt>
                <c:pt idx="1">
                  <c:v>农民人均可支配收入</c:v>
                </c:pt>
              </c:strCache>
            </c:strRef>
          </c:cat>
          <c:val>
            <c:numRef>
              <c:f>Sheet1!$B$2:$B$3</c:f>
              <c:numCache>
                <c:formatCode>0.00%</c:formatCode>
                <c:ptCount val="2"/>
                <c:pt idx="0">
                  <c:v>0.153846153846154</c:v>
                </c:pt>
                <c:pt idx="1">
                  <c:v>0.408875449493298</c:v>
                </c:pt>
              </c:numCache>
            </c:numRef>
          </c:val>
        </c:ser>
        <c:dLbls>
          <c:showLegendKey val="0"/>
          <c:showVal val="0"/>
          <c:showCatName val="0"/>
          <c:showSerName val="0"/>
          <c:showPercent val="0"/>
          <c:showBubbleSize val="0"/>
        </c:dLbls>
        <c:gapWidth val="150"/>
        <c:axId val="301104128"/>
        <c:axId val="136692864"/>
      </c:barChart>
      <c:catAx>
        <c:axId val="3011041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136692864"/>
        <c:crosses val="autoZero"/>
        <c:auto val="1"/>
        <c:lblAlgn val="ctr"/>
        <c:lblOffset val="100"/>
        <c:noMultiLvlLbl val="0"/>
      </c:catAx>
      <c:valAx>
        <c:axId val="136692864"/>
        <c:scaling>
          <c:orientation val="minMax"/>
          <c:max val="0.5"/>
          <c:min val="0"/>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301104128"/>
        <c:crosses val="autoZero"/>
        <c:crossBetween val="between"/>
        <c:majorUnit val="0.1"/>
      </c:valAx>
    </c:plotArea>
    <c:legend>
      <c:legendPos val="r"/>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4965500446466"/>
          <c:y val="0.114320829822471"/>
          <c:w val="0.923884893254323"/>
          <c:h val="0.578595608943043"/>
        </c:manualLayout>
      </c:layout>
      <c:barChart>
        <c:barDir val="col"/>
        <c:grouping val="clustered"/>
        <c:varyColors val="0"/>
        <c:ser>
          <c:idx val="0"/>
          <c:order val="0"/>
          <c:tx>
            <c:strRef>
              <c:f>Sheet1!$A$5</c:f>
              <c:strCache>
                <c:ptCount val="1"/>
                <c:pt idx="0">
                  <c:v>2016年</c:v>
                </c:pt>
              </c:strCache>
            </c:strRef>
          </c:tx>
          <c:invertIfNegative val="0"/>
          <c:dLbls>
            <c:dLbl>
              <c:idx val="1"/>
              <c:layout>
                <c:manualLayout>
                  <c:x val="0.00206185567010309"/>
                  <c:y val="-0.03141258658457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Sheet1!$B$3:$D$4</c:f>
              <c:multiLvlStrCache>
                <c:ptCount val="3"/>
                <c:lvl>
                  <c:pt idx="0">
                    <c:v>面积/万亩</c:v>
                  </c:pt>
                  <c:pt idx="1">
                    <c:v>产量/万吨</c:v>
                  </c:pt>
                  <c:pt idx="2">
                    <c:v>总产值/亿元</c:v>
                  </c:pt>
                </c:lvl>
                <c:lvl>
                  <c:pt idx="0">
                    <c:v>无公害蔬菜种植</c:v>
                  </c:pt>
                </c:lvl>
              </c:multiLvlStrCache>
            </c:multiLvlStrRef>
          </c:cat>
          <c:val>
            <c:numRef>
              <c:f>Sheet1!$B$5:$D$5</c:f>
              <c:numCache>
                <c:formatCode>General</c:formatCode>
                <c:ptCount val="3"/>
                <c:pt idx="0">
                  <c:v>28</c:v>
                </c:pt>
                <c:pt idx="1">
                  <c:v>56</c:v>
                </c:pt>
                <c:pt idx="2">
                  <c:v>5.9</c:v>
                </c:pt>
              </c:numCache>
            </c:numRef>
          </c:val>
        </c:ser>
        <c:ser>
          <c:idx val="1"/>
          <c:order val="1"/>
          <c:tx>
            <c:strRef>
              <c:f>Sheet1!$A$6</c:f>
              <c:strCache>
                <c:ptCount val="1"/>
                <c:pt idx="0">
                  <c:v>2020年</c:v>
                </c:pt>
              </c:strCache>
            </c:strRef>
          </c:tx>
          <c:invertIfNegative val="0"/>
          <c:dLbls>
            <c:dLbl>
              <c:idx val="0"/>
              <c:layout>
                <c:manualLayout>
                  <c:x val="-0.00206185567010313"/>
                  <c:y val="0.0187969924812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Sheet1!$B$3:$D$4</c:f>
              <c:multiLvlStrCache>
                <c:ptCount val="3"/>
                <c:lvl>
                  <c:pt idx="0">
                    <c:v>面积/万亩</c:v>
                  </c:pt>
                  <c:pt idx="1">
                    <c:v>产量/万吨</c:v>
                  </c:pt>
                  <c:pt idx="2">
                    <c:v>总产值/亿元</c:v>
                  </c:pt>
                </c:lvl>
                <c:lvl>
                  <c:pt idx="0">
                    <c:v>无公害蔬菜种植</c:v>
                  </c:pt>
                </c:lvl>
              </c:multiLvlStrCache>
            </c:multiLvlStrRef>
          </c:cat>
          <c:val>
            <c:numRef>
              <c:f>Sheet1!$B$6:$D$6</c:f>
              <c:numCache>
                <c:formatCode>General</c:formatCode>
                <c:ptCount val="3"/>
                <c:pt idx="0">
                  <c:v>30.7</c:v>
                </c:pt>
                <c:pt idx="1">
                  <c:v>64.5</c:v>
                </c:pt>
                <c:pt idx="2">
                  <c:v>9.61</c:v>
                </c:pt>
              </c:numCache>
            </c:numRef>
          </c:val>
        </c:ser>
        <c:dLbls>
          <c:showLegendKey val="0"/>
          <c:showVal val="0"/>
          <c:showCatName val="0"/>
          <c:showSerName val="0"/>
          <c:showPercent val="0"/>
          <c:showBubbleSize val="0"/>
        </c:dLbls>
        <c:gapWidth val="150"/>
        <c:axId val="301103104"/>
        <c:axId val="136694592"/>
      </c:barChart>
      <c:catAx>
        <c:axId val="3011031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136694592"/>
        <c:crosses val="autoZero"/>
        <c:auto val="1"/>
        <c:lblAlgn val="ctr"/>
        <c:lblOffset val="100"/>
        <c:noMultiLvlLbl val="0"/>
      </c:catAx>
      <c:valAx>
        <c:axId val="1366945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301103104"/>
        <c:crosses val="autoZero"/>
        <c:crossBetween val="between"/>
        <c:majorUnit val="10"/>
      </c:valAx>
    </c:plotArea>
    <c:legend>
      <c:legendPos val="b"/>
      <c:layout>
        <c:manualLayout>
          <c:xMode val="edge"/>
          <c:yMode val="edge"/>
          <c:x val="0.387702248559136"/>
          <c:y val="0.922109703392339"/>
          <c:w val="0.244847083449963"/>
          <c:h val="0.0778902318738822"/>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03358463170827"/>
          <c:y val="0.0568453943257093"/>
          <c:w val="0.819922717993585"/>
          <c:h val="0.663520948770293"/>
        </c:manualLayout>
      </c:layout>
      <c:barChart>
        <c:barDir val="col"/>
        <c:grouping val="clustered"/>
        <c:varyColors val="0"/>
        <c:ser>
          <c:idx val="0"/>
          <c:order val="0"/>
          <c:tx>
            <c:strRef>
              <c:f>Sheet1!$C$1</c:f>
              <c:strCache>
                <c:ptCount val="1"/>
                <c:pt idx="0">
                  <c:v>2016年</c:v>
                </c:pt>
              </c:strCache>
            </c:strRef>
          </c:tx>
          <c:spPr>
            <a:ln>
              <a:noFill/>
            </a:ln>
          </c:spPr>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Sheet1!$B$2:$B$3</c:f>
              <c:strCache>
                <c:ptCount val="2"/>
                <c:pt idx="0">
                  <c:v>产量/亿枝</c:v>
                </c:pt>
                <c:pt idx="1">
                  <c:v>总产值/亿元</c:v>
                </c:pt>
              </c:strCache>
            </c:strRef>
          </c:cat>
          <c:val>
            <c:numRef>
              <c:f>Sheet1!$C$2:$C$3</c:f>
              <c:numCache>
                <c:formatCode>General</c:formatCode>
                <c:ptCount val="2"/>
                <c:pt idx="0">
                  <c:v>8.8</c:v>
                </c:pt>
                <c:pt idx="1">
                  <c:v>5.47</c:v>
                </c:pt>
              </c:numCache>
            </c:numRef>
          </c:val>
        </c:ser>
        <c:ser>
          <c:idx val="1"/>
          <c:order val="1"/>
          <c:tx>
            <c:strRef>
              <c:f>Sheet1!$D$1</c:f>
              <c:strCache>
                <c:ptCount val="1"/>
                <c:pt idx="0">
                  <c:v>2020年</c:v>
                </c:pt>
              </c:strCache>
            </c:strRef>
          </c:tx>
          <c:invertIfNegative val="0"/>
          <c:dLbls>
            <c:dLbl>
              <c:idx val="0"/>
              <c:layout>
                <c:manualLayout>
                  <c:x val="0.00505050505050505"/>
                  <c:y val="0.01465201465201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52525252525253"/>
                  <c:y val="-3.49761934286266e-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Sheet1!$B$2:$B$3</c:f>
              <c:strCache>
                <c:ptCount val="2"/>
                <c:pt idx="0">
                  <c:v>产量/亿枝</c:v>
                </c:pt>
                <c:pt idx="1">
                  <c:v>总产值/亿元</c:v>
                </c:pt>
              </c:strCache>
            </c:strRef>
          </c:cat>
          <c:val>
            <c:numRef>
              <c:f>Sheet1!$D$2:$D$3</c:f>
              <c:numCache>
                <c:formatCode>General</c:formatCode>
                <c:ptCount val="2"/>
                <c:pt idx="0">
                  <c:v>8.92</c:v>
                </c:pt>
                <c:pt idx="1">
                  <c:v>9.3</c:v>
                </c:pt>
              </c:numCache>
            </c:numRef>
          </c:val>
        </c:ser>
        <c:dLbls>
          <c:showLegendKey val="0"/>
          <c:showVal val="0"/>
          <c:showCatName val="0"/>
          <c:showSerName val="0"/>
          <c:showPercent val="0"/>
          <c:showBubbleSize val="0"/>
        </c:dLbls>
        <c:gapWidth val="150"/>
        <c:axId val="301095936"/>
        <c:axId val="136696320"/>
      </c:barChart>
      <c:catAx>
        <c:axId val="301095936"/>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200" b="0" i="0" baseline="0"/>
                  <a:t>鲜切花生产</a:t>
                </a:r>
                <a:endParaRPr lang="zh-CN" altLang="en-US" sz="1200" b="0" i="0" baseline="0"/>
              </a:p>
            </c:rich>
          </c:tx>
          <c:layout>
            <c:manualLayout>
              <c:xMode val="edge"/>
              <c:yMode val="edge"/>
              <c:x val="0.417602055062266"/>
              <c:y val="0.793937272992391"/>
            </c:manualLayout>
          </c:layout>
          <c:overlay val="0"/>
        </c:title>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136696320"/>
        <c:crosses val="autoZero"/>
        <c:auto val="1"/>
        <c:lblAlgn val="ctr"/>
        <c:lblOffset val="100"/>
        <c:noMultiLvlLbl val="0"/>
      </c:catAx>
      <c:valAx>
        <c:axId val="136696320"/>
        <c:scaling>
          <c:orientation val="minMax"/>
        </c:scaling>
        <c:delete val="0"/>
        <c:axPos val="l"/>
        <c:majorGridlines/>
        <c:numFmt formatCode="#,##0.0_);[Red]\(#,##0.0\)" sourceLinked="0"/>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301095936"/>
        <c:crosses val="autoZero"/>
        <c:crossBetween val="between"/>
        <c:majorUnit val="2.5"/>
      </c:valAx>
    </c:plotArea>
    <c:legend>
      <c:legendPos val="b"/>
      <c:layout>
        <c:manualLayout>
          <c:xMode val="edge"/>
          <c:yMode val="edge"/>
          <c:x val="0.331472161724467"/>
          <c:y val="0.889175570225439"/>
          <c:w val="0.300030422333572"/>
          <c:h val="0.100139405651217"/>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CF96A-EC49-4393-AA16-BDCD5847F33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94</Pages>
  <Words>8010</Words>
  <Characters>45660</Characters>
  <Lines>380</Lines>
  <Paragraphs>107</Paragraphs>
  <TotalTime>26</TotalTime>
  <ScaleCrop>false</ScaleCrop>
  <LinksUpToDate>false</LinksUpToDate>
  <CharactersWithSpaces>53563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2021-06-09T03:42:00Z</dcterms:created>
  <dc:creator>user</dc:creator>
  <cp:lastModifiedBy>景鸿成</cp:lastModifiedBy>
  <cp:lastPrinted>2021-03-11T03:28:00Z</cp:lastPrinted>
  <dcterms:modified xsi:type="dcterms:W3CDTF">2024-03-07T09:08:13Z</dcterms:modified>
  <dc:title>嵩明县“十四五”专项规划之八</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CD6357FCAC3D41E6B231A2A6D72E4264_13</vt:lpwstr>
  </property>
</Properties>
</file>