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10</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12</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18</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10"/>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07"/>
        <w:gridCol w:w="1512"/>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07"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12"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464"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ind w:firstLine="240" w:firstLineChars="100"/>
              <w:jc w:val="both"/>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云南精匠新型环保材料有限公司木塑板材生产项目环境影响报告表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cs="Times New Roman"/>
                <w:bCs/>
                <w:color w:val="000000"/>
                <w:kern w:val="0"/>
                <w:sz w:val="24"/>
                <w:szCs w:val="24"/>
                <w:lang w:val="en-US" w:eastAsia="zh-CN"/>
              </w:rPr>
              <w:t>云南省昆明市嵩明县杨林经济技术开发区天水路云南钱胜工贸有限公司内</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云南精匠新型环保材料有限</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464"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ind w:firstLine="240" w:firstLineChars="100"/>
              <w:jc w:val="both"/>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云南通仕达桥架制造有限公司通仕达桥架、通风设备、母线槽项目环境影响报告表</w:t>
            </w:r>
          </w:p>
        </w:tc>
        <w:tc>
          <w:tcPr>
            <w:tcW w:w="2410"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云南省昆明市嵩明县杨林工业园区天水路延长线能源设备路2号厂房</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云南通仕达桥架制造有限公司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云南环秀环保工程有限公司</w:t>
            </w:r>
          </w:p>
        </w:tc>
        <w:tc>
          <w:tcPr>
            <w:tcW w:w="1464"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云南飒雪制冷设备工程有限公司制冷设备生产项目环境影响报告表</w:t>
            </w:r>
          </w:p>
        </w:tc>
        <w:tc>
          <w:tcPr>
            <w:tcW w:w="2410"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云南省昆明市嵩明县杨林经济技术开发区浙商产业园二期48号地</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云南飒雪制冷设备工程有限公司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464"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日</w:t>
            </w:r>
            <w:bookmarkStart w:id="0" w:name="_GoBack"/>
            <w:bookmarkEnd w:id="0"/>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D046B"/>
    <w:multiLevelType w:val="singleLevel"/>
    <w:tmpl w:val="0DFD046B"/>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5DBED3D3"/>
    <w:rsid w:val="669C80FF"/>
    <w:rsid w:val="749FA4C0"/>
    <w:rsid w:val="7BFF6CE2"/>
    <w:rsid w:val="7F7F423D"/>
    <w:rsid w:val="7FBF7AA9"/>
    <w:rsid w:val="7FFF9C1C"/>
    <w:rsid w:val="99DDFF06"/>
    <w:rsid w:val="AC7E8B0C"/>
    <w:rsid w:val="BE7E2ADB"/>
    <w:rsid w:val="EDFDEB8A"/>
    <w:rsid w:val="EFF9FD3B"/>
    <w:rsid w:val="F0DAEA1D"/>
    <w:rsid w:val="F7D8A317"/>
    <w:rsid w:val="F977F87C"/>
    <w:rsid w:val="F9EFC8BD"/>
    <w:rsid w:val="FB4E878B"/>
    <w:rsid w:val="FD6FFC8B"/>
    <w:rsid w:val="FD7B8FC4"/>
    <w:rsid w:val="FE4C7C2C"/>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 w:type="paragraph" w:styleId="4">
    <w:name w:val="Body Text"/>
    <w:basedOn w:val="1"/>
    <w:next w:val="5"/>
    <w:qFormat/>
    <w:uiPriority w:val="0"/>
    <w:pPr>
      <w:widowControl/>
      <w:spacing w:before="60" w:after="160" w:line="259" w:lineRule="auto"/>
      <w:ind w:right="113"/>
    </w:pPr>
    <w:rPr>
      <w:kern w:val="0"/>
      <w:sz w:val="18"/>
      <w:szCs w:val="20"/>
    </w:rPr>
  </w:style>
  <w:style w:type="paragraph" w:styleId="5">
    <w:name w:val="List Bullet 5"/>
    <w:basedOn w:val="1"/>
    <w:qFormat/>
    <w:uiPriority w:val="0"/>
    <w:pPr>
      <w:numPr>
        <w:ilvl w:val="0"/>
        <w:numId w:val="1"/>
      </w:numPr>
    </w:pPr>
  </w:style>
  <w:style w:type="paragraph" w:styleId="6">
    <w:name w:val="Body Text Indent"/>
    <w:basedOn w:val="1"/>
    <w:next w:val="7"/>
    <w:qFormat/>
    <w:uiPriority w:val="0"/>
    <w:pPr>
      <w:spacing w:after="120"/>
      <w:ind w:left="420" w:leftChars="200"/>
    </w:pPr>
    <w:rPr>
      <w:kern w:val="0"/>
      <w:sz w:val="24"/>
      <w:szCs w:val="20"/>
    </w:rPr>
  </w:style>
  <w:style w:type="paragraph" w:customStyle="1" w:styleId="7">
    <w:name w:val="样式 正文文本缩进 + 行距: 1.5 倍行距"/>
    <w:basedOn w:val="6"/>
    <w:qFormat/>
    <w:uiPriority w:val="0"/>
    <w:pPr>
      <w:spacing w:line="360" w:lineRule="auto"/>
      <w:ind w:left="0" w:leftChars="0" w:firstLine="560" w:firstLineChars="200"/>
    </w:pPr>
    <w:rPr>
      <w:b/>
      <w:bCs/>
      <w:sz w:val="28"/>
    </w:rPr>
  </w:style>
  <w:style w:type="paragraph" w:styleId="8">
    <w:name w:val="Body Text First Indent"/>
    <w:basedOn w:val="4"/>
    <w:next w:val="1"/>
    <w:unhideWhenUsed/>
    <w:qFormat/>
    <w:uiPriority w:val="0"/>
    <w:pPr>
      <w:ind w:firstLine="420" w:firstLineChars="100"/>
    </w:pPr>
    <w:rPr>
      <w:sz w:val="21"/>
      <w:szCs w:val="24"/>
    </w:rPr>
  </w:style>
  <w:style w:type="paragraph" w:styleId="9">
    <w:name w:val="Body Text First Indent 2"/>
    <w:basedOn w:val="6"/>
    <w:next w:val="8"/>
    <w:qFormat/>
    <w:uiPriority w:val="0"/>
    <w:pPr>
      <w:ind w:firstLine="420"/>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2397</Words>
  <Characters>2740</Characters>
  <Lines>0</Lines>
  <Paragraphs>0</Paragraphs>
  <TotalTime>0</TotalTime>
  <ScaleCrop>false</ScaleCrop>
  <LinksUpToDate>false</LinksUpToDate>
  <CharactersWithSpaces>2761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2023-03-28T09:58:00Z</dcterms:created>
  <dc:creator>user</dc:creator>
  <cp:lastModifiedBy>user</cp:lastModifiedBy>
  <dcterms:modified xsi:type="dcterms:W3CDTF">2023-10-25T09:35:44Z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