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嵩明县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审计局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重大行政决策事项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为明确重大行政决策范围，规范本单位重大行政决策目录编制工作，根据《重大行政决策程序暂行条例》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（国务院令第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省重大行政决策程序规定》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（省人民政府令第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217号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相关规定，依照单位职责权限和工作实际，现将重大行政决策事项的具体标准明确如下：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（一）坚持党的领导，贯彻党的路线方针政策和决策部署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（二）符合法定的职责权限范围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（三）结合本局实际，突出针对性、具备可操作性和灵活性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二、重大行政决策事项目录标准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重要的行政规范性文件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审计项目计划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方面的重大事项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重大行政决策的作出和调整，应当坚持和加强党的全面领导，坚持科学、民主、法治的原则，遵循公众参与、专家论证、风险评估、合法性审查和集体讨论决定相结合的决策机制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（二）建立重大行政决策档案管理制度，对决策过程和决策实施中的文件资料及时整理归档，实行决策程序全过程记录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（三）重大行政决策事项的目录实行动态管理，根据实际情况适时进行调整。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760" w:firstLineChars="18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嵩明县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审计局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81916"/>
    <w:rsid w:val="12CF1541"/>
    <w:rsid w:val="21A81916"/>
    <w:rsid w:val="2524493A"/>
    <w:rsid w:val="25C26BC5"/>
    <w:rsid w:val="290E68CF"/>
    <w:rsid w:val="2A524DCF"/>
    <w:rsid w:val="2FF91736"/>
    <w:rsid w:val="377F3776"/>
    <w:rsid w:val="58407222"/>
    <w:rsid w:val="58B917F1"/>
    <w:rsid w:val="59D40EB0"/>
    <w:rsid w:val="5A1063E9"/>
    <w:rsid w:val="69D04679"/>
    <w:rsid w:val="6C620410"/>
    <w:rsid w:val="6D7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2023-09-05T15:32:00Z</dcterms:created>
  <dc:creator>稀粥酸粥八宝粥</dc:creator>
  <cp:lastModifiedBy>洁。</cp:lastModifiedBy>
  <cp:lastPrinted>2023-09-08T14:58:00Z</cp:lastPrinted>
  <dcterms:modified xsi:type="dcterms:W3CDTF">2023-09-19T18:37:01Z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F0D3BB49F4CA46689ED877BC547C729F</vt:lpwstr>
  </property>
</Properties>
</file>