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嵩明县城市管理局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重大行政决策事项目录标准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为进一步规范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嵩明县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城市管理局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重大行政决策程序，提高决策质量和效率，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根据《重大行政决策程序暂行条例》（国务院令第713号）、《云南省重大行政决策程序规定》（省人民政府令第217号）等有关规定，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以及嵩明县人民政府办公室《关于编制上报重大行政决策目录、标准的通知》要求，结合我局实际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嵩明县城市管理局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编制原则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（一）坚持党的领导，贯彻党的路线方针政策和决策部署；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（二）符合法定的职责权限范围；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96" w:firstLineChars="200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color="auto" w:fill="FFFFFF"/>
        </w:rPr>
        <w:t>（三）结合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color="auto" w:fill="FFFFFF"/>
        </w:rPr>
        <w:t>实际，突出针对性、具备可操作性和灵活性。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二、重大行政决策事项目录标准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制定或调整有关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城市管理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方面的重大公共政策和措施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1.制定有关城市管理、综合行政执法的重大公共政策和措施；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2.制定有关行政管理体制调整、综合执法体制改革等重大公共政策和措施；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3.制定有关公共服务体系建设（包括市容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、环境卫生、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园林景观、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城市道路、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市政基础设施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、固废监管等）的重大公共政策和措施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涉及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城市管理发展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方面的重要规划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制定有关城市管理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的中长期规划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和年度计划；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制定城市管理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重点专项规划。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其他涉及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城市管理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方面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的重大行政决策事项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1.对城市发展有重大影响、涉及重大公共利益或者社会公众切身利益的其他重大事项。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经局党组会议研究决定为我局重大行政决策事项。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三、有关要求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实际，明确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重大行政决策事项的目录、标准，报经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党组同意后向社会公布；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（二）重大行政决策事项的目录实行动态管理，根据实际情况适时进行调整。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WU5MjYyNTUxODc0YTkxMDY4ZDUyNDU5MzYwMWIifQ=="/>
  </w:docVars>
  <w:rsids>
    <w:rsidRoot w:val="65C1631F"/>
    <w:rsid w:val="051B106F"/>
    <w:rsid w:val="07F57B8E"/>
    <w:rsid w:val="08847D87"/>
    <w:rsid w:val="100730AF"/>
    <w:rsid w:val="14BF0C39"/>
    <w:rsid w:val="1634517A"/>
    <w:rsid w:val="17BA2861"/>
    <w:rsid w:val="29CA4E9C"/>
    <w:rsid w:val="2F1269C8"/>
    <w:rsid w:val="300B6BE0"/>
    <w:rsid w:val="3BD55437"/>
    <w:rsid w:val="416A66CC"/>
    <w:rsid w:val="41765073"/>
    <w:rsid w:val="424B67D0"/>
    <w:rsid w:val="46626485"/>
    <w:rsid w:val="46AF0FE7"/>
    <w:rsid w:val="50F817A1"/>
    <w:rsid w:val="59CE513A"/>
    <w:rsid w:val="637A12C2"/>
    <w:rsid w:val="642D3B9D"/>
    <w:rsid w:val="65922853"/>
    <w:rsid w:val="65C1631F"/>
    <w:rsid w:val="66040B8B"/>
    <w:rsid w:val="735B6AB0"/>
    <w:rsid w:val="7462362C"/>
    <w:rsid w:val="74697E54"/>
    <w:rsid w:val="79CE7BE3"/>
    <w:rsid w:val="7B6729E7"/>
    <w:rsid w:val="7BBF2749"/>
    <w:rsid w:val="7F1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Title"/>
    <w:basedOn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2023-09-07T13:45:00Z</dcterms:created>
  <dc:creator>张小姨</dc:creator>
  <cp:lastModifiedBy>洁。</cp:lastModifiedBy>
  <cp:lastPrinted>2023-09-07T15:56:00Z</cp:lastPrinted>
  <dcterms:modified xsi:type="dcterms:W3CDTF">2023-09-19T18:33:32Z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32C990E566F7463E8160C7345C642EDB</vt:lpwstr>
  </property>
</Properties>
</file>