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嵩明县自然资源局重大行政决策事项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目录标准（试行）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为进一步规范重大行政决策程序，提高决策质量和效率，根据《重大行政决策程序暂行条例》(国务院令第 713 号)、《云南省重大行政决策程序规定》(省人民政府令第 217号)等有关规定，经认真研究并报本部门党组同意，制定嵩明县自然资源局重大行政决策事项目录标准如下: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坚持党的领导，贯彻党的路线方针政策和决策部署;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符合法定的职责权限范围;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结合本县实际，突出针对性、具备可操作性和灵活性。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二、重大行政决策事项目录标准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(一)涉及全县国民经济和社会发展方面的重要规划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1.嵩明县国土空间规划（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2021—2035年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嵩明县征地区片综合地价更新调整；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3.主体功能区规划;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4.城镇体系规划;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5.城市规划;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需县人民政府批准的专项发展规划和重要区域发展规划。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(二)制定开发利用、保护重要自然资源和文化资源的重大公共政策和措施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1.重要自然资源包括土地、矿产、森林、水等各类重要自然资源;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重要文化资源包括历史文化名城名镇名村、历史文化街区、传统村落和传统民居、特色景观、风景名胜区、自然保护地、旅游度假区等，以及各类博物馆、美术馆、图书馆、文化馆、群众艺术馆、纪念馆、非物质文化遗产保护中心等文化文物单位馆藏的各类重要文化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(三)决定在本行政区域实施的重大公共建设项目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1.政府投资的重大社会公共建设项目;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需经政府核准、对社会公共利益有重大影响的建设项目。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(四)其他涉及经济社会发展的重大行政决策事项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根据本辖区本部门实际，明确本辖区本部门重大行政决策事项的目录、标准，报经本级本部门党组同意后向社会公布。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建立重大行政决策档案管理制度,对决策过程和决策实施中的文件资料及时整理归档,实行决策程序全过程记录。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重大行政决策事项的目录实行动态管理，根据实际情况适时进行调整。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86499"/>
    <w:rsid w:val="25120321"/>
    <w:rsid w:val="4C7E64B0"/>
    <w:rsid w:val="57404514"/>
    <w:rsid w:val="7FF7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2023-09-12T09:25:00Z</dcterms:created>
  <dc:creator>Administrator.LYSC-20150704ZU</dc:creator>
  <cp:lastModifiedBy>洁。</cp:lastModifiedBy>
  <cp:lastPrinted>2023-09-12T09:40:00Z</cp:lastPrinted>
  <dcterms:modified xsi:type="dcterms:W3CDTF">2023-09-19T18:32:41Z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E520F2661EC385D0C97809658390F885_42</vt:lpwstr>
  </property>
</Properties>
</file>