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eastAsia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/>
          <w:kern w:val="36"/>
          <w:sz w:val="44"/>
          <w:szCs w:val="44"/>
          <w:lang w:val="en" w:eastAsia="zh-CN"/>
        </w:rPr>
        <w:t>云南凯天智能科技有限公司年产7300万套一次性食品级塑料餐盒生产建设项目</w:t>
      </w:r>
      <w:r>
        <w:rPr>
          <w:rFonts w:hint="eastAsia" w:eastAsia="方正小标宋简体"/>
          <w:color w:val="auto"/>
          <w:sz w:val="44"/>
          <w:szCs w:val="44"/>
          <w:lang w:eastAsia="zh-CN"/>
        </w:rPr>
        <w:t>环境影响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Times New Roman" w:hAnsi="Times New Roman" w:eastAsia="方正小标宋简体"/>
          <w:kern w:val="36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  <w:lang w:eastAsia="zh-CN"/>
        </w:rPr>
        <w:t>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</w:p>
    <w:bookmarkEnd w:id="0"/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  <w:t>云南凯天智能科技有限公司年产7300万套一次性食品级塑料餐盒生产建设项目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云南凯天智能科技有限公司年产7300万套一次性食品级塑料餐盒生产建设项目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云南省昆明市嵩明县杨林经济技术开发区综合片区装备制造2号路昆明广田衡器有限公司GT-11、GT-12栋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云南凯天智能科技有限公司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云南水工源工程设计有限公司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项目占地面积4600m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总投资1000万元，其中环保投资39.15万元。项目依托昆明广田衡器有限公司已建厂房、原料堆放区、拌料区等配套辅助设施进行生产活动；新建废气、废水、固废收集处理等环保工程。项目建成后年产一次性塑料餐盒7300万套。</w:t>
      </w:r>
    </w:p>
    <w:p>
      <w:pPr>
        <w:widowControl/>
        <w:spacing w:line="560" w:lineRule="exact"/>
        <w:ind w:firstLine="640" w:firstLineChars="200"/>
      </w:pPr>
      <w:r>
        <w:rPr>
          <w:rFonts w:ascii="Times New Roman" w:eastAsia="仿宋_GB2312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3年7月12日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月18日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x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  <w:t>云南凯天智能科技有限公司年产7300万套一次性食品级塑料餐盒生产建设项目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电子版与纸质版存放地点</w:t>
      </w:r>
      <w:r>
        <w:rPr>
          <w:rFonts w:ascii="Times New Roman" w:hAnsi="Times New Roman" w:eastAsia="仿宋_GB2312"/>
          <w:kern w:val="0"/>
          <w:sz w:val="32"/>
          <w:szCs w:val="32"/>
        </w:rPr>
        <w:t>：嵩明县北部行政办公区昆明市生态环境局嵩明分局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208室</w:t>
      </w:r>
      <w:r>
        <w:rPr>
          <w:rFonts w:ascii="Times New Roman" w:hAnsi="Times New Roman" w:eastAsia="仿宋_GB2312"/>
          <w:kern w:val="0"/>
          <w:sz w:val="32"/>
          <w:szCs w:val="32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35EE5126"/>
    <w:rsid w:val="3A5F1BAA"/>
    <w:rsid w:val="52EEDD5B"/>
    <w:rsid w:val="59DE7677"/>
    <w:rsid w:val="6F38FAC6"/>
    <w:rsid w:val="77FCD01E"/>
    <w:rsid w:val="7BFF410C"/>
    <w:rsid w:val="7DAA7043"/>
    <w:rsid w:val="7DB631E3"/>
    <w:rsid w:val="7F7F2E18"/>
    <w:rsid w:val="7FDB8E99"/>
    <w:rsid w:val="7FFEB034"/>
    <w:rsid w:val="7FFEED61"/>
    <w:rsid w:val="B5773C1D"/>
    <w:rsid w:val="B86E0524"/>
    <w:rsid w:val="CB7FB5E6"/>
    <w:rsid w:val="CFDB45C8"/>
    <w:rsid w:val="D37F1339"/>
    <w:rsid w:val="DFDF54C8"/>
    <w:rsid w:val="ECFF00D6"/>
    <w:rsid w:val="EFFB8397"/>
    <w:rsid w:val="F5A78BF6"/>
    <w:rsid w:val="FB4E878B"/>
    <w:rsid w:val="FDDD128D"/>
    <w:rsid w:val="FEEB7C3E"/>
    <w:rsid w:val="FFB85506"/>
    <w:rsid w:val="FFF4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2023-03-28T01:58:00Z</dcterms:created>
  <dc:creator>user</dc:creator>
  <cp:lastModifiedBy>user</cp:lastModifiedBy>
  <dcterms:modified xsi:type="dcterms:W3CDTF">2023-07-19T11:44:05Z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