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简体"/>
          <w:kern w:val="36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/>
          <w:kern w:val="36"/>
          <w:sz w:val="44"/>
          <w:szCs w:val="44"/>
          <w:lang w:val="en" w:eastAsia="zh-CN"/>
        </w:rPr>
        <w:t>云南胜川塑业有限责任公司汽车用塑料管材制品生产基地建设项目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环境影响报告表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》的公示</w:t>
      </w:r>
      <w:bookmarkEnd w:id="0"/>
    </w:p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云南胜川塑业有限责任公司汽车用塑料管材制品生产基地建设项目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eastAsia="zh-CN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云南胜川塑业有限责任公司汽车用塑料管材制品生产基地建设项目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嵩明县</w:t>
      </w:r>
      <w:r>
        <w:rPr>
          <w:rFonts w:hint="default" w:ascii="Times New Roman" w:hAnsi="Times New Roman" w:eastAsia="仿宋_GB2312"/>
          <w:kern w:val="0"/>
          <w:sz w:val="32"/>
          <w:szCs w:val="32"/>
          <w:lang w:eastAsia="zh-CN"/>
        </w:rPr>
        <w:t>杨林经济技术开发区装备制造园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内广田智控园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BQ-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云南胜川塑业有限责任公司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云南水工源工程设计有限公司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  <w:highlight w:val="yellow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本项目</w:t>
      </w:r>
      <w:r>
        <w:rPr>
          <w:rFonts w:hint="default" w:ascii="Times New Roman" w:hAnsi="Times New Roman" w:eastAsia="仿宋_GB2312"/>
          <w:kern w:val="0"/>
          <w:sz w:val="32"/>
          <w:szCs w:val="32"/>
          <w:lang w:eastAsia="zh-CN"/>
        </w:rPr>
        <w:t>占地面积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5686.95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仿宋_GB2312"/>
          <w:kern w:val="0"/>
          <w:sz w:val="32"/>
          <w:szCs w:val="32"/>
          <w:vertAlign w:val="superscript"/>
          <w:lang w:val="en-US" w:eastAsia="zh-CN"/>
        </w:rPr>
        <w:t>2</w:t>
      </w:r>
      <w:r>
        <w:rPr>
          <w:rFonts w:ascii="Times New Roman" w:hAnsi="Times New Roman" w:eastAsia="仿宋_GB2312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建筑面积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4195.5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仿宋_GB2312"/>
          <w:kern w:val="0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  <w:r>
        <w:rPr>
          <w:rFonts w:ascii="Times New Roman" w:hAnsi="Times New Roman" w:eastAsia="仿宋_GB2312"/>
          <w:kern w:val="0"/>
          <w:sz w:val="32"/>
          <w:szCs w:val="32"/>
        </w:rPr>
        <w:t>项目总投资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3300</w:t>
      </w:r>
      <w:r>
        <w:rPr>
          <w:rFonts w:ascii="Times New Roman" w:hAnsi="Times New Roman" w:eastAsia="仿宋_GB2312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其中环保投资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35.63</w:t>
      </w:r>
      <w:r>
        <w:rPr>
          <w:rFonts w:ascii="Times New Roman" w:hAnsi="Times New Roman" w:eastAsia="仿宋_GB2312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项目依托已建厂房进行生活、生产活动，对广田智控园BQ-15栋、BQ-16栋标准厂房进行设备安装，项目内设置生产区、拌料区、食堂、办公室、成品库等相关配套设施；新建废气处理设施等环保工程；项目共设置7条生产线。项目建成后年产HDPE给水管2200吨、HDPE钢丝网骨架复合管2000吨、汽车塑料管线1000吨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（http://www.kmsm.gov.cn/）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3年4月19日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月25日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Email：smhbjjgk@163.com   密码：67910097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云南胜川塑业有限责任公司汽车用塑料管材制品生产基地建设项目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  <w:r>
        <w:rPr>
          <w:rFonts w:ascii="Times New Roman" w:hAnsi="Times New Roman" w:eastAsia="仿宋_GB2312"/>
          <w:kern w:val="0"/>
          <w:sz w:val="32"/>
          <w:szCs w:val="32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35EE5126"/>
    <w:rsid w:val="3A5F1BAA"/>
    <w:rsid w:val="75EFBC67"/>
    <w:rsid w:val="7DAA7043"/>
    <w:rsid w:val="7F5DBE53"/>
    <w:rsid w:val="B7FD0086"/>
    <w:rsid w:val="B86E0524"/>
    <w:rsid w:val="FB4E878B"/>
    <w:rsid w:val="FDDD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2023-03-23T09:58:00Z</dcterms:created>
  <dc:creator>user</dc:creator>
  <cp:lastModifiedBy>user</cp:lastModifiedBy>
  <dcterms:modified xsi:type="dcterms:W3CDTF">2023-05-06T10:29:41Z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