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云南辰润工贸有限责任公司汽车用塑料管材生产中心建设项目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云南辰润工贸有限责任公司汽车用塑料管材生产中心建设项目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云南辰润工贸有限责任公司汽车用塑料管材生产中心建设项目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嵩明县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杨林经济技术开发区装备制造园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内广田智控园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GT13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云南辰润工贸有限责任公司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云南水工源工程设计有限公司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本项目占地面积2745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建筑面积4080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bookmarkStart w:id="0" w:name="_GoBack"/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kern w:val="0"/>
          <w:sz w:val="32"/>
          <w:szCs w:val="32"/>
        </w:rPr>
        <w:t>项目总投资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3100</w:t>
      </w:r>
      <w:r>
        <w:rPr>
          <w:rFonts w:ascii="Times New Roman" w:hAnsi="Times New Roman" w:eastAsia="仿宋_GB2312"/>
          <w:kern w:val="0"/>
          <w:sz w:val="32"/>
          <w:szCs w:val="32"/>
        </w:rPr>
        <w:t>万元，其中环保投资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17.2</w:t>
      </w:r>
      <w:r>
        <w:rPr>
          <w:rFonts w:ascii="Times New Roman" w:hAnsi="Times New Roman" w:eastAsia="仿宋_GB2312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项目依托已建厂房进行生活、生产活动，项目内设置生产区、成品区、造粒车间、原料堆放区、配件房、食堂等相关配套设施，新建固体废物暂存间等环保工程；项目共设置生产线4条：1条HDPE给水管及钢丝网骨架复合管生产线、2条HDPE地埋电缆护套管及汽车塑料管套生产线，1条造粒生产线。项目建成后年产HDPE给水管1550吨、钢丝网骨架复合管2000吨、HDPE地埋电缆护套管680吨、汽车塑料管套655吨，再生塑料颗粒315吨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3年4月19日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月25日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云南辰润工贸有限责任公司汽车用塑料管材生产中心建设项目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6FFA72B3"/>
    <w:rsid w:val="7DAA7043"/>
    <w:rsid w:val="7F5DBE53"/>
    <w:rsid w:val="B86E0524"/>
    <w:rsid w:val="FB4E878B"/>
    <w:rsid w:val="FDD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2023-03-23T17:58:00Z</dcterms:created>
  <dc:creator>user</dc:creator>
  <cp:lastModifiedBy>user</cp:lastModifiedBy>
  <dcterms:modified xsi:type="dcterms:W3CDTF">2023-05-06T10:37:00Z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