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/>
          <w:kern w:val="36"/>
          <w:sz w:val="44"/>
          <w:szCs w:val="44"/>
          <w:lang w:val="en" w:eastAsia="zh-CN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default" w:ascii="Times New Roman" w:hAnsi="Times New Roman" w:eastAsia="方正小标宋简体"/>
          <w:kern w:val="36"/>
          <w:sz w:val="44"/>
          <w:szCs w:val="44"/>
          <w:lang w:val="en" w:eastAsia="zh-CN"/>
        </w:rPr>
        <w:t>昆明富达商品混凝土有限公司混凝土技改项目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昆明富达商品混凝土有限公司混凝土技改项目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昆明富达商品混凝土有限公司混凝土技改项目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云南省昆明市嵩明县杨林经济技术开发区南环路2号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昆明富达商品混凝土有限公司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技术改造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云南长沐环保科技有限公司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原项目已经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环境保护局于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2010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日以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昆环保复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284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号批复同意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建设，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于20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20日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通过环保“三同时”竣工验收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并正式投入生产。本次技术改造项目总投资160万元，其中环保投资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23.8万元。项目建设内容：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在原项目占地内购置新设备建设1条240m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³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/h商品混凝土生产线（1#），替换并拆除原有3#180m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³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/h混凝土生产线，保留2#180m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³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/h混凝土生产线作为1#生产线检修备用，新建搅拌楼、筒仓及输送皮带。本次技改不新增用地，砂石料仓、办公楼、宿舍楼及其他辅助设施依托原有项目。项目技改完成后混凝土年产量保持不变，仍为60万立方米。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3年3月1日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月7日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eastAsia="仿宋_GB2312"/>
          <w:color w:val="000000"/>
          <w:sz w:val="32"/>
          <w:szCs w:val="32"/>
          <w:lang w:val="en" w:eastAsia="zh-CN"/>
        </w:rPr>
        <w:t>昆明富达商品混凝土有限公司混凝土技改项目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DFEA7C9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DF7164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D7700A2"/>
    <w:rsid w:val="AFD778FA"/>
    <w:rsid w:val="B9AF3579"/>
    <w:rsid w:val="BFF5FC41"/>
    <w:rsid w:val="BFFDC552"/>
    <w:rsid w:val="CFEF8E16"/>
    <w:rsid w:val="D5EE3772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DBFC039"/>
    <w:rsid w:val="FF7FA304"/>
    <w:rsid w:val="FF91CCE8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2020-08-31T11:01:00Z</dcterms:created>
  <dc:creator>Administrator</dc:creator>
  <cp:lastModifiedBy>user</cp:lastModifiedBy>
  <dcterms:modified xsi:type="dcterms:W3CDTF">2023-03-09T11:47:50Z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