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_GBK" w:cs="方正小标宋_GBK"/>
          <w:color w:val="FF0000"/>
          <w:spacing w:val="134"/>
          <w:sz w:val="72"/>
          <w:szCs w:val="72"/>
        </w:rPr>
      </w:pPr>
      <w:bookmarkStart w:id="0" w:name="_GoBack"/>
      <w:bookmarkEnd w:id="0"/>
    </w:p>
    <w:p>
      <w:pPr>
        <w:jc w:val="distribute"/>
        <w:rPr>
          <w:rFonts w:hint="default" w:eastAsia="方正小标宋_GBK" w:cs="方正小标宋_GBK"/>
          <w:color w:val="FF0000"/>
          <w:spacing w:val="134"/>
          <w:sz w:val="84"/>
          <w:szCs w:val="84"/>
          <w:lang w:val="en-US" w:eastAsia="zh-CN"/>
        </w:rPr>
      </w:pPr>
      <w:r>
        <w:rPr>
          <w:rFonts w:hint="eastAsia" w:eastAsia="方正小标宋_GBK" w:cs="方正小标宋_GBK"/>
          <w:b w:val="0"/>
          <w:bCs w:val="0"/>
          <w:color w:val="FF0000"/>
          <w:spacing w:val="134"/>
          <w:sz w:val="84"/>
          <w:szCs w:val="84"/>
          <w:lang w:val="en-US" w:eastAsia="zh-CN"/>
        </w:rPr>
        <w:t>昆明市民政局</w:t>
      </w:r>
    </w:p>
    <w:p>
      <w:pPr>
        <w:keepNext w:val="0"/>
        <w:keepLines w:val="0"/>
        <w:pageBreakBefore w:val="0"/>
        <w:kinsoku/>
        <w:wordWrap/>
        <w:overflowPunct/>
        <w:topLinePunct w:val="0"/>
        <w:autoSpaceDE/>
        <w:autoSpaceDN/>
        <w:bidi w:val="0"/>
        <w:spacing w:line="560" w:lineRule="exact"/>
        <w:ind w:right="178" w:rightChars="85"/>
        <w:jc w:val="center"/>
        <w:textAlignment w:val="auto"/>
        <w:rPr>
          <w:rStyle w:val="8"/>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SA"/>
        </w:rPr>
        <w:t>昆民通〔202</w:t>
      </w:r>
      <w:r>
        <w:rPr>
          <w:rFonts w:hint="default" w:ascii="Times New Roman" w:hAnsi="Times New Roman" w:eastAsia="仿宋_GB2312" w:cs="Times New Roman"/>
          <w:kern w:val="2"/>
          <w:sz w:val="32"/>
          <w:szCs w:val="32"/>
          <w:lang w:val="en" w:eastAsia="zh-CN" w:bidi="ar-SA"/>
        </w:rPr>
        <w:t>2</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51</w:t>
      </w:r>
      <w:r>
        <w:rPr>
          <w:rFonts w:hint="default" w:ascii="Times New Roman" w:hAnsi="Times New Roman" w:eastAsia="仿宋_GB2312" w:cs="Times New Roman"/>
          <w:kern w:val="2"/>
          <w:sz w:val="32"/>
          <w:szCs w:val="32"/>
          <w:lang w:val="en-US" w:eastAsia="zh-CN" w:bidi="ar-SA"/>
        </w:rPr>
        <w:t>号</w:t>
      </w:r>
    </w:p>
    <w:p>
      <w:pPr>
        <w:keepNext w:val="0"/>
        <w:keepLines w:val="0"/>
        <w:pageBreakBefore w:val="0"/>
        <w:kinsoku/>
        <w:wordWrap/>
        <w:overflowPunct/>
        <w:topLinePunct w:val="0"/>
        <w:autoSpaceDE/>
        <w:autoSpaceDN/>
        <w:bidi w:val="0"/>
        <w:spacing w:line="560" w:lineRule="exact"/>
        <w:ind w:right="-512" w:rightChars="-244"/>
        <w:textAlignment w:val="auto"/>
        <w:rPr>
          <w:b/>
          <w:bCs/>
          <w:color w:val="FF0000"/>
        </w:rPr>
      </w:pPr>
      <w:r>
        <mc:AlternateContent>
          <mc:Choice Requires="wps">
            <w:drawing>
              <wp:anchor distT="0" distB="0" distL="114300" distR="114300" simplePos="0" relativeHeight="251658240" behindDoc="0" locked="0" layoutInCell="1" allowOverlap="1">
                <wp:simplePos x="0" y="0"/>
                <wp:positionH relativeFrom="column">
                  <wp:posOffset>-203200</wp:posOffset>
                </wp:positionH>
                <wp:positionV relativeFrom="paragraph">
                  <wp:posOffset>77470</wp:posOffset>
                </wp:positionV>
                <wp:extent cx="6072505" cy="16510"/>
                <wp:effectExtent l="0" t="7620" r="4445" b="13970"/>
                <wp:wrapNone/>
                <wp:docPr id="1" name="直接连接符 1"/>
                <wp:cNvGraphicFramePr/>
                <a:graphic xmlns:a="http://schemas.openxmlformats.org/drawingml/2006/main">
                  <a:graphicData uri="http://schemas.microsoft.com/office/word/2010/wordprocessingShape">
                    <wps:wsp>
                      <wps:cNvCnPr/>
                      <wps:spPr>
                        <a:xfrm flipV="1">
                          <a:off x="0" y="0"/>
                          <a:ext cx="6072505" cy="16510"/>
                        </a:xfrm>
                        <a:prstGeom prst="line">
                          <a:avLst/>
                        </a:prstGeom>
                        <a:ln w="15875"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16pt;margin-top:6.1pt;height:1.3pt;width:478.15pt;z-index:251658240;mso-width-relative:page;mso-height-relative:page;" filled="f" stroked="t" coordsize="21600,21600" o:gfxdata="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S&#10;BOB81wAAAAkBAAAPAAAAAAAAAAEAIAAAACIAAABkcnMvZG93bnJldi54bWxQSwECFAAUAAAACACH&#10;TuJAhQ6ypOwBAACvAwAADgAAAAAAAAABACAAAAAmAQAAZHJzL2Uyb0RvYy54bWxQSwUGAAAAAAYA&#10;BgBZAQAAhAUAAAAA&#10;">
                <v:fill on="f" focussize="0,0"/>
                <v:stroke weight="1.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2"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关于印发2021年度养老机构政府补助资金</w:t>
      </w:r>
    </w:p>
    <w:p>
      <w:pPr>
        <w:keepNext w:val="0"/>
        <w:keepLines w:val="0"/>
        <w:pageBreakBefore w:val="0"/>
        <w:widowControl w:val="0"/>
        <w:kinsoku/>
        <w:wordWrap/>
        <w:overflowPunct/>
        <w:topLinePunct w:val="0"/>
        <w:autoSpaceDE/>
        <w:autoSpaceDN/>
        <w:bidi w:val="0"/>
        <w:adjustRightInd/>
        <w:snapToGrid/>
        <w:spacing w:line="582"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评估结果的通知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各县（市）区民政局，市社会福利院、市西郊安置所：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根据《昆明市人民政府关于</w:t>
      </w:r>
      <w:r>
        <w:rPr>
          <w:rFonts w:hint="eastAsia" w:ascii="Times New Roman" w:hAnsi="Times New Roman" w:eastAsia="仿宋_GB2312" w:cs="Times New Roman"/>
          <w:kern w:val="2"/>
          <w:sz w:val="32"/>
          <w:szCs w:val="32"/>
          <w:lang w:val="en-US" w:eastAsia="zh-CN" w:bidi="ar-SA"/>
        </w:rPr>
        <w:t>鼓励</w:t>
      </w:r>
      <w:r>
        <w:rPr>
          <w:rFonts w:hint="default" w:ascii="Times New Roman" w:hAnsi="Times New Roman" w:eastAsia="仿宋_GB2312" w:cs="Times New Roman"/>
          <w:kern w:val="2"/>
          <w:sz w:val="32"/>
          <w:szCs w:val="32"/>
          <w:lang w:val="en-US" w:eastAsia="zh-CN" w:bidi="ar-SA"/>
        </w:rPr>
        <w:t>社会力量</w:t>
      </w:r>
      <w:r>
        <w:rPr>
          <w:rFonts w:hint="eastAsia" w:ascii="Times New Roman" w:hAnsi="Times New Roman" w:eastAsia="仿宋_GB2312" w:cs="Times New Roman"/>
          <w:kern w:val="2"/>
          <w:sz w:val="32"/>
          <w:szCs w:val="32"/>
          <w:lang w:val="en-US" w:eastAsia="zh-CN" w:bidi="ar-SA"/>
        </w:rPr>
        <w:t>兴</w:t>
      </w:r>
      <w:r>
        <w:rPr>
          <w:rFonts w:hint="default" w:ascii="Times New Roman" w:hAnsi="Times New Roman" w:eastAsia="仿宋_GB2312" w:cs="Times New Roman"/>
          <w:kern w:val="2"/>
          <w:sz w:val="32"/>
          <w:szCs w:val="32"/>
          <w:lang w:val="en-US" w:eastAsia="zh-CN" w:bidi="ar-SA"/>
        </w:rPr>
        <w:t>办养老服务</w:t>
      </w:r>
      <w:r>
        <w:rPr>
          <w:rFonts w:hint="eastAsia" w:ascii="Times New Roman" w:hAnsi="Times New Roman" w:eastAsia="仿宋_GB2312" w:cs="Times New Roman"/>
          <w:kern w:val="2"/>
          <w:sz w:val="32"/>
          <w:szCs w:val="32"/>
          <w:lang w:val="en-US" w:eastAsia="zh-CN" w:bidi="ar-SA"/>
        </w:rPr>
        <w:t>机构</w:t>
      </w:r>
      <w:r>
        <w:rPr>
          <w:rFonts w:hint="default" w:ascii="Times New Roman" w:hAnsi="Times New Roman" w:eastAsia="仿宋_GB2312" w:cs="Times New Roman"/>
          <w:kern w:val="2"/>
          <w:sz w:val="32"/>
          <w:szCs w:val="32"/>
          <w:lang w:val="en-US" w:eastAsia="zh-CN" w:bidi="ar-SA"/>
        </w:rPr>
        <w:t>的实施意见》（昆政发〔2014〕53号）、《昆明市财政局</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昆明市民政局关于转发&lt;云</w:t>
      </w:r>
      <w:r>
        <w:rPr>
          <w:rFonts w:hint="default" w:ascii="Times New Roman" w:hAnsi="Times New Roman" w:eastAsia="仿宋_GB2312" w:cs="Times New Roman"/>
          <w:color w:val="auto"/>
          <w:kern w:val="2"/>
          <w:sz w:val="32"/>
          <w:szCs w:val="32"/>
          <w:lang w:val="en-US" w:eastAsia="zh-CN" w:bidi="ar-SA"/>
        </w:rPr>
        <w:t>南省养老服务机构运营资助资金管理办法</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试行</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&gt;的通知》（昆财社〔2020〕132号）</w:t>
      </w:r>
      <w:r>
        <w:rPr>
          <w:rFonts w:hint="eastAsia" w:ascii="Times New Roman" w:hAnsi="Times New Roman" w:eastAsia="仿宋_GB2312" w:cs="Times New Roman"/>
          <w:color w:val="auto"/>
          <w:kern w:val="2"/>
          <w:sz w:val="32"/>
          <w:szCs w:val="32"/>
          <w:lang w:val="en-US" w:eastAsia="zh-CN" w:bidi="ar-SA"/>
        </w:rPr>
        <w:t>相关规定</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昆明市</w:t>
      </w:r>
      <w:r>
        <w:rPr>
          <w:rFonts w:hint="default" w:ascii="Times New Roman" w:hAnsi="Times New Roman" w:eastAsia="仿宋_GB2312" w:cs="Times New Roman"/>
          <w:color w:val="auto"/>
          <w:kern w:val="2"/>
          <w:sz w:val="32"/>
          <w:szCs w:val="32"/>
          <w:lang w:val="en-US" w:eastAsia="zh-CN" w:bidi="ar-SA"/>
        </w:rPr>
        <w:t>民政局</w:t>
      </w:r>
      <w:r>
        <w:rPr>
          <w:rFonts w:hint="eastAsia" w:ascii="Times New Roman" w:hAnsi="Times New Roman" w:eastAsia="仿宋_GB2312" w:cs="Times New Roman"/>
          <w:color w:val="auto"/>
          <w:kern w:val="2"/>
          <w:sz w:val="32"/>
          <w:szCs w:val="32"/>
          <w:lang w:val="en-US" w:eastAsia="zh-CN" w:bidi="ar-SA"/>
        </w:rPr>
        <w:t>通过</w:t>
      </w:r>
      <w:r>
        <w:rPr>
          <w:rFonts w:hint="default" w:ascii="Times New Roman" w:hAnsi="Times New Roman" w:eastAsia="仿宋_GB2312" w:cs="Times New Roman"/>
          <w:color w:val="auto"/>
          <w:kern w:val="2"/>
          <w:sz w:val="32"/>
          <w:szCs w:val="32"/>
          <w:lang w:val="en-US" w:eastAsia="zh-CN" w:bidi="ar-SA"/>
        </w:rPr>
        <w:t>购买服务</w:t>
      </w:r>
      <w:r>
        <w:rPr>
          <w:rFonts w:hint="eastAsia" w:ascii="Times New Roman" w:hAnsi="Times New Roman" w:eastAsia="仿宋_GB2312" w:cs="Times New Roman"/>
          <w:color w:val="auto"/>
          <w:kern w:val="2"/>
          <w:sz w:val="32"/>
          <w:szCs w:val="32"/>
          <w:lang w:val="en-US" w:eastAsia="zh-CN" w:bidi="ar-SA"/>
        </w:rPr>
        <w:t>的方式，</w:t>
      </w:r>
      <w:r>
        <w:rPr>
          <w:rFonts w:hint="default" w:ascii="Times New Roman" w:hAnsi="Times New Roman" w:eastAsia="仿宋_GB2312" w:cs="Times New Roman"/>
          <w:color w:val="auto"/>
          <w:kern w:val="2"/>
          <w:sz w:val="32"/>
          <w:szCs w:val="32"/>
          <w:lang w:val="en-US" w:eastAsia="zh-CN" w:bidi="ar-SA"/>
        </w:rPr>
        <w:t>对</w:t>
      </w:r>
      <w:r>
        <w:rPr>
          <w:rFonts w:hint="eastAsia" w:ascii="Times New Roman" w:hAnsi="Times New Roman" w:eastAsia="仿宋_GB2312" w:cs="Times New Roman"/>
          <w:color w:val="auto"/>
          <w:kern w:val="2"/>
          <w:sz w:val="32"/>
          <w:szCs w:val="32"/>
          <w:lang w:val="en-US" w:eastAsia="zh-CN" w:bidi="ar-SA"/>
        </w:rPr>
        <w:t>我市</w:t>
      </w:r>
      <w:r>
        <w:rPr>
          <w:rFonts w:hint="default" w:ascii="Times New Roman" w:hAnsi="Times New Roman" w:eastAsia="仿宋_GB2312" w:cs="Times New Roman"/>
          <w:color w:val="auto"/>
          <w:kern w:val="2"/>
          <w:sz w:val="32"/>
          <w:szCs w:val="32"/>
          <w:lang w:val="en-US" w:eastAsia="zh-CN" w:bidi="ar-SA"/>
        </w:rPr>
        <w:t>养</w:t>
      </w:r>
      <w:r>
        <w:rPr>
          <w:rFonts w:hint="default" w:ascii="Times New Roman" w:hAnsi="Times New Roman" w:eastAsia="仿宋_GB2312" w:cs="Times New Roman"/>
          <w:kern w:val="2"/>
          <w:sz w:val="32"/>
          <w:szCs w:val="32"/>
          <w:lang w:val="en-US" w:eastAsia="zh-CN" w:bidi="ar-SA"/>
        </w:rPr>
        <w:t>老服务机构申请2021年度政府运营补助、护理人员补助及新增养老机构一次性建设补助和护理型养老机构床位一次性建设补助进行评估。</w:t>
      </w:r>
      <w:r>
        <w:rPr>
          <w:rFonts w:hint="eastAsia" w:ascii="Times New Roman" w:hAnsi="Times New Roman" w:eastAsia="仿宋_GB2312" w:cs="Times New Roman"/>
          <w:kern w:val="2"/>
          <w:sz w:val="32"/>
          <w:szCs w:val="32"/>
          <w:lang w:val="en-US" w:eastAsia="zh-CN" w:bidi="ar-SA"/>
        </w:rPr>
        <w:t>结合</w:t>
      </w:r>
      <w:r>
        <w:rPr>
          <w:rFonts w:hint="default" w:ascii="Times New Roman" w:hAnsi="Times New Roman" w:eastAsia="仿宋_GB2312" w:cs="Times New Roman"/>
          <w:kern w:val="2"/>
          <w:sz w:val="32"/>
          <w:szCs w:val="32"/>
          <w:lang w:val="en-US" w:eastAsia="zh-CN" w:bidi="ar-SA"/>
        </w:rPr>
        <w:t>机构申请情况和第三方评估结果，经研究，现将2021年度养老机构</w:t>
      </w:r>
      <w:r>
        <w:rPr>
          <w:rFonts w:hint="eastAsia" w:ascii="Times New Roman" w:hAnsi="Times New Roman" w:eastAsia="仿宋_GB2312" w:cs="Times New Roman"/>
          <w:kern w:val="2"/>
          <w:sz w:val="32"/>
          <w:szCs w:val="32"/>
          <w:lang w:val="en-US" w:eastAsia="zh-CN" w:bidi="ar-SA"/>
        </w:rPr>
        <w:t>政府</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相关事宜通知如下：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一、评估结果运用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（一）参评情况。</w:t>
      </w:r>
      <w:r>
        <w:rPr>
          <w:rFonts w:hint="eastAsia" w:ascii="Times New Roman" w:hAnsi="Times New Roman" w:eastAsia="仿宋_GB2312" w:cs="Times New Roman"/>
          <w:kern w:val="2"/>
          <w:sz w:val="32"/>
          <w:szCs w:val="32"/>
          <w:lang w:val="en-US" w:eastAsia="zh-CN" w:bidi="ar-SA"/>
        </w:rPr>
        <w:t>2021年全市共有117家养老机构（含公办、民办）申请政府补助，其中5家机构申请后未参加评估，实际参评机构112家。经评估，87家机构符合补助资金拨付标准，25家机构不符合补助资金拨付标准。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（二）评估情况。</w:t>
      </w:r>
      <w:r>
        <w:rPr>
          <w:rFonts w:hint="eastAsia" w:ascii="Times New Roman" w:hAnsi="Times New Roman" w:eastAsia="仿宋_GB2312" w:cs="Times New Roman"/>
          <w:kern w:val="2"/>
          <w:sz w:val="32"/>
          <w:szCs w:val="32"/>
          <w:lang w:val="en-US" w:eastAsia="zh-CN" w:bidi="ar-SA"/>
        </w:rPr>
        <w:t>全市117家养老机构申请补助金额总计28,291,570元，经第三方综合评估共核减8,455,300元，建议补助金额合计19,836,270元。具体情况如下：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1.运营补助。</w:t>
      </w:r>
      <w:r>
        <w:rPr>
          <w:rFonts w:hint="default" w:ascii="Times New Roman" w:hAnsi="Times New Roman" w:eastAsia="仿宋_GB2312" w:cs="Times New Roman"/>
          <w:kern w:val="2"/>
          <w:sz w:val="32"/>
          <w:szCs w:val="32"/>
          <w:lang w:val="en-US" w:eastAsia="zh-CN" w:bidi="ar-SA"/>
        </w:rPr>
        <w:t>申请金额13,350,210元，核减2,247,940元，建议补助11,102,270元。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2.护理员补助。</w:t>
      </w:r>
      <w:r>
        <w:rPr>
          <w:rFonts w:hint="default" w:ascii="Times New Roman" w:hAnsi="Times New Roman" w:eastAsia="仿宋_GB2312" w:cs="Times New Roman"/>
          <w:kern w:val="2"/>
          <w:sz w:val="32"/>
          <w:szCs w:val="32"/>
          <w:lang w:val="en-US" w:eastAsia="zh-CN" w:bidi="ar-SA"/>
        </w:rPr>
        <w:t>申请金额684,360元、核减354,360元、建议补助330,000元。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eastAsia" w:ascii="Times New Roman" w:hAnsi="Times New Roman" w:eastAsia="仿宋_GB2312" w:cs="Times New Roman"/>
          <w:b/>
          <w:bCs/>
          <w:kern w:val="2"/>
          <w:sz w:val="32"/>
          <w:szCs w:val="32"/>
          <w:lang w:val="en-US" w:eastAsia="zh-CN" w:bidi="ar-SA"/>
        </w:rPr>
        <w:t>新增</w:t>
      </w:r>
      <w:r>
        <w:rPr>
          <w:rFonts w:hint="default" w:ascii="Times New Roman" w:hAnsi="Times New Roman" w:eastAsia="仿宋_GB2312" w:cs="Times New Roman"/>
          <w:b/>
          <w:bCs/>
          <w:kern w:val="2"/>
          <w:sz w:val="32"/>
          <w:szCs w:val="32"/>
          <w:lang w:val="en-US" w:eastAsia="zh-CN" w:bidi="ar-SA"/>
        </w:rPr>
        <w:t>养老机构床位一次性建设补助。</w:t>
      </w:r>
      <w:r>
        <w:rPr>
          <w:rFonts w:hint="default" w:ascii="Times New Roman" w:hAnsi="Times New Roman" w:eastAsia="仿宋_GB2312" w:cs="Times New Roman"/>
          <w:kern w:val="2"/>
          <w:sz w:val="32"/>
          <w:szCs w:val="32"/>
          <w:lang w:val="en-US" w:eastAsia="zh-CN" w:bidi="ar-SA"/>
        </w:rPr>
        <w:t>申请金额12,685,000元、核减5,320,000元、建议补助7,365,000元。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4.护理型养老机构床位一次性建设补助。</w:t>
      </w:r>
      <w:r>
        <w:rPr>
          <w:rFonts w:hint="default" w:ascii="Times New Roman" w:hAnsi="Times New Roman" w:eastAsia="仿宋_GB2312" w:cs="Times New Roman"/>
          <w:kern w:val="2"/>
          <w:sz w:val="32"/>
          <w:szCs w:val="32"/>
          <w:lang w:val="en-US" w:eastAsia="zh-CN" w:bidi="ar-SA"/>
        </w:rPr>
        <w:t>申请金额1,572,000元、核减533,000元、建议补助1,039,000元。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楷体_GB2312" w:hAnsi="楷体_GB2312" w:eastAsia="楷体_GB2312" w:cs="楷体_GB2312"/>
          <w:kern w:val="2"/>
          <w:sz w:val="32"/>
          <w:szCs w:val="32"/>
          <w:lang w:val="en-US" w:eastAsia="zh-CN" w:bidi="ar-SA"/>
        </w:rPr>
      </w:pPr>
      <w:r>
        <w:rPr>
          <w:rFonts w:hint="default" w:ascii="楷体_GB2312" w:hAnsi="楷体_GB2312" w:eastAsia="楷体_GB2312" w:cs="楷体_GB2312"/>
          <w:kern w:val="2"/>
          <w:sz w:val="32"/>
          <w:szCs w:val="32"/>
          <w:lang w:val="en-US" w:eastAsia="zh-CN" w:bidi="ar-SA"/>
        </w:rPr>
        <w:t>（三）县（市）区补助资金情况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1.五华区</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797,980元，其中运营补助785,380元、护理员补助12,600元。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2.盘龙区</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809,140元，其中运营补助803,140元、护理员补助6,000元。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3.官渡区</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4,449,010元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其中运营补助3,343,610元、护理员补助65,400元、</w:t>
      </w:r>
      <w:r>
        <w:rPr>
          <w:rFonts w:hint="eastAsia" w:ascii="Times New Roman" w:hAnsi="Times New Roman" w:eastAsia="仿宋_GB2312" w:cs="Times New Roman"/>
          <w:kern w:val="2"/>
          <w:sz w:val="32"/>
          <w:szCs w:val="32"/>
          <w:lang w:val="en-US" w:eastAsia="zh-CN" w:bidi="ar-SA"/>
        </w:rPr>
        <w:t>新增</w:t>
      </w:r>
      <w:r>
        <w:rPr>
          <w:rFonts w:hint="default" w:ascii="Times New Roman" w:hAnsi="Times New Roman" w:eastAsia="仿宋_GB2312" w:cs="Times New Roman"/>
          <w:kern w:val="2"/>
          <w:sz w:val="32"/>
          <w:szCs w:val="32"/>
          <w:lang w:val="en-US" w:eastAsia="zh-CN" w:bidi="ar-SA"/>
        </w:rPr>
        <w:t>养老机构床位一次性建设补助960,000元、护理型养老机构床位一次性建设补助80,000元。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4.西山区</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6,531,370元，其中运营补助1,742,570元、护理员补助58,800元、</w:t>
      </w:r>
      <w:r>
        <w:rPr>
          <w:rFonts w:hint="eastAsia" w:ascii="Times New Roman" w:hAnsi="Times New Roman" w:eastAsia="仿宋_GB2312" w:cs="Times New Roman"/>
          <w:kern w:val="2"/>
          <w:sz w:val="32"/>
          <w:szCs w:val="32"/>
          <w:lang w:val="en-US" w:eastAsia="zh-CN" w:bidi="ar-SA"/>
        </w:rPr>
        <w:t>新增</w:t>
      </w:r>
      <w:r>
        <w:rPr>
          <w:rFonts w:hint="default" w:ascii="Times New Roman" w:hAnsi="Times New Roman" w:eastAsia="仿宋_GB2312" w:cs="Times New Roman"/>
          <w:kern w:val="2"/>
          <w:sz w:val="32"/>
          <w:szCs w:val="32"/>
          <w:lang w:val="en-US" w:eastAsia="zh-CN" w:bidi="ar-SA"/>
        </w:rPr>
        <w:t>养老机构床位一次性建设补助4,555,000元、护理型养老机构床位一次性建设补助175,000元。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5.呈贡区</w:t>
      </w:r>
      <w:r>
        <w:rPr>
          <w:rFonts w:hint="default" w:ascii="Times New Roman" w:hAnsi="Times New Roman" w:eastAsia="仿宋_GB2312" w:cs="Times New Roman"/>
          <w:kern w:val="2"/>
          <w:sz w:val="32"/>
          <w:szCs w:val="32"/>
          <w:lang w:val="en-US" w:eastAsia="zh-CN" w:bidi="ar-SA"/>
        </w:rPr>
        <w:t>2家养老机构均不符合补助资金拨付必达指标，不予补助。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6.晋宁区</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1,134,520元，其中运营补助205,320元、护理员补助7,200元、</w:t>
      </w:r>
      <w:r>
        <w:rPr>
          <w:rFonts w:hint="eastAsia" w:ascii="Times New Roman" w:hAnsi="Times New Roman" w:eastAsia="仿宋_GB2312" w:cs="Times New Roman"/>
          <w:kern w:val="2"/>
          <w:sz w:val="32"/>
          <w:szCs w:val="32"/>
          <w:lang w:val="en-US" w:eastAsia="zh-CN" w:bidi="ar-SA"/>
        </w:rPr>
        <w:t>新增</w:t>
      </w:r>
      <w:r>
        <w:rPr>
          <w:rFonts w:hint="default" w:ascii="Times New Roman" w:hAnsi="Times New Roman" w:eastAsia="仿宋_GB2312" w:cs="Times New Roman"/>
          <w:kern w:val="2"/>
          <w:sz w:val="32"/>
          <w:szCs w:val="32"/>
          <w:lang w:val="en-US" w:eastAsia="zh-CN" w:bidi="ar-SA"/>
        </w:rPr>
        <w:t>养老机构床位一次性建设补助810,000元、护理型养老机构床位一次性建设补助112,000元。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7.东川区</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442,560元，其中运营补助402,360元、护理员补助40,200元。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8.安宁市</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3,613,510元，其中运营补助1,776,710元、护理员补助124,800元、</w:t>
      </w:r>
      <w:r>
        <w:rPr>
          <w:rFonts w:hint="eastAsia" w:ascii="Times New Roman" w:hAnsi="Times New Roman" w:eastAsia="仿宋_GB2312" w:cs="Times New Roman"/>
          <w:kern w:val="2"/>
          <w:sz w:val="32"/>
          <w:szCs w:val="32"/>
          <w:lang w:val="en-US" w:eastAsia="zh-CN" w:bidi="ar-SA"/>
        </w:rPr>
        <w:t>新增</w:t>
      </w:r>
      <w:r>
        <w:rPr>
          <w:rFonts w:hint="default" w:ascii="Times New Roman" w:hAnsi="Times New Roman" w:eastAsia="仿宋_GB2312" w:cs="Times New Roman"/>
          <w:kern w:val="2"/>
          <w:sz w:val="32"/>
          <w:szCs w:val="32"/>
          <w:lang w:val="en-US" w:eastAsia="zh-CN" w:bidi="ar-SA"/>
        </w:rPr>
        <w:t>养老机构床位一次性建设补助1,040,000元、护理型养老机构床位一次性建设补助672,000元。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9.宜良县</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350,560元，全部为运营补助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10.石林县</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134,470元，其中运营补助122,470元、护理员补助12,000元。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11.嵩明县</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139,240元，其中运营补助136,240元、护理员补助3,000元。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12.寻甸县</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264,800元，全部为运营补助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13.富民县</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98,920元，全部为运营补助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14.禄劝县</w:t>
      </w:r>
      <w:r>
        <w:rPr>
          <w:rFonts w:hint="default" w:ascii="Times New Roman" w:hAnsi="Times New Roman" w:eastAsia="仿宋_GB2312" w:cs="Times New Roman"/>
          <w:kern w:val="2"/>
          <w:sz w:val="32"/>
          <w:szCs w:val="32"/>
          <w:lang w:val="en-US" w:eastAsia="zh-CN" w:bidi="ar-SA"/>
        </w:rPr>
        <w:t>补助</w:t>
      </w:r>
      <w:r>
        <w:rPr>
          <w:rFonts w:hint="eastAsia" w:ascii="Times New Roman" w:hAnsi="Times New Roman" w:eastAsia="仿宋_GB2312" w:cs="Times New Roman"/>
          <w:kern w:val="2"/>
          <w:sz w:val="32"/>
          <w:szCs w:val="32"/>
          <w:lang w:val="en-US" w:eastAsia="zh-CN" w:bidi="ar-SA"/>
        </w:rPr>
        <w:t>资金</w:t>
      </w:r>
      <w:r>
        <w:rPr>
          <w:rFonts w:hint="default" w:ascii="Times New Roman" w:hAnsi="Times New Roman" w:eastAsia="仿宋_GB2312" w:cs="Times New Roman"/>
          <w:kern w:val="2"/>
          <w:sz w:val="32"/>
          <w:szCs w:val="32"/>
          <w:lang w:val="en-US" w:eastAsia="zh-CN" w:bidi="ar-SA"/>
        </w:rPr>
        <w:t>59,890元，全部为运营补助。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15.阳宗海</w:t>
      </w:r>
      <w:r>
        <w:rPr>
          <w:rFonts w:hint="default" w:ascii="Times New Roman" w:hAnsi="Times New Roman" w:eastAsia="仿宋_GB2312" w:cs="Times New Roman"/>
          <w:kern w:val="2"/>
          <w:sz w:val="32"/>
          <w:szCs w:val="32"/>
          <w:lang w:val="en-US" w:eastAsia="zh-CN" w:bidi="ar-SA"/>
        </w:rPr>
        <w:t>因不符合补助资金拨付必达指标，不予补助。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（四）市级直属机构补助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1.昆明市社会福利院</w:t>
      </w:r>
      <w:r>
        <w:rPr>
          <w:rFonts w:hint="eastAsia" w:ascii="Times New Roman" w:hAnsi="Times New Roman" w:eastAsia="仿宋_GB2312" w:cs="Times New Roman"/>
          <w:kern w:val="2"/>
          <w:sz w:val="32"/>
          <w:szCs w:val="32"/>
          <w:lang w:val="en-US" w:eastAsia="zh-CN" w:bidi="ar-SA"/>
        </w:rPr>
        <w:t>运营补助资金966,650元，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2.昆明市西郊安置所</w:t>
      </w:r>
      <w:r>
        <w:rPr>
          <w:rFonts w:hint="eastAsia" w:ascii="Times New Roman" w:hAnsi="Times New Roman" w:eastAsia="仿宋_GB2312" w:cs="Times New Roman"/>
          <w:kern w:val="2"/>
          <w:sz w:val="32"/>
          <w:szCs w:val="32"/>
          <w:lang w:val="en-US" w:eastAsia="zh-CN" w:bidi="ar-SA"/>
        </w:rPr>
        <w:t>运营补助资金43,650元。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二、相关要求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（一）各县（市）区要认真遵守有关政策规定，严格依照评估结果及时兑付相关补助资金，坚决杜绝冒领、乱发补助资金等违法违纪问题。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（二）兑付补助资金从《昆明市财政局 昆明市民政局关于下达2022年省级民政事业专项资金（第二批）的通知》（昆财社〔2022〕132号）、《昆明市财政局 昆明市民政局关于下达2022年第一批省级福彩公益金的通知》（昆财社〔2022〕199号）下达资金中列支。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（三）下达补助资</w:t>
      </w:r>
      <w:r>
        <w:rPr>
          <w:rFonts w:hint="eastAsia" w:ascii="Times New Roman" w:hAnsi="Times New Roman" w:eastAsia="仿宋_GB2312" w:cs="Times New Roman"/>
          <w:color w:val="auto"/>
          <w:kern w:val="2"/>
          <w:sz w:val="32"/>
          <w:szCs w:val="32"/>
          <w:lang w:val="en-US" w:eastAsia="zh-CN" w:bidi="ar-SA"/>
        </w:rPr>
        <w:t>金不足的县（市</w:t>
      </w:r>
      <w:r>
        <w:rPr>
          <w:rFonts w:hint="eastAsia" w:ascii="Times New Roman" w:hAnsi="Times New Roman" w:eastAsia="仿宋_GB2312" w:cs="Times New Roman"/>
          <w:kern w:val="2"/>
          <w:sz w:val="32"/>
          <w:szCs w:val="32"/>
          <w:lang w:val="en-US" w:eastAsia="zh-CN" w:bidi="ar-SA"/>
        </w:rPr>
        <w:t>）区，请按照《云南省人民政府办公厅关于支持社会力量发展养老服务业的实施意见》（云政办发〔2017〕114号）、《云南省养老服务机构运营资助资金管理办法（试行）》的通知》（云财规〔2019〕7号）等规定，由相关县（市）区自行配套补齐。对结余补助资金，按程序审批后可统筹用于本级养老服务体系建设。</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附件：1.昆明市2021年养老机构申请补助评估结果汇总表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2.昆明市2021年养老机构补助评估结果汇总表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3.昆明市2021年养老机构运营补助情况表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4.昆明市2021年养老护理员补助情况表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5.昆明市新增养老机构一次性建设补助情况表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6.昆明市新增养老机构护理型养老机构补助情况表</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kern w:val="2"/>
          <w:sz w:val="32"/>
          <w:szCs w:val="32"/>
          <w:lang w:val="en-US" w:eastAsia="zh-CN" w:bidi="ar-SA"/>
        </w:rPr>
      </w:pPr>
    </w:p>
    <w:p>
      <w:pPr>
        <w:pStyle w:val="2"/>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sz w:val="32"/>
        </w:rPr>
        <w:pict>
          <v:shape id="_x0000_s1026" o:spid="_x0000_s1026" o:spt="201" type="#_x0000_t201" style="position:absolute;left:0pt;margin-left:280.5pt;margin-top:-63.9pt;height:128pt;width:128pt;z-index:-251657216;mso-width-relative:page;mso-height-relative:page;" o:ole="t" filled="f" o:preferrelative="t" stroked="f" coordsize="21600,21600">
            <v:path/>
            <v:fill on="f" focussize="0,0"/>
            <v:stroke on="f"/>
            <v:imagedata r:id="rId6" o:title=""/>
            <o:lock v:ext="edit" aspectratio="f"/>
          </v:shape>
          <w:control r:id="rId5" w:name="CWordOLECtrl1" w:shapeid="_x0000_s1026"/>
        </w:pict>
      </w:r>
      <w:r>
        <w:rPr>
          <w:rFonts w:hint="default"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昆明市民政局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 xml:space="preserve"> 2022年</w:t>
      </w:r>
      <w:r>
        <w:rPr>
          <w:rFonts w:hint="eastAsia" w:ascii="Times New Roman" w:hAnsi="Times New Roman" w:eastAsia="仿宋_GB2312" w:cs="Times New Roman"/>
          <w:kern w:val="2"/>
          <w:sz w:val="32"/>
          <w:szCs w:val="32"/>
          <w:lang w:val="en-US" w:eastAsia="zh-CN" w:bidi="ar-SA"/>
        </w:rPr>
        <w:t>11</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22</w:t>
      </w:r>
      <w:r>
        <w:rPr>
          <w:rFonts w:hint="default" w:ascii="Times New Roman" w:hAnsi="Times New Roman" w:eastAsia="仿宋_GB2312" w:cs="Times New Roman"/>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依申请</w:t>
      </w:r>
      <w:r>
        <w:rPr>
          <w:rFonts w:hint="default" w:ascii="Times New Roman" w:hAnsi="Times New Roman" w:eastAsia="仿宋_GB2312" w:cs="Times New Roman"/>
          <w:kern w:val="2"/>
          <w:sz w:val="32"/>
          <w:szCs w:val="32"/>
          <w:lang w:val="en-US" w:eastAsia="zh-CN" w:bidi="ar-SA"/>
        </w:rPr>
        <w:t>公开）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pPr>
        <w:pStyle w:val="4"/>
        <w:jc w:val="center"/>
        <w:rPr>
          <w:rFonts w:hint="default" w:ascii="方正小标宋简体" w:hAnsi="方正小标宋简体" w:eastAsia="方正小标宋简体" w:cs="方正小标宋简体"/>
          <w:sz w:val="44"/>
          <w:szCs w:val="44"/>
          <w:lang w:val="en-US" w:eastAsia="zh-CN"/>
        </w:rPr>
      </w:pPr>
    </w:p>
    <w:sectPr>
      <w:footerReference r:id="rId3" w:type="default"/>
      <w:pgSz w:w="11906" w:h="16838"/>
      <w:pgMar w:top="1553" w:right="1531" w:bottom="161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JQWX6pzUzJqZMU4toS14Hs2sKWE=" w:salt="ZLf8lnnaad9UjpbYCIu7L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15C6"/>
    <w:rsid w:val="00976DDF"/>
    <w:rsid w:val="01C41953"/>
    <w:rsid w:val="0318057A"/>
    <w:rsid w:val="03665530"/>
    <w:rsid w:val="04BA1C82"/>
    <w:rsid w:val="05A73210"/>
    <w:rsid w:val="073A4EA5"/>
    <w:rsid w:val="08314682"/>
    <w:rsid w:val="08DE7E7E"/>
    <w:rsid w:val="09724457"/>
    <w:rsid w:val="099722BE"/>
    <w:rsid w:val="0CC62F87"/>
    <w:rsid w:val="0CEC11E8"/>
    <w:rsid w:val="0DEB54DB"/>
    <w:rsid w:val="0FA85EDB"/>
    <w:rsid w:val="10067CF4"/>
    <w:rsid w:val="101F25A5"/>
    <w:rsid w:val="10273C90"/>
    <w:rsid w:val="11ED40C5"/>
    <w:rsid w:val="144C6B7F"/>
    <w:rsid w:val="14555455"/>
    <w:rsid w:val="14DA41C6"/>
    <w:rsid w:val="15123950"/>
    <w:rsid w:val="152F0420"/>
    <w:rsid w:val="16363FFB"/>
    <w:rsid w:val="170F7E96"/>
    <w:rsid w:val="178D42C0"/>
    <w:rsid w:val="19377A9D"/>
    <w:rsid w:val="1AF56DCF"/>
    <w:rsid w:val="1B29696C"/>
    <w:rsid w:val="1DB32258"/>
    <w:rsid w:val="1E3E358A"/>
    <w:rsid w:val="1EEB1536"/>
    <w:rsid w:val="20973FFE"/>
    <w:rsid w:val="215D7EC6"/>
    <w:rsid w:val="2315126C"/>
    <w:rsid w:val="234468C6"/>
    <w:rsid w:val="23AA2BAC"/>
    <w:rsid w:val="27AE5C2E"/>
    <w:rsid w:val="298D303C"/>
    <w:rsid w:val="29E828FE"/>
    <w:rsid w:val="2B653CC0"/>
    <w:rsid w:val="2B973989"/>
    <w:rsid w:val="2C215081"/>
    <w:rsid w:val="2CEF00AA"/>
    <w:rsid w:val="2CF910B6"/>
    <w:rsid w:val="2E443808"/>
    <w:rsid w:val="2ECE71DD"/>
    <w:rsid w:val="2EEB2B88"/>
    <w:rsid w:val="2F686853"/>
    <w:rsid w:val="2F9E35D0"/>
    <w:rsid w:val="30E30BAB"/>
    <w:rsid w:val="31077795"/>
    <w:rsid w:val="31373157"/>
    <w:rsid w:val="323973F0"/>
    <w:rsid w:val="327738EA"/>
    <w:rsid w:val="34135E1C"/>
    <w:rsid w:val="342F4CAA"/>
    <w:rsid w:val="3511155D"/>
    <w:rsid w:val="35BA1D55"/>
    <w:rsid w:val="35E9468B"/>
    <w:rsid w:val="3626495A"/>
    <w:rsid w:val="362A0E53"/>
    <w:rsid w:val="362B14C1"/>
    <w:rsid w:val="36DA0C6B"/>
    <w:rsid w:val="381A5345"/>
    <w:rsid w:val="39FC1A35"/>
    <w:rsid w:val="3DC04651"/>
    <w:rsid w:val="41FF3E18"/>
    <w:rsid w:val="43233D08"/>
    <w:rsid w:val="43380BDB"/>
    <w:rsid w:val="438B4FEA"/>
    <w:rsid w:val="45EC66FD"/>
    <w:rsid w:val="45ED64C7"/>
    <w:rsid w:val="46541F33"/>
    <w:rsid w:val="471728F8"/>
    <w:rsid w:val="47E64083"/>
    <w:rsid w:val="4825357D"/>
    <w:rsid w:val="486A0D24"/>
    <w:rsid w:val="488C039F"/>
    <w:rsid w:val="49D00511"/>
    <w:rsid w:val="4A482508"/>
    <w:rsid w:val="4CF34907"/>
    <w:rsid w:val="4D202DBF"/>
    <w:rsid w:val="4E7067BB"/>
    <w:rsid w:val="509F23F3"/>
    <w:rsid w:val="510C380A"/>
    <w:rsid w:val="526D5426"/>
    <w:rsid w:val="536F5638"/>
    <w:rsid w:val="54B15A26"/>
    <w:rsid w:val="54BC4D23"/>
    <w:rsid w:val="556C374E"/>
    <w:rsid w:val="56431152"/>
    <w:rsid w:val="570E7CDC"/>
    <w:rsid w:val="5977132F"/>
    <w:rsid w:val="59AF4BEA"/>
    <w:rsid w:val="5A825043"/>
    <w:rsid w:val="5AAB7620"/>
    <w:rsid w:val="5ABB54E8"/>
    <w:rsid w:val="5B0F57B8"/>
    <w:rsid w:val="5B9C24BC"/>
    <w:rsid w:val="5D107897"/>
    <w:rsid w:val="5D2F75CF"/>
    <w:rsid w:val="5F286775"/>
    <w:rsid w:val="61E611DC"/>
    <w:rsid w:val="620A2DDA"/>
    <w:rsid w:val="62142292"/>
    <w:rsid w:val="62230DFD"/>
    <w:rsid w:val="63D4597A"/>
    <w:rsid w:val="63FB2B67"/>
    <w:rsid w:val="64CC4F0D"/>
    <w:rsid w:val="65367C65"/>
    <w:rsid w:val="66E949AB"/>
    <w:rsid w:val="678874AD"/>
    <w:rsid w:val="68544894"/>
    <w:rsid w:val="68AD32BA"/>
    <w:rsid w:val="695935F7"/>
    <w:rsid w:val="6BE97D97"/>
    <w:rsid w:val="6D2C1EAD"/>
    <w:rsid w:val="6D7A01FD"/>
    <w:rsid w:val="6E482BF9"/>
    <w:rsid w:val="700D108D"/>
    <w:rsid w:val="710C770E"/>
    <w:rsid w:val="71DE7C8F"/>
    <w:rsid w:val="73463AB9"/>
    <w:rsid w:val="74733422"/>
    <w:rsid w:val="74F40477"/>
    <w:rsid w:val="758137ED"/>
    <w:rsid w:val="762F3FCD"/>
    <w:rsid w:val="7636145C"/>
    <w:rsid w:val="76F3117D"/>
    <w:rsid w:val="77E3EE50"/>
    <w:rsid w:val="77F57EAC"/>
    <w:rsid w:val="78AC7553"/>
    <w:rsid w:val="78CD110F"/>
    <w:rsid w:val="792A62DD"/>
    <w:rsid w:val="7A670DE2"/>
    <w:rsid w:val="7BD85C34"/>
    <w:rsid w:val="7CD76740"/>
    <w:rsid w:val="7D1C6A8C"/>
    <w:rsid w:val="7D9851BC"/>
    <w:rsid w:val="FD5FD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24" w:lineRule="auto"/>
      <w:jc w:val="center"/>
    </w:pPr>
    <w:rPr>
      <w:rFonts w:ascii="Calibri" w:hAnsi="Calibri" w:eastAsia="Calibri" w:cs="Times New Roman"/>
      <w:sz w:val="36"/>
    </w:rPr>
  </w:style>
  <w:style w:type="paragraph" w:styleId="3">
    <w:name w:val="toc 5"/>
    <w:basedOn w:val="1"/>
    <w:next w:val="1"/>
    <w:qFormat/>
    <w:uiPriority w:val="0"/>
    <w:pPr>
      <w:ind w:left="1680" w:leftChars="8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公文文号"/>
    <w:basedOn w:val="7"/>
    <w:qFormat/>
    <w:uiPriority w:val="99"/>
    <w:rPr>
      <w:rFonts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2022-07-24T18:24:00Z</dcterms:created>
  <dc:creator>Administrator</dc:creator>
  <cp:lastModifiedBy>Administrator</cp:lastModifiedBy>
  <cp:lastPrinted>2022-08-10T12:18:00Z</cp:lastPrinted>
  <dcterms:modified xsi:type="dcterms:W3CDTF">2022-11-22T09:11:52Z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docranid">
    <vt:lpwstr>5F320779E19647EF9843C8C3E292AB6C</vt:lpwstr>
  </property>
</Properties>
</file>