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云南杨林工业开发区汕滇药业有限公司天然气锅炉技改项目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云南杨林工业开发区汕滇药业有限公司天然气锅炉技改项目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云南杨林工业开发区汕滇药业有限公司天然气锅炉技改项目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云南省昆明市嵩明县杨林工业开发区天创路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云南杨林工业开发区汕滇药业有限公司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改建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云南百源众环环保科技有限公司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原项目已经嵩明县环境保护局于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日以嵩环发〔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号批复同意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通过环保“三同时”竣工验收；嵩明县环境保护局于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日以嵩环复〔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号批复同意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仓库改建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通过环境保护建设竣工验收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改建项目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总投</w:t>
      </w:r>
      <w:r>
        <w:rPr>
          <w:rFonts w:eastAsia="仿宋_GB2312"/>
          <w:color w:val="auto"/>
          <w:sz w:val="32"/>
          <w:szCs w:val="32"/>
        </w:rPr>
        <w:t>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40.1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6.7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。项目建设内容：项目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在原锅炉房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新建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1t/h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天然气锅炉及配套设施、天然气管道。待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1t/h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天然气锅炉正常运行后，永久</w:t>
      </w:r>
      <w:r>
        <w:rPr>
          <w:rFonts w:hint="eastAsia" w:eastAsia="仿宋_GB2312" w:cs="Times New Roman"/>
          <w:sz w:val="32"/>
          <w:szCs w:val="32"/>
          <w:lang w:eastAsia="zh-CN"/>
        </w:rPr>
        <w:t>停用原有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2t/h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燃煤锅炉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，并拆除原锅炉配套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25m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高烟囱等。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完成后公司的生产规模、产品产能、生产工艺等均不变。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2年11月10日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月16日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云南杨林工业开发区汕滇药业有限公司天然气锅炉技改项目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BEFEBD7"/>
    <w:rsid w:val="7CFFE86F"/>
    <w:rsid w:val="7D33184A"/>
    <w:rsid w:val="7DDDAD91"/>
    <w:rsid w:val="7DED0E97"/>
    <w:rsid w:val="7DFDFAF3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7FA304"/>
    <w:rsid w:val="FFB70945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2020-08-26T11:01:00Z</dcterms:created>
  <dc:creator>Administrator</dc:creator>
  <cp:lastModifiedBy>user</cp:lastModifiedBy>
  <dcterms:modified xsi:type="dcterms:W3CDTF">2022-11-15T16:32:47Z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