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eastAsia="zh-CN"/>
        </w:rPr>
        <w:t>云南迪诺特公路工程有限公司年产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-US" w:eastAsia="zh-CN"/>
        </w:rPr>
        <w:t>6000吨新型钢构生产项目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云南迪诺特公路工程有限公司年产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6000吨新型钢构生产项目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云南迪诺特公路工程有限公司年产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6000吨新型钢构生产项目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云南省昆明市嵩明县小街工业园区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10号地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云南迪诺特公路工程有限公司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云南协同环保工程有限公司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本项目占地面积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13031.58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eastAsia="zh-CN"/>
        </w:rPr>
        <w:t>，总建筑面积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7907.49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eastAsia="zh-CN"/>
        </w:rPr>
        <w:t>，项目总投资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5600万元，其中环保投资64.5万元。项目分为主体工程、辅助工程、公用工程、环保工程，项目建设内容：新建1栋1层生产厂房（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1#、2#生产车间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、行政综合楼、消防水泵房及相关配套设施；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新建废气、废水、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噪声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处理设施等环保工程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建成后年产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6000吨纳米涂喷新型钢结构、50000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eastAsia="zh-CN"/>
        </w:rPr>
        <w:t>美国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3M MCS数码反光膜UV打印系列产品。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2年9月21日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9月27日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云南迪诺特公路工程有限公司年产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6000吨新型钢构生产项目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FD7E1A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B7722D2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2020-08-24T19:01:00Z</dcterms:created>
  <dc:creator>Administrator</dc:creator>
  <cp:lastModifiedBy>user</cp:lastModifiedBy>
  <dcterms:modified xsi:type="dcterms:W3CDTF">2022-09-29T14:48:51Z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