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540" w:lineRule="exact"/>
        <w:jc w:val="center"/>
        <w:rPr>
          <w:rFonts w:ascii="方正小标宋简体" w:hAnsi="方正小标宋简体" w:eastAsia="方正小标宋简体" w:cs="方正小标宋简体"/>
          <w:sz w:val="36"/>
          <w:szCs w:val="36"/>
        </w:rPr>
      </w:pPr>
      <w:r>
        <w:rPr>
          <w:rFonts w:hint="eastAsia" w:ascii="方正小标宋简体" w:hAnsi="方正小标宋简体" w:eastAsia="方正小标宋简体" w:cs="方正小标宋简体"/>
          <w:sz w:val="36"/>
          <w:szCs w:val="36"/>
        </w:rPr>
        <w:t>项目支出绩效评价报告</w:t>
      </w:r>
    </w:p>
    <w:p>
      <w:pPr>
        <w:spacing w:line="540" w:lineRule="exact"/>
        <w:jc w:val="center"/>
        <w:rPr>
          <w:rFonts w:ascii="方正小标宋简体" w:hAnsi="方正小标宋简体" w:eastAsia="方正小标宋简体" w:cs="方正小标宋简体"/>
          <w:sz w:val="36"/>
          <w:szCs w:val="36"/>
        </w:rPr>
      </w:pPr>
      <w:r>
        <w:rPr>
          <w:rFonts w:hint="eastAsia" w:ascii="方正小标宋简体" w:hAnsi="方正小标宋简体" w:eastAsia="方正小标宋简体" w:cs="方正小标宋简体"/>
          <w:sz w:val="36"/>
          <w:szCs w:val="36"/>
        </w:rPr>
        <w:t>（参考提纲）</w:t>
      </w:r>
    </w:p>
    <w:p>
      <w:pPr>
        <w:spacing w:line="540" w:lineRule="exact"/>
        <w:ind w:firstLine="640" w:firstLineChars="200"/>
        <w:jc w:val="left"/>
        <w:rPr>
          <w:rFonts w:ascii="黑体" w:hAnsi="黑体" w:eastAsia="黑体"/>
          <w:szCs w:val="32"/>
        </w:rPr>
      </w:pPr>
    </w:p>
    <w:p>
      <w:pPr>
        <w:spacing w:line="540" w:lineRule="exact"/>
        <w:ind w:firstLine="640" w:firstLineChars="200"/>
        <w:jc w:val="center"/>
        <w:rPr>
          <w:rFonts w:ascii="方正小标宋_GBK" w:hAnsi="黑体" w:eastAsia="方正小标宋_GBK"/>
          <w:szCs w:val="32"/>
        </w:rPr>
      </w:pPr>
      <w:r>
        <w:rPr>
          <w:rFonts w:hint="eastAsia" w:ascii="方正小标宋_GBK" w:hAnsi="黑体" w:eastAsia="方正小标宋_GBK"/>
          <w:szCs w:val="32"/>
        </w:rPr>
        <w:t>摘要（1500字以内）</w:t>
      </w:r>
    </w:p>
    <w:p>
      <w:pPr>
        <w:spacing w:line="540" w:lineRule="exact"/>
        <w:ind w:firstLine="640" w:firstLineChars="200"/>
        <w:jc w:val="left"/>
        <w:rPr>
          <w:rFonts w:ascii="仿宋_GB2312" w:hAnsi="黑体"/>
          <w:szCs w:val="32"/>
        </w:rPr>
      </w:pPr>
      <w:r>
        <w:rPr>
          <w:rFonts w:hint="eastAsia" w:ascii="黑体" w:hAnsi="黑体" w:eastAsia="黑体"/>
          <w:szCs w:val="32"/>
        </w:rPr>
        <w:t>一、项目概况：</w:t>
      </w:r>
      <w:r>
        <w:rPr>
          <w:rFonts w:hint="eastAsia" w:ascii="仿宋_GB2312" w:hAnsi="黑体"/>
          <w:szCs w:val="32"/>
        </w:rPr>
        <w:t>含项目立项背景及目的，预算收支情况。</w:t>
      </w:r>
    </w:p>
    <w:p>
      <w:pPr>
        <w:spacing w:line="540" w:lineRule="exact"/>
        <w:ind w:firstLine="640" w:firstLineChars="200"/>
        <w:jc w:val="left"/>
        <w:rPr>
          <w:rFonts w:ascii="黑体" w:hAnsi="黑体" w:eastAsia="黑体"/>
          <w:szCs w:val="32"/>
        </w:rPr>
      </w:pPr>
      <w:r>
        <w:rPr>
          <w:rFonts w:hint="eastAsia" w:ascii="黑体" w:hAnsi="黑体" w:eastAsia="黑体"/>
          <w:szCs w:val="32"/>
        </w:rPr>
        <w:t>二、评价结论</w:t>
      </w:r>
    </w:p>
    <w:p>
      <w:pPr>
        <w:spacing w:line="540" w:lineRule="exact"/>
        <w:ind w:firstLine="640" w:firstLineChars="200"/>
        <w:jc w:val="left"/>
        <w:rPr>
          <w:rFonts w:ascii="黑体" w:hAnsi="黑体" w:eastAsia="黑体"/>
          <w:szCs w:val="32"/>
        </w:rPr>
      </w:pPr>
      <w:r>
        <w:rPr>
          <w:rFonts w:hint="eastAsia" w:ascii="黑体" w:hAnsi="黑体" w:eastAsia="黑体"/>
          <w:szCs w:val="32"/>
        </w:rPr>
        <w:t>三、经验、问题和建议</w:t>
      </w:r>
    </w:p>
    <w:p>
      <w:pPr>
        <w:spacing w:line="540" w:lineRule="exact"/>
        <w:ind w:firstLine="640" w:firstLineChars="200"/>
        <w:jc w:val="left"/>
        <w:rPr>
          <w:rFonts w:ascii="楷体" w:hAnsi="楷体" w:eastAsia="楷体"/>
          <w:szCs w:val="32"/>
        </w:rPr>
      </w:pPr>
      <w:r>
        <w:rPr>
          <w:rFonts w:hint="eastAsia" w:ascii="楷体" w:hAnsi="楷体" w:eastAsia="楷体"/>
          <w:szCs w:val="32"/>
        </w:rPr>
        <w:t>1.主要经验及做法；</w:t>
      </w:r>
    </w:p>
    <w:p>
      <w:pPr>
        <w:spacing w:line="540" w:lineRule="exact"/>
        <w:ind w:firstLine="640" w:firstLineChars="200"/>
        <w:jc w:val="left"/>
        <w:rPr>
          <w:rFonts w:ascii="楷体" w:hAnsi="楷体" w:eastAsia="楷体"/>
          <w:szCs w:val="32"/>
        </w:rPr>
      </w:pPr>
      <w:r>
        <w:rPr>
          <w:rFonts w:hint="eastAsia" w:ascii="楷体" w:hAnsi="楷体" w:eastAsia="楷体"/>
          <w:szCs w:val="32"/>
        </w:rPr>
        <w:t>2.存在的问题；</w:t>
      </w:r>
    </w:p>
    <w:p>
      <w:pPr>
        <w:spacing w:line="540" w:lineRule="exact"/>
        <w:ind w:firstLine="640" w:firstLineChars="200"/>
        <w:jc w:val="left"/>
        <w:rPr>
          <w:rFonts w:ascii="楷体" w:hAnsi="楷体" w:eastAsia="楷体"/>
          <w:szCs w:val="32"/>
        </w:rPr>
      </w:pPr>
      <w:r>
        <w:rPr>
          <w:rFonts w:hint="eastAsia" w:ascii="楷体" w:hAnsi="楷体" w:eastAsia="楷体"/>
          <w:szCs w:val="32"/>
        </w:rPr>
        <w:t>3.改进措施及建议。</w:t>
      </w:r>
    </w:p>
    <w:p>
      <w:pPr>
        <w:spacing w:line="540" w:lineRule="exact"/>
        <w:ind w:firstLine="640" w:firstLineChars="200"/>
        <w:jc w:val="left"/>
        <w:rPr>
          <w:rFonts w:ascii="楷体" w:hAnsi="楷体" w:eastAsia="楷体"/>
          <w:szCs w:val="32"/>
        </w:rPr>
      </w:pPr>
    </w:p>
    <w:p>
      <w:pPr>
        <w:spacing w:line="540" w:lineRule="exact"/>
        <w:ind w:firstLine="560" w:firstLineChars="200"/>
        <w:jc w:val="center"/>
        <w:rPr>
          <w:rFonts w:ascii="黑体" w:hAnsi="黑体" w:eastAsia="黑体"/>
          <w:spacing w:val="-20"/>
          <w:sz w:val="36"/>
          <w:szCs w:val="36"/>
        </w:rPr>
      </w:pPr>
      <w:r>
        <w:rPr>
          <w:rFonts w:hint="eastAsia" w:ascii="黑体" w:hAnsi="黑体" w:eastAsia="黑体"/>
          <w:spacing w:val="-20"/>
          <w:szCs w:val="32"/>
        </w:rPr>
        <w:t>正文：工商行政管理事务行政运行-执法办案后勤保障市场监管项目支出绩效评价报告</w:t>
      </w:r>
    </w:p>
    <w:p>
      <w:pPr>
        <w:topLinePunct/>
        <w:spacing w:line="540" w:lineRule="exact"/>
        <w:ind w:firstLine="800" w:firstLineChars="250"/>
        <w:rPr>
          <w:rFonts w:ascii="黑体" w:eastAsia="黑体"/>
          <w:szCs w:val="32"/>
        </w:rPr>
      </w:pPr>
    </w:p>
    <w:p>
      <w:pPr>
        <w:topLinePunct/>
        <w:spacing w:line="540" w:lineRule="exact"/>
        <w:ind w:firstLine="800" w:firstLineChars="250"/>
        <w:rPr>
          <w:rFonts w:ascii="黑体" w:eastAsia="黑体"/>
          <w:szCs w:val="32"/>
        </w:rPr>
      </w:pPr>
      <w:r>
        <w:rPr>
          <w:rFonts w:hint="eastAsia" w:ascii="黑体" w:eastAsia="黑体"/>
          <w:szCs w:val="32"/>
        </w:rPr>
        <w:t>一、项目基本情况</w:t>
      </w:r>
    </w:p>
    <w:p>
      <w:pPr>
        <w:topLinePunct/>
        <w:spacing w:line="540" w:lineRule="exact"/>
        <w:ind w:firstLine="800" w:firstLineChars="250"/>
        <w:rPr>
          <w:rFonts w:ascii="楷体" w:hAnsi="楷体" w:eastAsia="楷体"/>
          <w:szCs w:val="32"/>
        </w:rPr>
      </w:pPr>
      <w:r>
        <w:rPr>
          <w:rFonts w:hint="eastAsia" w:ascii="楷体" w:hAnsi="楷体" w:eastAsia="楷体"/>
          <w:szCs w:val="32"/>
        </w:rPr>
        <w:t>（一）项目概况。</w:t>
      </w:r>
    </w:p>
    <w:p>
      <w:pPr>
        <w:topLinePunct/>
        <w:spacing w:line="540" w:lineRule="exact"/>
        <w:ind w:firstLine="750" w:firstLineChars="250"/>
        <w:rPr>
          <w:rFonts w:ascii="仿宋" w:hAnsi="仿宋" w:eastAsia="仿宋"/>
          <w:sz w:val="30"/>
          <w:szCs w:val="30"/>
        </w:rPr>
      </w:pPr>
      <w:r>
        <w:rPr>
          <w:rFonts w:hint="eastAsia" w:ascii="仿宋" w:hAnsi="仿宋" w:eastAsia="仿宋"/>
          <w:sz w:val="30"/>
          <w:szCs w:val="30"/>
        </w:rPr>
        <w:t>1.立项背景及目的。</w:t>
      </w:r>
    </w:p>
    <w:p>
      <w:pPr>
        <w:topLinePunct/>
        <w:spacing w:line="540" w:lineRule="exact"/>
        <w:ind w:firstLine="750" w:firstLineChars="250"/>
        <w:rPr>
          <w:rFonts w:ascii="仿宋" w:hAnsi="仿宋" w:eastAsia="仿宋"/>
          <w:sz w:val="30"/>
          <w:szCs w:val="30"/>
        </w:rPr>
      </w:pPr>
      <w:r>
        <w:rPr>
          <w:rFonts w:hint="eastAsia" w:ascii="仿宋" w:hAnsi="仿宋" w:eastAsia="仿宋"/>
          <w:sz w:val="30"/>
          <w:szCs w:val="30"/>
        </w:rPr>
        <w:t>嵩明县市场监督管理局行政执法工作主要是按规定组织查处违反工商行政管理、质量技术监督、食品药品安全监管等法律、法规、规章的行为。加强后勤保障工作，加强物业管理、保安服务、设施维修工作。加强市场交易行为和有关服务行为的监管，加大市场监管力度，维护公平竞争的市场经营秩序。</w:t>
      </w:r>
    </w:p>
    <w:p>
      <w:pPr>
        <w:topLinePunct/>
        <w:spacing w:line="540" w:lineRule="exact"/>
        <w:ind w:firstLine="750" w:firstLineChars="250"/>
        <w:rPr>
          <w:rFonts w:ascii="仿宋" w:hAnsi="仿宋" w:eastAsia="仿宋"/>
          <w:sz w:val="30"/>
          <w:szCs w:val="30"/>
        </w:rPr>
      </w:pPr>
      <w:r>
        <w:rPr>
          <w:rFonts w:hint="eastAsia" w:ascii="仿宋" w:hAnsi="仿宋" w:eastAsia="仿宋"/>
          <w:sz w:val="30"/>
          <w:szCs w:val="30"/>
        </w:rPr>
        <w:t>2.项目实施情况。</w:t>
      </w:r>
    </w:p>
    <w:p>
      <w:pPr>
        <w:topLinePunct/>
        <w:spacing w:line="540" w:lineRule="exact"/>
        <w:ind w:firstLine="750" w:firstLineChars="250"/>
        <w:rPr>
          <w:rFonts w:ascii="仿宋" w:hAnsi="仿宋" w:eastAsia="仿宋"/>
          <w:sz w:val="30"/>
          <w:szCs w:val="30"/>
        </w:rPr>
      </w:pPr>
      <w:r>
        <w:rPr>
          <w:rFonts w:hint="eastAsia" w:ascii="仿宋" w:hAnsi="仿宋" w:eastAsia="仿宋"/>
          <w:sz w:val="30"/>
          <w:szCs w:val="30"/>
        </w:rPr>
        <w:t>2017年，按照县委、县政府的总体布置，嵩明县市场</w:t>
      </w:r>
      <w:r>
        <w:rPr>
          <w:rFonts w:hint="eastAsia" w:ascii="仿宋" w:hAnsi="仿宋" w:eastAsia="仿宋"/>
          <w:sz w:val="30"/>
          <w:szCs w:val="30"/>
          <w:lang w:val="en-US" w:eastAsia="zh-Hans"/>
        </w:rPr>
        <w:t>监督</w:t>
      </w:r>
      <w:bookmarkStart w:id="0" w:name="_GoBack"/>
      <w:bookmarkEnd w:id="0"/>
      <w:r>
        <w:rPr>
          <w:rFonts w:hint="eastAsia" w:ascii="仿宋" w:hAnsi="仿宋" w:eastAsia="仿宋"/>
          <w:sz w:val="30"/>
          <w:szCs w:val="30"/>
        </w:rPr>
        <w:t>管理局加强食品、药品 、产品、商品的监管，加大工商行政管理执法力度，加强后勤保障工作。上述几项工作取得了较好的成绩，并得到了县委、县政府及上级部门的充分肯定。2017年，全局共办理行政处罚案件223件，罚没款127.41万元。</w:t>
      </w:r>
    </w:p>
    <w:p>
      <w:pPr>
        <w:topLinePunct/>
        <w:spacing w:line="540" w:lineRule="exact"/>
        <w:ind w:firstLine="750" w:firstLineChars="250"/>
        <w:rPr>
          <w:rFonts w:ascii="仿宋" w:hAnsi="仿宋" w:eastAsia="仿宋"/>
          <w:sz w:val="30"/>
          <w:szCs w:val="30"/>
        </w:rPr>
      </w:pPr>
      <w:r>
        <w:rPr>
          <w:rFonts w:hint="eastAsia" w:ascii="仿宋" w:hAnsi="仿宋" w:eastAsia="仿宋"/>
          <w:sz w:val="30"/>
          <w:szCs w:val="30"/>
        </w:rPr>
        <w:t>3.资金来源及使用情况。</w:t>
      </w:r>
    </w:p>
    <w:p>
      <w:pPr>
        <w:topLinePunct/>
        <w:spacing w:line="540" w:lineRule="exact"/>
        <w:ind w:firstLine="750" w:firstLineChars="250"/>
        <w:rPr>
          <w:rFonts w:ascii="仿宋" w:hAnsi="仿宋" w:eastAsia="仿宋"/>
          <w:sz w:val="30"/>
          <w:szCs w:val="30"/>
        </w:rPr>
      </w:pPr>
      <w:r>
        <w:rPr>
          <w:rFonts w:hint="eastAsia" w:ascii="仿宋" w:hAnsi="仿宋" w:eastAsia="仿宋"/>
          <w:sz w:val="30"/>
          <w:szCs w:val="30"/>
        </w:rPr>
        <w:t>我局于2017年6月底向县财政国库缴存了159.82万元的非税收入，已完成2017年应上缴非税收入。财政拨付了70万元执法办案经费及后勤保障服务项目经费、5万元市场监管项目经费，资金主要用于食品、药品 、产品、商品的监管，查处工商行政管理、质量技术监督、食品药品违法案件中，及消费者权保护、信息化建设、执法人员能力提升等工作，以及支付保安服务费及房屋维修维护费等共支出68.81万元。</w:t>
      </w:r>
    </w:p>
    <w:p>
      <w:pPr>
        <w:topLinePunct/>
        <w:spacing w:line="540" w:lineRule="exact"/>
        <w:ind w:firstLine="750" w:firstLineChars="250"/>
        <w:rPr>
          <w:rFonts w:ascii="仿宋" w:hAnsi="仿宋" w:eastAsia="仿宋"/>
          <w:sz w:val="30"/>
          <w:szCs w:val="30"/>
        </w:rPr>
      </w:pPr>
      <w:r>
        <w:rPr>
          <w:rFonts w:hint="eastAsia" w:ascii="仿宋" w:hAnsi="仿宋" w:eastAsia="仿宋"/>
          <w:sz w:val="30"/>
          <w:szCs w:val="30"/>
        </w:rPr>
        <w:t>4.组织及管理情况。包括项目组织情况、项目实施流程、资金拨付流程。</w:t>
      </w:r>
    </w:p>
    <w:p>
      <w:pPr>
        <w:spacing w:line="440" w:lineRule="exact"/>
        <w:ind w:firstLine="600" w:firstLineChars="200"/>
        <w:rPr>
          <w:rFonts w:ascii="仿宋" w:hAnsi="仿宋" w:eastAsia="仿宋"/>
          <w:sz w:val="30"/>
          <w:szCs w:val="30"/>
        </w:rPr>
      </w:pPr>
      <w:r>
        <w:rPr>
          <w:rFonts w:ascii="仿宋" w:hAnsi="仿宋" w:eastAsia="仿宋"/>
          <w:sz w:val="30"/>
          <w:szCs w:val="30"/>
        </w:rPr>
        <w:tab/>
      </w:r>
      <w:r>
        <w:rPr>
          <w:rFonts w:hint="eastAsia" w:ascii="仿宋" w:hAnsi="仿宋" w:eastAsia="仿宋"/>
          <w:sz w:val="30"/>
          <w:szCs w:val="30"/>
        </w:rPr>
        <w:t>行政执法由各职能科室及各所开展，办公室负责后勤保障工作，法制科加强对各科室、所案件审核工作，办公室加强保安服务、物业管理、固定资产维修等保障工作；市场监管由职能科室和所负责。</w:t>
      </w:r>
    </w:p>
    <w:p>
      <w:pPr>
        <w:spacing w:line="440" w:lineRule="exact"/>
        <w:ind w:firstLine="583"/>
        <w:rPr>
          <w:rFonts w:ascii="仿宋" w:hAnsi="仿宋" w:eastAsia="仿宋"/>
          <w:sz w:val="30"/>
          <w:szCs w:val="30"/>
        </w:rPr>
      </w:pPr>
      <w:r>
        <w:rPr>
          <w:rFonts w:hint="eastAsia" w:ascii="仿宋" w:hAnsi="仿宋" w:eastAsia="仿宋"/>
          <w:sz w:val="30"/>
          <w:szCs w:val="30"/>
        </w:rPr>
        <w:t>我局制订了预算管理制度，包括项目支出的相关规定，日常由项目负责部门对开展的项目进行监督管理。</w:t>
      </w:r>
    </w:p>
    <w:p>
      <w:pPr>
        <w:topLinePunct/>
        <w:spacing w:line="540" w:lineRule="exact"/>
        <w:ind w:firstLine="800" w:firstLineChars="250"/>
        <w:rPr>
          <w:rFonts w:ascii="楷体" w:hAnsi="楷体" w:eastAsia="楷体"/>
          <w:szCs w:val="32"/>
        </w:rPr>
      </w:pPr>
      <w:r>
        <w:rPr>
          <w:rFonts w:hint="eastAsia" w:ascii="楷体" w:hAnsi="楷体" w:eastAsia="楷体"/>
          <w:szCs w:val="32"/>
        </w:rPr>
        <w:t>（二）绩效目标。</w:t>
      </w:r>
    </w:p>
    <w:p>
      <w:pPr>
        <w:topLinePunct/>
        <w:spacing w:line="540" w:lineRule="exact"/>
        <w:ind w:firstLine="750" w:firstLineChars="250"/>
        <w:rPr>
          <w:rFonts w:ascii="仿宋_GB2312" w:hAnsi="楷体"/>
          <w:sz w:val="30"/>
          <w:szCs w:val="30"/>
        </w:rPr>
      </w:pPr>
      <w:r>
        <w:rPr>
          <w:rFonts w:hint="eastAsia" w:ascii="仿宋_GB2312" w:hAnsi="楷体"/>
          <w:sz w:val="30"/>
          <w:szCs w:val="30"/>
        </w:rPr>
        <w:t>1.总目标。</w:t>
      </w:r>
    </w:p>
    <w:p>
      <w:pPr>
        <w:topLinePunct/>
        <w:spacing w:line="540" w:lineRule="exact"/>
        <w:ind w:firstLine="750" w:firstLineChars="250"/>
        <w:rPr>
          <w:rFonts w:ascii="仿宋_GB2312" w:hAnsi="楷体"/>
          <w:sz w:val="30"/>
          <w:szCs w:val="30"/>
        </w:rPr>
      </w:pPr>
      <w:r>
        <w:rPr>
          <w:rFonts w:hint="eastAsia" w:ascii="仿宋_GB2312" w:hAnsi="楷体"/>
          <w:sz w:val="30"/>
          <w:szCs w:val="30"/>
        </w:rPr>
        <w:t>加大工商行政管理、质量技术监督、食品药品监管的执法力度，加强后勤保障工作，加强市场监督管理工作。</w:t>
      </w:r>
    </w:p>
    <w:p>
      <w:pPr>
        <w:topLinePunct/>
        <w:spacing w:line="540" w:lineRule="exact"/>
        <w:ind w:firstLine="750" w:firstLineChars="250"/>
        <w:rPr>
          <w:rFonts w:ascii="仿宋_GB2312" w:hAnsi="楷体"/>
          <w:sz w:val="30"/>
          <w:szCs w:val="30"/>
        </w:rPr>
      </w:pPr>
      <w:r>
        <w:rPr>
          <w:rFonts w:hint="eastAsia" w:ascii="仿宋_GB2312" w:hAnsi="楷体"/>
          <w:sz w:val="30"/>
          <w:szCs w:val="30"/>
        </w:rPr>
        <w:t>2.年度目标。包括产出目标、效果目标。</w:t>
      </w:r>
    </w:p>
    <w:p>
      <w:pPr>
        <w:topLinePunct/>
        <w:spacing w:line="540" w:lineRule="exact"/>
        <w:ind w:firstLine="750" w:firstLineChars="250"/>
        <w:rPr>
          <w:rFonts w:ascii="仿宋_GB2312" w:hAnsi="楷体"/>
          <w:sz w:val="30"/>
          <w:szCs w:val="30"/>
        </w:rPr>
      </w:pPr>
      <w:r>
        <w:rPr>
          <w:rFonts w:hint="eastAsia" w:ascii="仿宋_GB2312" w:hAnsi="楷体"/>
          <w:sz w:val="30"/>
          <w:szCs w:val="30"/>
        </w:rPr>
        <w:t>加大工商行政管理、质量技术监督、食品药品监管的执法力度，加强后勤保障工作，加强市场监督管理工作。产出目标：办理案件120件，后勤保障率100%，监督检查覆盖率达到90%。</w:t>
      </w:r>
    </w:p>
    <w:p>
      <w:pPr>
        <w:topLinePunct/>
        <w:spacing w:line="540" w:lineRule="exact"/>
        <w:ind w:firstLine="800" w:firstLineChars="250"/>
        <w:rPr>
          <w:rFonts w:ascii="黑体" w:hAnsi="黑体" w:eastAsia="黑体"/>
          <w:szCs w:val="32"/>
        </w:rPr>
      </w:pPr>
      <w:r>
        <w:rPr>
          <w:rFonts w:hint="eastAsia" w:ascii="黑体" w:hAnsi="黑体" w:eastAsia="黑体"/>
          <w:szCs w:val="32"/>
        </w:rPr>
        <w:t>二、绩效评价工作情况</w:t>
      </w:r>
    </w:p>
    <w:p>
      <w:pPr>
        <w:topLinePunct/>
        <w:spacing w:line="540" w:lineRule="exact"/>
        <w:ind w:firstLine="800" w:firstLineChars="250"/>
        <w:rPr>
          <w:rFonts w:ascii="仿宋_GB2312" w:hAnsi="楷体"/>
          <w:sz w:val="30"/>
          <w:szCs w:val="30"/>
        </w:rPr>
      </w:pPr>
      <w:r>
        <w:rPr>
          <w:rFonts w:hint="eastAsia" w:ascii="楷体" w:hAnsi="楷体" w:eastAsia="楷体"/>
          <w:szCs w:val="32"/>
        </w:rPr>
        <w:t>（一）绩效评价目的。</w:t>
      </w:r>
      <w:r>
        <w:rPr>
          <w:rFonts w:hint="eastAsia" w:ascii="仿宋_GB2312" w:hAnsi="楷体"/>
          <w:sz w:val="30"/>
          <w:szCs w:val="30"/>
        </w:rPr>
        <w:t>全面了解项目管理过程是否规范、产出目标是否完成以及效果目标是否实现等方面的内容，总结经验，查找不足，为项目在以后年度的开展提供可行性参考建议。在此基础上，重点分析项目预算编制的合理性、成本支出的真实性和控制有效性，评价财政资金的使用效率和效果，为以后年度编制项目预算、选择项目实施主体等提供参考依据。</w:t>
      </w:r>
    </w:p>
    <w:p>
      <w:pPr>
        <w:topLinePunct/>
        <w:spacing w:line="540" w:lineRule="exact"/>
        <w:ind w:firstLine="800" w:firstLineChars="250"/>
        <w:rPr>
          <w:rFonts w:ascii="楷体" w:hAnsi="楷体" w:eastAsia="楷体"/>
          <w:szCs w:val="32"/>
        </w:rPr>
      </w:pPr>
      <w:r>
        <w:rPr>
          <w:rFonts w:hint="eastAsia" w:ascii="楷体" w:hAnsi="楷体" w:eastAsia="楷体"/>
          <w:szCs w:val="32"/>
        </w:rPr>
        <w:t>（二）绩效评价工作方案制定过程。</w:t>
      </w:r>
    </w:p>
    <w:p>
      <w:pPr>
        <w:topLinePunct/>
        <w:spacing w:line="540" w:lineRule="exact"/>
        <w:ind w:firstLine="750" w:firstLineChars="250"/>
        <w:rPr>
          <w:rFonts w:ascii="仿宋_GB2312" w:hAnsi="楷体"/>
          <w:sz w:val="30"/>
          <w:szCs w:val="30"/>
        </w:rPr>
      </w:pPr>
      <w:r>
        <w:rPr>
          <w:rFonts w:hint="eastAsia" w:ascii="仿宋_GB2312" w:hAnsi="楷体"/>
          <w:sz w:val="30"/>
          <w:szCs w:val="30"/>
        </w:rPr>
        <w:t>1、组织学习《嵩明县财政局关于开展2017年度县级预算支出绩效自评工作的通知》（嵩财绩[2018]51号）。</w:t>
      </w:r>
    </w:p>
    <w:p>
      <w:pPr>
        <w:topLinePunct/>
        <w:spacing w:line="540" w:lineRule="exact"/>
        <w:ind w:firstLine="750" w:firstLineChars="250"/>
        <w:rPr>
          <w:rFonts w:ascii="仿宋_GB2312" w:hAnsi="楷体"/>
          <w:sz w:val="30"/>
          <w:szCs w:val="30"/>
        </w:rPr>
      </w:pPr>
      <w:r>
        <w:rPr>
          <w:rFonts w:hint="eastAsia" w:ascii="仿宋_GB2312" w:hAnsi="楷体"/>
          <w:sz w:val="30"/>
          <w:szCs w:val="30"/>
        </w:rPr>
        <w:t>2、成立评价小组，由办公室、法制科、市场科抽调人员组成评价小组，负责本部门绩效评价工作的组织领导和具体实施，做好绩效自评的前期准备，主要包括拟定绩效评价方案、选取合适的绩效评价方式、设计绩效评价指标体系等。</w:t>
      </w:r>
    </w:p>
    <w:p>
      <w:pPr>
        <w:topLinePunct/>
        <w:spacing w:line="540" w:lineRule="exact"/>
        <w:ind w:firstLine="800" w:firstLineChars="250"/>
        <w:rPr>
          <w:rFonts w:ascii="楷体" w:hAnsi="楷体" w:eastAsia="楷体"/>
          <w:szCs w:val="32"/>
        </w:rPr>
      </w:pPr>
      <w:r>
        <w:rPr>
          <w:rFonts w:hint="eastAsia" w:ascii="楷体" w:hAnsi="楷体" w:eastAsia="楷体"/>
          <w:szCs w:val="32"/>
        </w:rPr>
        <w:t>（三）绩效评价原则、评价方法</w:t>
      </w:r>
    </w:p>
    <w:p>
      <w:pPr>
        <w:topLinePunct/>
        <w:spacing w:line="540" w:lineRule="exact"/>
        <w:ind w:firstLine="750" w:firstLineChars="250"/>
        <w:rPr>
          <w:rFonts w:ascii="仿宋_GB2312" w:hAnsi="楷体"/>
          <w:sz w:val="30"/>
          <w:szCs w:val="30"/>
        </w:rPr>
      </w:pPr>
      <w:r>
        <w:rPr>
          <w:rFonts w:hint="eastAsia" w:ascii="仿宋_GB2312" w:hAnsi="楷体"/>
          <w:sz w:val="30"/>
          <w:szCs w:val="30"/>
        </w:rPr>
        <w:t>1.绩效评价原则。包括科学规范、公开公正、绩效相关等原则。</w:t>
      </w:r>
    </w:p>
    <w:p>
      <w:pPr>
        <w:topLinePunct/>
        <w:spacing w:line="540" w:lineRule="exact"/>
        <w:ind w:firstLine="750" w:firstLineChars="250"/>
        <w:rPr>
          <w:rFonts w:ascii="仿宋_GB2312" w:hAnsi="楷体"/>
          <w:sz w:val="30"/>
          <w:szCs w:val="30"/>
        </w:rPr>
      </w:pPr>
      <w:r>
        <w:rPr>
          <w:rFonts w:hint="eastAsia" w:ascii="仿宋_GB2312" w:hAnsi="楷体"/>
          <w:sz w:val="30"/>
          <w:szCs w:val="30"/>
        </w:rPr>
        <w:t>2.绩效评价方法。包括指标评价、数据采集和社会调查中所采用的方法。</w:t>
      </w:r>
    </w:p>
    <w:p>
      <w:pPr>
        <w:topLinePunct/>
        <w:spacing w:line="540" w:lineRule="exact"/>
        <w:ind w:firstLine="800" w:firstLineChars="250"/>
        <w:rPr>
          <w:rFonts w:ascii="楷体" w:hAnsi="楷体" w:eastAsia="楷体"/>
          <w:szCs w:val="32"/>
        </w:rPr>
      </w:pPr>
      <w:r>
        <w:rPr>
          <w:rFonts w:hint="eastAsia" w:ascii="楷体" w:hAnsi="楷体" w:eastAsia="楷体"/>
          <w:szCs w:val="32"/>
        </w:rPr>
        <w:t>（四）绩效评价实施过程</w:t>
      </w:r>
    </w:p>
    <w:p>
      <w:pPr>
        <w:topLinePunct/>
        <w:spacing w:line="540" w:lineRule="exact"/>
        <w:ind w:firstLine="750" w:firstLineChars="250"/>
        <w:rPr>
          <w:rFonts w:ascii="仿宋_GB2312" w:hAnsi="楷体"/>
          <w:sz w:val="30"/>
          <w:szCs w:val="30"/>
        </w:rPr>
      </w:pPr>
      <w:r>
        <w:rPr>
          <w:rFonts w:hint="eastAsia" w:ascii="仿宋_GB2312" w:hAnsi="楷体"/>
          <w:sz w:val="30"/>
          <w:szCs w:val="30"/>
        </w:rPr>
        <w:t>1.数据填报和采集。</w:t>
      </w:r>
    </w:p>
    <w:p>
      <w:pPr>
        <w:topLinePunct/>
        <w:spacing w:line="540" w:lineRule="exact"/>
        <w:ind w:firstLine="750" w:firstLineChars="250"/>
        <w:rPr>
          <w:rFonts w:ascii="仿宋_GB2312" w:hAnsi="楷体"/>
          <w:sz w:val="30"/>
          <w:szCs w:val="30"/>
        </w:rPr>
      </w:pPr>
      <w:r>
        <w:rPr>
          <w:rFonts w:hint="eastAsia" w:ascii="仿宋_GB2312" w:hAnsi="楷体"/>
          <w:sz w:val="30"/>
          <w:szCs w:val="30"/>
        </w:rPr>
        <w:t>2.社会调查。</w:t>
      </w:r>
    </w:p>
    <w:p>
      <w:pPr>
        <w:topLinePunct/>
        <w:spacing w:line="540" w:lineRule="exact"/>
        <w:ind w:firstLine="750" w:firstLineChars="250"/>
        <w:rPr>
          <w:rFonts w:ascii="仿宋_GB2312" w:hAnsi="楷体"/>
          <w:sz w:val="30"/>
          <w:szCs w:val="30"/>
        </w:rPr>
      </w:pPr>
      <w:r>
        <w:rPr>
          <w:rFonts w:hint="eastAsia" w:ascii="仿宋_GB2312" w:hAnsi="楷体"/>
          <w:sz w:val="30"/>
          <w:szCs w:val="30"/>
        </w:rPr>
        <w:t>3.数据分析和撰写报告。</w:t>
      </w:r>
    </w:p>
    <w:p>
      <w:pPr>
        <w:topLinePunct/>
        <w:spacing w:line="540" w:lineRule="exact"/>
        <w:ind w:firstLine="800" w:firstLineChars="250"/>
        <w:rPr>
          <w:rFonts w:ascii="楷体" w:hAnsi="楷体" w:eastAsia="楷体"/>
          <w:szCs w:val="32"/>
        </w:rPr>
      </w:pPr>
      <w:r>
        <w:rPr>
          <w:rFonts w:hint="eastAsia" w:ascii="楷体" w:hAnsi="楷体" w:eastAsia="楷体"/>
          <w:szCs w:val="32"/>
        </w:rPr>
        <w:t>（五）本次绩效评价的局限性。</w:t>
      </w:r>
    </w:p>
    <w:p>
      <w:pPr>
        <w:topLinePunct/>
        <w:spacing w:line="540" w:lineRule="exact"/>
        <w:ind w:firstLine="750" w:firstLineChars="250"/>
        <w:rPr>
          <w:rFonts w:ascii="仿宋" w:hAnsi="仿宋" w:eastAsia="仿宋"/>
          <w:sz w:val="30"/>
          <w:szCs w:val="30"/>
        </w:rPr>
      </w:pPr>
      <w:r>
        <w:rPr>
          <w:rFonts w:hint="eastAsia" w:ascii="仿宋" w:hAnsi="仿宋" w:eastAsia="仿宋"/>
          <w:sz w:val="30"/>
          <w:szCs w:val="30"/>
        </w:rPr>
        <w:t>内部组织评价。</w:t>
      </w:r>
    </w:p>
    <w:p>
      <w:pPr>
        <w:topLinePunct/>
        <w:spacing w:line="540" w:lineRule="exact"/>
        <w:ind w:firstLine="800" w:firstLineChars="250"/>
        <w:rPr>
          <w:rFonts w:ascii="黑体" w:hAnsi="黑体" w:eastAsia="黑体"/>
          <w:szCs w:val="32"/>
        </w:rPr>
      </w:pPr>
      <w:r>
        <w:rPr>
          <w:rFonts w:hint="eastAsia" w:ascii="黑体" w:hAnsi="黑体" w:eastAsia="黑体"/>
          <w:szCs w:val="32"/>
        </w:rPr>
        <w:t>三、评价结论和绩效分析</w:t>
      </w:r>
    </w:p>
    <w:p>
      <w:pPr>
        <w:topLinePunct/>
        <w:spacing w:line="540" w:lineRule="exact"/>
        <w:ind w:firstLine="750" w:firstLineChars="250"/>
        <w:rPr>
          <w:rFonts w:ascii="仿宋" w:hAnsi="仿宋" w:eastAsia="仿宋"/>
          <w:sz w:val="30"/>
          <w:szCs w:val="30"/>
        </w:rPr>
      </w:pPr>
      <w:r>
        <w:rPr>
          <w:rFonts w:hint="eastAsia" w:ascii="仿宋" w:hAnsi="仿宋" w:eastAsia="仿宋"/>
          <w:sz w:val="30"/>
          <w:szCs w:val="30"/>
        </w:rPr>
        <w:t>（一）评价结论。</w:t>
      </w:r>
    </w:p>
    <w:p>
      <w:pPr>
        <w:topLinePunct/>
        <w:spacing w:line="540" w:lineRule="exact"/>
        <w:ind w:firstLine="750" w:firstLineChars="250"/>
        <w:rPr>
          <w:rFonts w:ascii="仿宋" w:hAnsi="仿宋" w:eastAsia="仿宋"/>
          <w:sz w:val="30"/>
          <w:szCs w:val="30"/>
        </w:rPr>
      </w:pPr>
      <w:r>
        <w:rPr>
          <w:rFonts w:hint="eastAsia" w:ascii="仿宋" w:hAnsi="仿宋" w:eastAsia="仿宋"/>
          <w:sz w:val="30"/>
          <w:szCs w:val="30"/>
        </w:rPr>
        <w:t>1.评价结果。</w:t>
      </w:r>
    </w:p>
    <w:p>
      <w:pPr>
        <w:topLinePunct/>
        <w:spacing w:line="540" w:lineRule="exact"/>
        <w:ind w:firstLine="750" w:firstLineChars="250"/>
        <w:rPr>
          <w:rFonts w:ascii="仿宋" w:hAnsi="仿宋" w:eastAsia="仿宋"/>
          <w:sz w:val="30"/>
          <w:szCs w:val="30"/>
        </w:rPr>
      </w:pPr>
      <w:r>
        <w:rPr>
          <w:rFonts w:hint="eastAsia" w:ascii="仿宋" w:hAnsi="仿宋" w:eastAsia="仿宋"/>
          <w:sz w:val="30"/>
          <w:szCs w:val="30"/>
        </w:rPr>
        <w:t>自评得分99分。项目支出绩效为优。</w:t>
      </w:r>
    </w:p>
    <w:p>
      <w:pPr>
        <w:topLinePunct/>
        <w:spacing w:line="540" w:lineRule="exact"/>
        <w:ind w:firstLine="750" w:firstLineChars="250"/>
        <w:rPr>
          <w:rFonts w:ascii="仿宋" w:hAnsi="仿宋" w:eastAsia="仿宋"/>
          <w:sz w:val="30"/>
          <w:szCs w:val="30"/>
        </w:rPr>
      </w:pPr>
      <w:r>
        <w:rPr>
          <w:rFonts w:hint="eastAsia" w:ascii="仿宋" w:hAnsi="仿宋" w:eastAsia="仿宋"/>
          <w:sz w:val="30"/>
          <w:szCs w:val="30"/>
        </w:rPr>
        <w:t>2.主要绩效。</w:t>
      </w:r>
    </w:p>
    <w:p>
      <w:pPr>
        <w:adjustRightInd w:val="0"/>
        <w:snapToGrid w:val="0"/>
        <w:spacing w:line="560" w:lineRule="exact"/>
        <w:ind w:firstLine="600" w:firstLineChars="200"/>
        <w:rPr>
          <w:rFonts w:ascii="仿宋" w:hAnsi="仿宋" w:eastAsia="仿宋"/>
          <w:sz w:val="30"/>
          <w:szCs w:val="30"/>
        </w:rPr>
      </w:pPr>
      <w:r>
        <w:rPr>
          <w:rFonts w:hint="eastAsia" w:ascii="仿宋" w:hAnsi="仿宋" w:eastAsia="仿宋"/>
          <w:sz w:val="30"/>
          <w:szCs w:val="30"/>
        </w:rPr>
        <w:t>严格依法履行职责，规范行政执法行为。</w:t>
      </w:r>
      <w:r>
        <w:rPr>
          <w:rFonts w:hint="eastAsia" w:ascii="仿宋" w:hAnsi="仿宋" w:eastAsia="仿宋"/>
          <w:b/>
          <w:sz w:val="30"/>
          <w:szCs w:val="30"/>
        </w:rPr>
        <w:t>一是</w:t>
      </w:r>
      <w:r>
        <w:rPr>
          <w:rFonts w:hint="eastAsia" w:ascii="仿宋" w:hAnsi="仿宋" w:eastAsia="仿宋"/>
          <w:sz w:val="30"/>
          <w:szCs w:val="30"/>
        </w:rPr>
        <w:t>进一步规范行政执法程序和执法文书。</w:t>
      </w:r>
      <w:r>
        <w:rPr>
          <w:rFonts w:hint="eastAsia" w:ascii="仿宋" w:hAnsi="仿宋" w:eastAsia="仿宋"/>
          <w:b/>
          <w:sz w:val="30"/>
          <w:szCs w:val="30"/>
        </w:rPr>
        <w:t>二是</w:t>
      </w:r>
      <w:r>
        <w:rPr>
          <w:rFonts w:hint="eastAsia" w:ascii="仿宋" w:hAnsi="仿宋" w:eastAsia="仿宋"/>
          <w:sz w:val="30"/>
          <w:szCs w:val="30"/>
        </w:rPr>
        <w:t>及时开展权责清单、中介服务清单、双随机一公开清单梳理工作，同时根据法律法规修改进行动态调整。经过清理，2017年10月，本单位共有行政职权1688项，其中行政许可16项（含子项）、行政处罚1524项、行政强制46项、行政检查71项、行政确认4项、行政奖励9项、其他行政职权类18项，涉及中介服务事项2项，随机抽查事项31项。</w:t>
      </w:r>
      <w:r>
        <w:rPr>
          <w:rFonts w:hint="eastAsia" w:ascii="仿宋" w:hAnsi="仿宋" w:eastAsia="仿宋"/>
          <w:b/>
          <w:sz w:val="30"/>
          <w:szCs w:val="30"/>
        </w:rPr>
        <w:t>三是</w:t>
      </w:r>
      <w:r>
        <w:rPr>
          <w:rFonts w:hint="eastAsia" w:ascii="仿宋" w:hAnsi="仿宋" w:eastAsia="仿宋"/>
          <w:sz w:val="30"/>
          <w:szCs w:val="30"/>
        </w:rPr>
        <w:t>加强行政执法与刑事司法衔接工作。组织参加两法衔接工作研讨会3次，至2017年10月，向检察机关备案我局行政处罚案件99件。</w:t>
      </w:r>
    </w:p>
    <w:p>
      <w:pPr>
        <w:adjustRightInd w:val="0"/>
        <w:snapToGrid w:val="0"/>
        <w:spacing w:line="560" w:lineRule="exact"/>
        <w:ind w:firstLine="600" w:firstLineChars="200"/>
        <w:rPr>
          <w:rFonts w:ascii="仿宋" w:hAnsi="仿宋" w:eastAsia="仿宋"/>
          <w:sz w:val="30"/>
          <w:szCs w:val="30"/>
        </w:rPr>
      </w:pPr>
      <w:r>
        <w:rPr>
          <w:rFonts w:hint="eastAsia" w:ascii="仿宋" w:hAnsi="仿宋" w:eastAsia="仿宋"/>
          <w:sz w:val="30"/>
          <w:szCs w:val="30"/>
        </w:rPr>
        <w:t>强化行政监督制度，提高执法办案质量。</w:t>
      </w:r>
      <w:r>
        <w:rPr>
          <w:rFonts w:hint="eastAsia" w:ascii="仿宋" w:hAnsi="仿宋" w:eastAsia="仿宋"/>
          <w:b/>
          <w:sz w:val="30"/>
          <w:szCs w:val="30"/>
        </w:rPr>
        <w:t>一是</w:t>
      </w:r>
      <w:r>
        <w:rPr>
          <w:rFonts w:hint="eastAsia" w:ascii="仿宋" w:hAnsi="仿宋" w:eastAsia="仿宋"/>
          <w:sz w:val="30"/>
          <w:szCs w:val="30"/>
        </w:rPr>
        <w:t>实行案件法制审核制度及重大疑难案件案审会集体讨论制度。截止2017年10月，我局共办理行政执法案件171件，案件类型主要为无照经营案、超期未检特种设备案、无证经营食品案、侵犯注册商标专用权案等。在查处的各类案件中，嵩明县市场监管局的行政处罚案件无一例行政复议,无一例行政诉讼。</w:t>
      </w:r>
      <w:r>
        <w:rPr>
          <w:rFonts w:hint="eastAsia" w:ascii="仿宋" w:hAnsi="仿宋" w:eastAsia="仿宋"/>
          <w:b/>
          <w:sz w:val="30"/>
          <w:szCs w:val="30"/>
        </w:rPr>
        <w:t>二是</w:t>
      </w:r>
      <w:r>
        <w:rPr>
          <w:rFonts w:hint="eastAsia" w:ascii="仿宋" w:hAnsi="仿宋" w:eastAsia="仿宋"/>
          <w:sz w:val="30"/>
          <w:szCs w:val="30"/>
        </w:rPr>
        <w:t>落实执法责任制，提升依法行政水平。2017年，我局积极参加县法制办、市法制办及各上级局开展的行政执法案卷评查工作，通过评查，我局行政执法案卷评分均为合格以上。</w:t>
      </w:r>
      <w:r>
        <w:rPr>
          <w:rFonts w:hint="eastAsia" w:ascii="仿宋" w:hAnsi="仿宋" w:eastAsia="仿宋"/>
          <w:b/>
          <w:sz w:val="30"/>
          <w:szCs w:val="30"/>
        </w:rPr>
        <w:t>三是</w:t>
      </w:r>
      <w:r>
        <w:rPr>
          <w:rFonts w:hint="eastAsia" w:ascii="仿宋" w:hAnsi="仿宋" w:eastAsia="仿宋"/>
          <w:sz w:val="30"/>
          <w:szCs w:val="30"/>
        </w:rPr>
        <w:t>实行法律顾问制度，发挥法律顾问作用。今年我局继续聘用云南滇源律师事务所2名律师为我局长期法律顾问， 2017年，我局法律顾问共出具行政处罚相关法律意见书8份。</w:t>
      </w:r>
    </w:p>
    <w:p>
      <w:pPr>
        <w:adjustRightInd w:val="0"/>
        <w:snapToGrid w:val="0"/>
        <w:spacing w:line="560" w:lineRule="exact"/>
        <w:ind w:firstLine="600" w:firstLineChars="200"/>
        <w:rPr>
          <w:rFonts w:ascii="仿宋" w:hAnsi="仿宋" w:eastAsia="仿宋"/>
          <w:sz w:val="30"/>
          <w:szCs w:val="30"/>
        </w:rPr>
      </w:pPr>
      <w:r>
        <w:rPr>
          <w:rFonts w:hint="eastAsia" w:ascii="仿宋" w:hAnsi="仿宋" w:eastAsia="仿宋"/>
          <w:sz w:val="30"/>
          <w:szCs w:val="30"/>
        </w:rPr>
        <w:t>大力抓好市场监管整治，不断提升监管执法效能。一是强力推进高原特色农业红盾助推行动。加大农资市场整治力度，确保农资消费安全。二是认真做好各类市场监管工作。</w:t>
      </w:r>
    </w:p>
    <w:p>
      <w:pPr>
        <w:adjustRightInd w:val="0"/>
        <w:snapToGrid w:val="0"/>
        <w:spacing w:line="560" w:lineRule="exact"/>
        <w:rPr>
          <w:rFonts w:ascii="仿宋" w:hAnsi="仿宋" w:eastAsia="仿宋"/>
          <w:sz w:val="30"/>
          <w:szCs w:val="30"/>
        </w:rPr>
      </w:pPr>
      <w:r>
        <w:rPr>
          <w:rFonts w:hint="eastAsia" w:ascii="仿宋" w:hAnsi="仿宋" w:eastAsia="仿宋"/>
          <w:sz w:val="30"/>
          <w:szCs w:val="30"/>
        </w:rPr>
        <w:t>出动执法人员24人次，车辆8车次开展元旦、春节、五一期间旅游市场整治；出动执法人员18人次，车辆9台次，配合县相关部门检查烟花爆竹经营户83户，查处无证经营户15家，有证倒卖非专卖户8家，有证异地经营3家，收缴非法违法烟花爆竹650余件，各类礼花350箱，盘炮150余件，条炮400余条，各类零散烟花70余件80余盒，下达现场处理措施决定书28份，检查记录83份；出动执法人员136人次，车辆67车次,加强清明节期间殡葬用品市场专项整治，深入开展对辖区内殡葬用品市场的全面清理整顿；推进网络市场交易监管。我县共有160个网络经营主体网站网店，按经营主体分类，其中非网络交易平台网站158个，网店2个。</w:t>
      </w:r>
    </w:p>
    <w:p>
      <w:pPr>
        <w:topLinePunct/>
        <w:spacing w:line="540" w:lineRule="exact"/>
        <w:ind w:firstLine="750" w:firstLineChars="250"/>
        <w:rPr>
          <w:rFonts w:ascii="仿宋" w:hAnsi="仿宋" w:eastAsia="仿宋"/>
          <w:sz w:val="30"/>
          <w:szCs w:val="30"/>
        </w:rPr>
      </w:pPr>
      <w:r>
        <w:rPr>
          <w:rFonts w:hint="eastAsia" w:ascii="仿宋" w:hAnsi="仿宋" w:eastAsia="仿宋"/>
          <w:sz w:val="30"/>
          <w:szCs w:val="30"/>
        </w:rPr>
        <w:t>加强后勤保障工作。车改后报废修理车辆17辆，调剂新增车辆6辆人，配合车改领导小组及时办理过户手续；对办公楼设施进行必要的维护。</w:t>
      </w:r>
    </w:p>
    <w:p>
      <w:pPr>
        <w:topLinePunct/>
        <w:spacing w:line="540" w:lineRule="exact"/>
        <w:ind w:firstLine="800" w:firstLineChars="250"/>
        <w:rPr>
          <w:rFonts w:ascii="仿宋" w:hAnsi="仿宋" w:eastAsia="仿宋"/>
          <w:sz w:val="30"/>
          <w:szCs w:val="30"/>
        </w:rPr>
      </w:pPr>
      <w:r>
        <w:rPr>
          <w:rFonts w:hint="eastAsia" w:ascii="楷体" w:hAnsi="楷体" w:eastAsia="楷体"/>
          <w:szCs w:val="32"/>
        </w:rPr>
        <w:t>（二）具体绩效分析。</w:t>
      </w:r>
      <w:r>
        <w:rPr>
          <w:rFonts w:hint="eastAsia" w:ascii="仿宋" w:hAnsi="仿宋" w:eastAsia="仿宋"/>
          <w:sz w:val="30"/>
          <w:szCs w:val="30"/>
        </w:rPr>
        <w:t>对照绩效评价指标体系逐项进行分析、评价并打分。</w:t>
      </w:r>
    </w:p>
    <w:p>
      <w:pPr>
        <w:topLinePunct/>
        <w:spacing w:line="540" w:lineRule="exact"/>
        <w:ind w:firstLine="800" w:firstLineChars="250"/>
        <w:rPr>
          <w:rFonts w:ascii="仿宋" w:hAnsi="仿宋" w:eastAsia="仿宋"/>
          <w:sz w:val="30"/>
          <w:szCs w:val="30"/>
        </w:rPr>
      </w:pPr>
      <w:r>
        <w:rPr>
          <w:rFonts w:hint="eastAsia" w:ascii="黑体" w:hAnsi="黑体" w:eastAsia="黑体"/>
          <w:szCs w:val="32"/>
        </w:rPr>
        <w:t>四、成本效益分析。</w:t>
      </w:r>
      <w:r>
        <w:rPr>
          <w:rFonts w:hint="eastAsia" w:ascii="仿宋_GB2312" w:hAnsi="仿宋"/>
        </w:rPr>
        <w:t>对</w:t>
      </w:r>
      <w:r>
        <w:rPr>
          <w:rFonts w:hint="eastAsia" w:ascii="仿宋" w:hAnsi="仿宋" w:eastAsia="仿宋"/>
          <w:sz w:val="30"/>
          <w:szCs w:val="30"/>
        </w:rPr>
        <w:t>资金使用方向、资金收入和支出结构；项目和资金管理情况；资金的节约性、资金使用效果；变化趋势等进行分析评价。</w:t>
      </w:r>
    </w:p>
    <w:p>
      <w:pPr>
        <w:topLinePunct/>
        <w:spacing w:line="540" w:lineRule="exact"/>
        <w:ind w:firstLine="750" w:firstLineChars="250"/>
        <w:rPr>
          <w:rFonts w:ascii="仿宋" w:hAnsi="仿宋" w:eastAsia="仿宋"/>
          <w:sz w:val="30"/>
          <w:szCs w:val="30"/>
        </w:rPr>
      </w:pPr>
      <w:r>
        <w:rPr>
          <w:rFonts w:hint="eastAsia" w:ascii="仿宋" w:hAnsi="仿宋" w:eastAsia="仿宋"/>
          <w:sz w:val="30"/>
          <w:szCs w:val="30"/>
        </w:rPr>
        <w:t>(一)资金使用方向、资金收入和支出结构分析</w:t>
      </w:r>
    </w:p>
    <w:p>
      <w:pPr>
        <w:topLinePunct/>
        <w:spacing w:line="540" w:lineRule="exact"/>
        <w:ind w:firstLine="750" w:firstLineChars="250"/>
        <w:rPr>
          <w:rFonts w:ascii="仿宋" w:hAnsi="仿宋" w:eastAsia="仿宋"/>
          <w:sz w:val="30"/>
          <w:szCs w:val="30"/>
        </w:rPr>
      </w:pPr>
      <w:r>
        <w:rPr>
          <w:rFonts w:hint="eastAsia" w:ascii="仿宋" w:hAnsi="仿宋" w:eastAsia="仿宋"/>
          <w:sz w:val="30"/>
          <w:szCs w:val="30"/>
        </w:rPr>
        <w:t>1、资金使用方向</w:t>
      </w:r>
    </w:p>
    <w:p>
      <w:pPr>
        <w:topLinePunct/>
        <w:spacing w:line="540" w:lineRule="exact"/>
        <w:ind w:firstLine="750" w:firstLineChars="250"/>
        <w:rPr>
          <w:rFonts w:ascii="仿宋" w:hAnsi="仿宋" w:eastAsia="仿宋"/>
          <w:sz w:val="30"/>
          <w:szCs w:val="30"/>
        </w:rPr>
      </w:pPr>
      <w:r>
        <w:rPr>
          <w:rFonts w:hint="eastAsia" w:ascii="仿宋" w:hAnsi="仿宋" w:eastAsia="仿宋"/>
          <w:sz w:val="30"/>
          <w:szCs w:val="30"/>
        </w:rPr>
        <w:t>用于开展食品、药品 、产品、商品的监管，查处工商行政管理、质量技术监督、食品药品违法案件中，及消费者权保护、后勤保障服务、信息化建设、执法人员能力提升等方面。</w:t>
      </w:r>
    </w:p>
    <w:p>
      <w:pPr>
        <w:topLinePunct/>
        <w:spacing w:line="540" w:lineRule="exact"/>
        <w:ind w:firstLine="750" w:firstLineChars="250"/>
        <w:rPr>
          <w:rFonts w:ascii="仿宋" w:hAnsi="仿宋" w:eastAsia="仿宋"/>
          <w:sz w:val="30"/>
          <w:szCs w:val="30"/>
        </w:rPr>
      </w:pPr>
      <w:r>
        <w:rPr>
          <w:rFonts w:hint="eastAsia" w:ascii="仿宋" w:hAnsi="仿宋" w:eastAsia="仿宋"/>
          <w:sz w:val="30"/>
          <w:szCs w:val="30"/>
        </w:rPr>
        <w:t>2、资金收入</w:t>
      </w:r>
    </w:p>
    <w:p>
      <w:pPr>
        <w:topLinePunct/>
        <w:spacing w:line="540" w:lineRule="exact"/>
        <w:ind w:firstLine="750" w:firstLineChars="250"/>
        <w:rPr>
          <w:rFonts w:ascii="仿宋" w:hAnsi="仿宋" w:eastAsia="仿宋"/>
          <w:sz w:val="30"/>
          <w:szCs w:val="30"/>
        </w:rPr>
      </w:pPr>
      <w:r>
        <w:rPr>
          <w:rFonts w:hint="eastAsia" w:ascii="仿宋" w:hAnsi="仿宋" w:eastAsia="仿宋"/>
          <w:sz w:val="30"/>
          <w:szCs w:val="30"/>
        </w:rPr>
        <w:t>该项目资金按财政预算主要由非税收入安排75万元，2017年6月底向县财政国库缴存了159.82万元的非税收入（主要是罚没收入、国有资产出租收入）。2017年7月13日向政府报送了拨付请示，县财政分别于9月、12月将75万元资金拨付到位。</w:t>
      </w:r>
    </w:p>
    <w:p>
      <w:pPr>
        <w:topLinePunct/>
        <w:spacing w:line="540" w:lineRule="exact"/>
        <w:ind w:firstLine="750" w:firstLineChars="250"/>
        <w:rPr>
          <w:rFonts w:ascii="仿宋" w:hAnsi="仿宋" w:eastAsia="仿宋"/>
          <w:sz w:val="30"/>
          <w:szCs w:val="30"/>
        </w:rPr>
      </w:pPr>
      <w:r>
        <w:rPr>
          <w:rFonts w:hint="eastAsia" w:ascii="仿宋" w:hAnsi="仿宋" w:eastAsia="仿宋"/>
          <w:sz w:val="30"/>
          <w:szCs w:val="30"/>
        </w:rPr>
        <w:t>3、支出结构</w:t>
      </w:r>
    </w:p>
    <w:p>
      <w:pPr>
        <w:topLinePunct/>
        <w:spacing w:line="540" w:lineRule="exact"/>
        <w:ind w:firstLine="750" w:firstLineChars="250"/>
        <w:rPr>
          <w:rFonts w:ascii="仿宋" w:hAnsi="仿宋" w:eastAsia="仿宋"/>
          <w:sz w:val="30"/>
          <w:szCs w:val="30"/>
        </w:rPr>
      </w:pPr>
      <w:r>
        <w:rPr>
          <w:rFonts w:hint="eastAsia" w:ascii="仿宋" w:hAnsi="仿宋" w:eastAsia="仿宋"/>
          <w:sz w:val="30"/>
          <w:szCs w:val="30"/>
        </w:rPr>
        <w:t>主要用于办公费、咨询费、物业管理费、差旅费、维修（护）费、租赁费、会议费、培训费、公务用车运行维护费、其他交通费用、其他商品和服务支出。</w:t>
      </w:r>
    </w:p>
    <w:p>
      <w:pPr>
        <w:topLinePunct/>
        <w:spacing w:line="540" w:lineRule="exact"/>
        <w:ind w:firstLine="750" w:firstLineChars="250"/>
        <w:rPr>
          <w:rFonts w:ascii="仿宋" w:hAnsi="仿宋" w:eastAsia="仿宋"/>
          <w:sz w:val="30"/>
          <w:szCs w:val="30"/>
        </w:rPr>
      </w:pPr>
      <w:r>
        <w:rPr>
          <w:rFonts w:hint="eastAsia" w:ascii="仿宋" w:hAnsi="仿宋" w:eastAsia="仿宋"/>
          <w:sz w:val="30"/>
          <w:szCs w:val="30"/>
        </w:rPr>
        <w:t xml:space="preserve">（二）项目和资金管理情况 </w:t>
      </w:r>
    </w:p>
    <w:p>
      <w:pPr>
        <w:topLinePunct/>
        <w:spacing w:line="540" w:lineRule="exact"/>
        <w:ind w:firstLine="750" w:firstLineChars="250"/>
        <w:rPr>
          <w:rFonts w:ascii="仿宋" w:hAnsi="仿宋" w:eastAsia="仿宋"/>
          <w:sz w:val="30"/>
          <w:szCs w:val="30"/>
        </w:rPr>
      </w:pPr>
      <w:r>
        <w:rPr>
          <w:rFonts w:hint="eastAsia" w:ascii="仿宋" w:hAnsi="仿宋" w:eastAsia="仿宋"/>
          <w:sz w:val="30"/>
          <w:szCs w:val="30"/>
        </w:rPr>
        <w:t>该项目中行政执法部分由各职能科室及各所开展，办公室负责后勤保障工作，法制科加强对各科室、所案件审核工作，办公室加强保安服务、物业管理、固定资产维修等保障工作；市场监管由职能科室和各所负责。</w:t>
      </w:r>
    </w:p>
    <w:p>
      <w:pPr>
        <w:topLinePunct/>
        <w:spacing w:line="540" w:lineRule="exact"/>
        <w:ind w:firstLine="750" w:firstLineChars="250"/>
        <w:rPr>
          <w:rFonts w:ascii="仿宋" w:hAnsi="仿宋" w:eastAsia="仿宋"/>
          <w:sz w:val="30"/>
          <w:szCs w:val="30"/>
        </w:rPr>
      </w:pPr>
      <w:r>
        <w:rPr>
          <w:rFonts w:hint="eastAsia" w:ascii="仿宋" w:hAnsi="仿宋" w:eastAsia="仿宋"/>
          <w:sz w:val="30"/>
          <w:szCs w:val="30"/>
        </w:rPr>
        <w:t>我局制订了预算管理制度，包括项目支出的相关规定，日常由项目负责部门对开展的项目进行监督管理。资金统一由局财务室管理，支付按局财务管理规定执行。</w:t>
      </w:r>
    </w:p>
    <w:p>
      <w:pPr>
        <w:topLinePunct/>
        <w:spacing w:line="540" w:lineRule="exact"/>
        <w:ind w:firstLine="750" w:firstLineChars="250"/>
        <w:rPr>
          <w:rFonts w:ascii="仿宋" w:hAnsi="仿宋" w:eastAsia="仿宋"/>
          <w:sz w:val="30"/>
          <w:szCs w:val="30"/>
        </w:rPr>
      </w:pPr>
      <w:r>
        <w:rPr>
          <w:rFonts w:hint="eastAsia" w:ascii="仿宋" w:hAnsi="仿宋" w:eastAsia="仿宋"/>
          <w:sz w:val="30"/>
          <w:szCs w:val="30"/>
        </w:rPr>
        <w:t>（三）资金的节约性、资金使用效果</w:t>
      </w:r>
    </w:p>
    <w:p>
      <w:pPr>
        <w:ind w:firstLine="750" w:firstLineChars="250"/>
        <w:rPr>
          <w:rFonts w:ascii="仿宋" w:hAnsi="仿宋" w:eastAsia="仿宋"/>
          <w:sz w:val="30"/>
          <w:szCs w:val="30"/>
        </w:rPr>
      </w:pPr>
      <w:r>
        <w:rPr>
          <w:rFonts w:hint="eastAsia" w:ascii="仿宋" w:hAnsi="仿宋" w:eastAsia="仿宋"/>
          <w:sz w:val="30"/>
          <w:szCs w:val="30"/>
        </w:rPr>
        <w:t>在开展具体业务工作中按节约高效的原则，公务车辆统一管理，加强投入执法办案硬件设施，提高工作效率，减少支出，节约办案成本。</w:t>
      </w:r>
    </w:p>
    <w:p>
      <w:pPr>
        <w:topLinePunct/>
        <w:spacing w:line="540" w:lineRule="exact"/>
        <w:ind w:firstLine="750" w:firstLineChars="250"/>
        <w:rPr>
          <w:rFonts w:ascii="仿宋" w:hAnsi="仿宋" w:eastAsia="仿宋"/>
          <w:sz w:val="30"/>
          <w:szCs w:val="30"/>
        </w:rPr>
      </w:pPr>
      <w:r>
        <w:rPr>
          <w:rFonts w:hint="eastAsia" w:ascii="仿宋" w:hAnsi="仿宋" w:eastAsia="仿宋"/>
          <w:sz w:val="30"/>
          <w:szCs w:val="30"/>
        </w:rPr>
        <w:t>项目资金用于与项目有关的支出，保障项目顺利完成。</w:t>
      </w:r>
    </w:p>
    <w:p>
      <w:pPr>
        <w:topLinePunct/>
        <w:spacing w:line="540" w:lineRule="exact"/>
        <w:ind w:firstLine="750" w:firstLineChars="250"/>
        <w:rPr>
          <w:rFonts w:ascii="仿宋" w:hAnsi="仿宋" w:eastAsia="仿宋"/>
          <w:sz w:val="30"/>
          <w:szCs w:val="30"/>
        </w:rPr>
      </w:pPr>
      <w:r>
        <w:rPr>
          <w:rFonts w:hint="eastAsia" w:ascii="仿宋" w:hAnsi="仿宋" w:eastAsia="仿宋"/>
          <w:sz w:val="30"/>
          <w:szCs w:val="30"/>
        </w:rPr>
        <w:t>（四）变化趋势</w:t>
      </w:r>
    </w:p>
    <w:p>
      <w:pPr>
        <w:topLinePunct/>
        <w:spacing w:line="540" w:lineRule="exact"/>
        <w:ind w:firstLine="750" w:firstLineChars="250"/>
        <w:rPr>
          <w:rFonts w:ascii="仿宋" w:hAnsi="仿宋" w:eastAsia="仿宋"/>
          <w:sz w:val="30"/>
          <w:szCs w:val="30"/>
        </w:rPr>
      </w:pPr>
      <w:r>
        <w:rPr>
          <w:rFonts w:hint="eastAsia" w:ascii="仿宋" w:hAnsi="仿宋" w:eastAsia="仿宋"/>
          <w:sz w:val="30"/>
          <w:szCs w:val="30"/>
        </w:rPr>
        <w:t>由于公车改革，公务车辆减少，用于保障执法办案车辆较之前减少，工作效率相应降低；后勤保障方面因房屋逐年老旧，维修费用逐年上升。</w:t>
      </w:r>
    </w:p>
    <w:p>
      <w:pPr>
        <w:topLinePunct/>
        <w:spacing w:line="540" w:lineRule="exact"/>
        <w:ind w:firstLine="800" w:firstLineChars="250"/>
        <w:rPr>
          <w:rFonts w:ascii="黑体" w:hAnsi="黑体" w:eastAsia="黑体"/>
          <w:szCs w:val="32"/>
        </w:rPr>
      </w:pPr>
      <w:r>
        <w:rPr>
          <w:rFonts w:hint="eastAsia" w:ascii="黑体" w:hAnsi="黑体" w:eastAsia="黑体"/>
          <w:szCs w:val="32"/>
        </w:rPr>
        <w:t>五、主要经验及做法、存在的问题和建议</w:t>
      </w:r>
    </w:p>
    <w:p>
      <w:pPr>
        <w:topLinePunct/>
        <w:spacing w:line="540" w:lineRule="exact"/>
        <w:ind w:firstLine="800" w:firstLineChars="250"/>
        <w:rPr>
          <w:rFonts w:ascii="楷体" w:hAnsi="楷体" w:eastAsia="楷体"/>
          <w:szCs w:val="32"/>
        </w:rPr>
      </w:pPr>
      <w:r>
        <w:rPr>
          <w:rFonts w:hint="eastAsia" w:ascii="楷体" w:hAnsi="楷体" w:eastAsia="楷体"/>
          <w:szCs w:val="32"/>
        </w:rPr>
        <w:t>（一）主要经验及做法；</w:t>
      </w:r>
    </w:p>
    <w:p>
      <w:pPr>
        <w:topLinePunct/>
        <w:ind w:firstLine="750" w:firstLineChars="250"/>
        <w:rPr>
          <w:rFonts w:ascii="仿宋" w:hAnsi="仿宋" w:eastAsia="仿宋"/>
          <w:sz w:val="30"/>
          <w:szCs w:val="30"/>
        </w:rPr>
      </w:pPr>
      <w:r>
        <w:rPr>
          <w:rFonts w:hint="eastAsia" w:ascii="仿宋" w:hAnsi="仿宋" w:eastAsia="仿宋"/>
          <w:sz w:val="30"/>
          <w:szCs w:val="30"/>
        </w:rPr>
        <w:t>加强对自评工作的组织领导，明确评价项目组织实施中的责任部门和责任人，做好绩效自评的前期准备，根据资管理使用情况进行自查，收集整理支出相关资料，形成项目绩效报告。</w:t>
      </w:r>
    </w:p>
    <w:p>
      <w:pPr>
        <w:topLinePunct/>
        <w:spacing w:line="540" w:lineRule="exact"/>
        <w:ind w:firstLine="800" w:firstLineChars="250"/>
        <w:rPr>
          <w:rFonts w:ascii="楷体" w:hAnsi="楷体" w:eastAsia="楷体"/>
          <w:szCs w:val="32"/>
        </w:rPr>
      </w:pPr>
      <w:r>
        <w:rPr>
          <w:rFonts w:hint="eastAsia" w:ascii="楷体" w:hAnsi="楷体" w:eastAsia="楷体"/>
          <w:szCs w:val="32"/>
        </w:rPr>
        <w:t>（二）存在的问题；</w:t>
      </w:r>
    </w:p>
    <w:p>
      <w:pPr>
        <w:spacing w:line="600" w:lineRule="exact"/>
        <w:ind w:firstLine="600" w:firstLineChars="200"/>
        <w:jc w:val="left"/>
        <w:rPr>
          <w:rFonts w:ascii="仿宋" w:hAnsi="仿宋" w:eastAsia="仿宋"/>
          <w:sz w:val="30"/>
          <w:szCs w:val="30"/>
        </w:rPr>
      </w:pPr>
      <w:r>
        <w:rPr>
          <w:rFonts w:hint="eastAsia" w:ascii="仿宋" w:hAnsi="仿宋" w:eastAsia="仿宋"/>
          <w:sz w:val="30"/>
          <w:szCs w:val="30"/>
        </w:rPr>
        <w:t>因我局项目资金预算需要从非税收入中安排，县财政要求完成任务才能拨付，一般到年末才能拨付到位，前期支出只能压后；到年末才能完成资金支付。</w:t>
      </w:r>
      <w:r>
        <w:rPr>
          <w:rFonts w:ascii="仿宋" w:hAnsi="仿宋" w:eastAsia="仿宋"/>
          <w:sz w:val="30"/>
          <w:szCs w:val="30"/>
        </w:rPr>
        <w:t xml:space="preserve"> </w:t>
      </w:r>
    </w:p>
    <w:p>
      <w:pPr>
        <w:topLinePunct/>
        <w:spacing w:line="540" w:lineRule="exact"/>
        <w:ind w:firstLine="800" w:firstLineChars="250"/>
        <w:rPr>
          <w:rFonts w:ascii="楷体" w:hAnsi="楷体" w:eastAsia="楷体"/>
          <w:szCs w:val="32"/>
        </w:rPr>
      </w:pPr>
      <w:r>
        <w:rPr>
          <w:rFonts w:hint="eastAsia" w:ascii="楷体" w:hAnsi="楷体" w:eastAsia="楷体"/>
          <w:szCs w:val="32"/>
        </w:rPr>
        <w:t>（三）建议和改进措施。</w:t>
      </w:r>
    </w:p>
    <w:p>
      <w:pPr>
        <w:spacing w:line="600" w:lineRule="exact"/>
        <w:ind w:firstLine="600" w:firstLineChars="200"/>
        <w:jc w:val="left"/>
        <w:rPr>
          <w:rFonts w:ascii="仿宋" w:hAnsi="仿宋" w:eastAsia="仿宋"/>
          <w:sz w:val="30"/>
          <w:szCs w:val="30"/>
        </w:rPr>
      </w:pPr>
      <w:r>
        <w:rPr>
          <w:rFonts w:hint="eastAsia" w:ascii="仿宋" w:hAnsi="仿宋" w:eastAsia="仿宋"/>
          <w:sz w:val="30"/>
          <w:szCs w:val="30"/>
        </w:rPr>
        <w:t>及时拨付项目资金，资金到位方便项目组织实施。</w:t>
      </w:r>
    </w:p>
    <w:p>
      <w:pPr>
        <w:spacing w:line="540" w:lineRule="exact"/>
        <w:rPr>
          <w:rFonts w:eastAsia="黑体"/>
        </w:rPr>
      </w:pPr>
    </w:p>
    <w:p>
      <w:pPr>
        <w:spacing w:line="540" w:lineRule="exact"/>
        <w:rPr>
          <w:rFonts w:eastAsia="黑体"/>
        </w:rPr>
      </w:pPr>
    </w:p>
    <w:p>
      <w:pPr>
        <w:spacing w:line="540" w:lineRule="exact"/>
        <w:jc w:val="center"/>
        <w:rPr>
          <w:rFonts w:ascii="方正小标宋简体" w:hAnsi="方正小标宋简体" w:eastAsia="方正小标宋简体" w:cs="方正小标宋简体"/>
        </w:rPr>
      </w:pPr>
      <w:r>
        <w:rPr>
          <w:rFonts w:hint="eastAsia" w:ascii="方正小标宋简体" w:hAnsi="方正小标宋简体" w:eastAsia="方正小标宋简体" w:cs="方正小标宋简体"/>
        </w:rPr>
        <w:t>绩效评价报告正文后需附以下佐证材料</w:t>
      </w:r>
    </w:p>
    <w:p>
      <w:pPr>
        <w:spacing w:line="540" w:lineRule="exact"/>
        <w:ind w:left="900" w:hanging="900" w:hangingChars="300"/>
        <w:jc w:val="left"/>
        <w:rPr>
          <w:rFonts w:ascii="仿宋_GB2312" w:hAnsi="仿宋"/>
          <w:sz w:val="30"/>
          <w:szCs w:val="30"/>
        </w:rPr>
      </w:pPr>
      <w:r>
        <w:rPr>
          <w:rFonts w:hint="eastAsia" w:ascii="仿宋_GB2312" w:hAnsi="仿宋"/>
          <w:sz w:val="30"/>
          <w:szCs w:val="30"/>
        </w:rPr>
        <w:t>1.绩效评价指标体系；</w:t>
      </w:r>
    </w:p>
    <w:p>
      <w:pPr>
        <w:spacing w:line="540" w:lineRule="exact"/>
        <w:ind w:left="900" w:hanging="900" w:hangingChars="300"/>
        <w:jc w:val="left"/>
        <w:rPr>
          <w:rFonts w:ascii="仿宋_GB2312" w:hAnsi="仿宋"/>
          <w:sz w:val="30"/>
          <w:szCs w:val="30"/>
        </w:rPr>
      </w:pPr>
      <w:r>
        <w:rPr>
          <w:rFonts w:hint="eastAsia" w:ascii="仿宋_GB2312" w:hAnsi="仿宋"/>
          <w:sz w:val="30"/>
          <w:szCs w:val="30"/>
        </w:rPr>
        <w:t>2.基础数据表（进行成本效益分析需采集的数据）；</w:t>
      </w:r>
    </w:p>
    <w:p>
      <w:pPr>
        <w:spacing w:line="540" w:lineRule="exact"/>
        <w:ind w:left="900" w:hanging="900" w:hangingChars="300"/>
        <w:jc w:val="left"/>
        <w:rPr>
          <w:rFonts w:ascii="仿宋_GB2312" w:hAnsi="仿宋"/>
          <w:sz w:val="30"/>
          <w:szCs w:val="30"/>
        </w:rPr>
      </w:pPr>
      <w:r>
        <w:rPr>
          <w:rFonts w:hint="eastAsia" w:ascii="仿宋_GB2312" w:hAnsi="仿宋"/>
          <w:sz w:val="30"/>
          <w:szCs w:val="30"/>
        </w:rPr>
        <w:t>3.访谈分析报告；</w:t>
      </w:r>
    </w:p>
    <w:p>
      <w:pPr>
        <w:spacing w:line="540" w:lineRule="exact"/>
        <w:ind w:left="900" w:hanging="900" w:hangingChars="300"/>
        <w:jc w:val="left"/>
        <w:rPr>
          <w:rFonts w:ascii="仿宋_GB2312" w:hAnsi="仿宋"/>
          <w:sz w:val="30"/>
          <w:szCs w:val="30"/>
        </w:rPr>
      </w:pPr>
      <w:r>
        <w:rPr>
          <w:rFonts w:hint="eastAsia" w:ascii="仿宋_GB2312" w:hAnsi="仿宋"/>
          <w:sz w:val="30"/>
          <w:szCs w:val="30"/>
        </w:rPr>
        <w:t>4.社会调查问卷分析报告；</w:t>
      </w:r>
    </w:p>
    <w:p>
      <w:pPr>
        <w:spacing w:line="540" w:lineRule="exact"/>
        <w:ind w:left="900" w:hanging="900" w:hangingChars="300"/>
        <w:rPr>
          <w:rFonts w:ascii="仿宋_GB2312" w:hAnsi="仿宋"/>
          <w:sz w:val="30"/>
          <w:szCs w:val="30"/>
        </w:rPr>
      </w:pPr>
      <w:r>
        <w:rPr>
          <w:rFonts w:hint="eastAsia" w:ascii="仿宋_GB2312" w:hAnsi="仿宋"/>
          <w:sz w:val="30"/>
          <w:szCs w:val="30"/>
        </w:rPr>
        <w:t>5.①县政府相关规划、决策、批复；②立项申请、批复文件；</w:t>
      </w:r>
    </w:p>
    <w:p>
      <w:pPr>
        <w:rPr>
          <w:sz w:val="30"/>
          <w:szCs w:val="30"/>
        </w:rPr>
      </w:pPr>
      <w:r>
        <w:rPr>
          <w:rFonts w:hint="eastAsia" w:ascii="仿宋_GB2312" w:hAnsi="仿宋"/>
          <w:sz w:val="30"/>
          <w:szCs w:val="30"/>
        </w:rPr>
        <w:t>③绩效目标申报表。</w:t>
      </w:r>
    </w:p>
    <w:sectPr>
      <w:pgSz w:w="11906" w:h="16838"/>
      <w:pgMar w:top="1361" w:right="1588" w:bottom="1247" w:left="1588"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汉仪书宋二KW"/>
    <w:panose1 w:val="00000000000000000000"/>
    <w:charset w:val="00"/>
    <w:family w:val="auto"/>
    <w:pitch w:val="default"/>
    <w:sig w:usb0="00000000" w:usb1="00000000" w:usb2="00000000" w:usb3="00000000" w:csb0="00000000" w:csb1="00000000"/>
  </w:font>
  <w:font w:name="DejaVu Sans">
    <w:altName w:val="苹方-简"/>
    <w:panose1 w:val="02020603050405020304"/>
    <w:charset w:val="00"/>
    <w:family w:val="roman"/>
    <w:pitch w:val="default"/>
    <w:sig w:usb0="20007A87" w:usb1="80000000" w:usb2="00000008" w:usb3="00000000" w:csb0="000001FF" w:csb1="00000000"/>
  </w:font>
  <w:font w:name="方正书宋_GBK">
    <w:panose1 w:val="02000000000000000000"/>
    <w:charset w:val="86"/>
    <w:family w:val="auto"/>
    <w:pitch w:val="default"/>
    <w:sig w:usb0="A00002BF" w:usb1="38CF7CFA" w:usb2="00082016" w:usb3="00000000" w:csb0="00040001" w:csb1="00000000"/>
  </w:font>
  <w:font w:name="方正黑体_GBK">
    <w:altName w:val="苹方-简"/>
    <w:panose1 w:val="02000000000000000000"/>
    <w:charset w:val="00"/>
    <w:family w:val="auto"/>
    <w:pitch w:val="default"/>
    <w:sig w:usb0="00000001" w:usb1="08000000" w:usb2="00000000" w:usb3="00000000" w:csb0="00040000" w:csb1="00000000"/>
  </w:font>
  <w:font w:name="Cambria">
    <w:altName w:val="苹方-简"/>
    <w:panose1 w:val="02040503050406030204"/>
    <w:charset w:val="00"/>
    <w:family w:val="roman"/>
    <w:pitch w:val="default"/>
    <w:sig w:usb0="00000000" w:usb1="00000000" w:usb2="00000000" w:usb3="00000000" w:csb0="0000019F" w:csb1="00000000"/>
  </w:font>
  <w:font w:name="Calibri">
    <w:altName w:val="Helvetica Neue"/>
    <w:panose1 w:val="020F0502020204030204"/>
    <w:charset w:val="00"/>
    <w:family w:val="swiss"/>
    <w:pitch w:val="default"/>
    <w:sig w:usb0="00000000" w:usb1="00000000" w:usb2="00000001" w:usb3="00000000" w:csb0="0000019F" w:csb1="00000000"/>
  </w:font>
  <w:font w:name="汉仪书宋二KW">
    <w:panose1 w:val="00020600040101010101"/>
    <w:charset w:val="86"/>
    <w:family w:val="auto"/>
    <w:pitch w:val="default"/>
    <w:sig w:usb0="A00002BF" w:usb1="18EF7CFA" w:usb2="00000016" w:usb3="00000000" w:csb0="00040000" w:csb1="00000000"/>
  </w:font>
  <w:font w:name="苹方-简">
    <w:panose1 w:val="020B0400000000000000"/>
    <w:charset w:val="86"/>
    <w:family w:val="auto"/>
    <w:pitch w:val="default"/>
    <w:sig w:usb0="A00002FF" w:usb1="7ACFFDFB" w:usb2="00000017" w:usb3="00000000" w:csb0="00040001" w:csb1="00000000"/>
  </w:font>
  <w:font w:name="Helvetica Neue">
    <w:panose1 w:val="02000503000000020004"/>
    <w:charset w:val="00"/>
    <w:family w:val="auto"/>
    <w:pitch w:val="default"/>
    <w:sig w:usb0="E50002FF" w:usb1="500079DB" w:usb2="00000010" w:usb3="00000000" w:csb0="00000000" w:csb1="00000000"/>
  </w:font>
  <w:font w:name="仿宋_GB2312">
    <w:altName w:val="方正仿宋_GBK"/>
    <w:panose1 w:val="00000000000000000000"/>
    <w:charset w:val="86"/>
    <w:family w:val="modern"/>
    <w:pitch w:val="default"/>
    <w:sig w:usb0="00000000" w:usb1="00000000" w:usb2="00000010" w:usb3="00000000" w:csb0="00040000" w:csb1="00000000"/>
  </w:font>
  <w:font w:name="方正小标宋简体">
    <w:altName w:val="汉仪书宋二KW"/>
    <w:panose1 w:val="00000000000000000000"/>
    <w:charset w:val="86"/>
    <w:family w:val="auto"/>
    <w:pitch w:val="default"/>
    <w:sig w:usb0="00000000" w:usb1="00000000" w:usb2="00000000" w:usb3="00000000" w:csb0="00040000" w:csb1="00000000"/>
  </w:font>
  <w:font w:name="黑体">
    <w:altName w:val="汉仪中黑KW"/>
    <w:panose1 w:val="02010609060101010101"/>
    <w:charset w:val="86"/>
    <w:family w:val="modern"/>
    <w:pitch w:val="default"/>
    <w:sig w:usb0="00000000" w:usb1="00000000" w:usb2="00000016" w:usb3="00000000" w:csb0="00040001" w:csb1="00000000"/>
  </w:font>
  <w:font w:name="方正小标宋_GBK">
    <w:altName w:val="苹方-简"/>
    <w:panose1 w:val="00000000000000000000"/>
    <w:charset w:val="86"/>
    <w:family w:val="script"/>
    <w:pitch w:val="default"/>
    <w:sig w:usb0="00000000" w:usb1="00000000" w:usb2="00000010" w:usb3="00000000" w:csb0="00040000" w:csb1="00000000"/>
  </w:font>
  <w:font w:name="楷体">
    <w:altName w:val="汉仪楷体KW"/>
    <w:panose1 w:val="02010609060101010101"/>
    <w:charset w:val="86"/>
    <w:family w:val="modern"/>
    <w:pitch w:val="default"/>
    <w:sig w:usb0="00000000" w:usb1="00000000" w:usb2="00000016" w:usb3="00000000" w:csb0="00040001" w:csb1="00000000"/>
  </w:font>
  <w:font w:name="仿宋">
    <w:altName w:val="方正仿宋_GBK"/>
    <w:panose1 w:val="02010609060101010101"/>
    <w:charset w:val="86"/>
    <w:family w:val="modern"/>
    <w:pitch w:val="default"/>
    <w:sig w:usb0="00000000" w:usb1="00000000" w:usb2="00000016" w:usb3="00000000" w:csb0="00040001" w:csb1="00000000"/>
  </w:font>
  <w:font w:name="汉仪中黑KW">
    <w:panose1 w:val="00020600040101010101"/>
    <w:charset w:val="86"/>
    <w:family w:val="auto"/>
    <w:pitch w:val="default"/>
    <w:sig w:usb0="A00002BF" w:usb1="18EF7CFA" w:usb2="00000016" w:usb3="00000000" w:csb0="00040000" w:csb1="00000000"/>
  </w:font>
  <w:font w:name="方正仿宋_GBK">
    <w:panose1 w:val="02000000000000000000"/>
    <w:charset w:val="86"/>
    <w:family w:val="auto"/>
    <w:pitch w:val="default"/>
    <w:sig w:usb0="A00002BF" w:usb1="38CF7CFA" w:usb2="00082016" w:usb3="00000000" w:csb0="00040001" w:csb1="00000000"/>
  </w:font>
  <w:font w:name="汉仪楷体KW">
    <w:panose1 w:val="00020600040101010101"/>
    <w:charset w:val="86"/>
    <w:family w:val="auto"/>
    <w:pitch w:val="default"/>
    <w:sig w:usb0="A00002BF" w:usb1="18EF7CFA" w:usb2="00000016" w:usb3="00000000" w:csb0="00040000" w:csb1="00000000"/>
  </w:font>
  <w:font w:name="PingFangHK">
    <w:altName w:val="苹方-简"/>
    <w:panose1 w:val="00000000000000000000"/>
    <w:charset w:val="00"/>
    <w:family w:val="auto"/>
    <w:pitch w:val="default"/>
    <w:sig w:usb0="00000000" w:usb1="00000000" w:usb2="00000000" w:usb3="00000000" w:csb0="00000000" w:csb1="00000000"/>
  </w:font>
  <w:font w:name="Tahoma">
    <w:panose1 w:val="020B0804030504040204"/>
    <w:charset w:val="00"/>
    <w:family w:val="auto"/>
    <w:pitch w:val="default"/>
    <w:sig w:usb0="E1002AFF" w:usb1="C000605B" w:usb2="00000029" w:usb3="00000000" w:csb0="200101FF" w:csb1="2028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0"/>
  <w:doNotDisplayPageBoundaries w:val="1"/>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2"/>
  </w:compat>
  <w:rsids>
    <w:rsidRoot w:val="00707870"/>
    <w:rsid w:val="0008257C"/>
    <w:rsid w:val="000A3E54"/>
    <w:rsid w:val="002275D2"/>
    <w:rsid w:val="002B4FD5"/>
    <w:rsid w:val="003035A9"/>
    <w:rsid w:val="00415EC9"/>
    <w:rsid w:val="004E6171"/>
    <w:rsid w:val="005B0E18"/>
    <w:rsid w:val="005C7FD5"/>
    <w:rsid w:val="005D0E3F"/>
    <w:rsid w:val="0069619F"/>
    <w:rsid w:val="00707870"/>
    <w:rsid w:val="007826FD"/>
    <w:rsid w:val="00847B70"/>
    <w:rsid w:val="008B0386"/>
    <w:rsid w:val="008B11CD"/>
    <w:rsid w:val="0095553A"/>
    <w:rsid w:val="00975234"/>
    <w:rsid w:val="00A62D77"/>
    <w:rsid w:val="00A84D92"/>
    <w:rsid w:val="00B04747"/>
    <w:rsid w:val="00BC4C42"/>
    <w:rsid w:val="00CD0945"/>
    <w:rsid w:val="00D401C1"/>
    <w:rsid w:val="00D409C6"/>
    <w:rsid w:val="00D768F7"/>
    <w:rsid w:val="00DE7016"/>
    <w:rsid w:val="00E80DA8"/>
    <w:rsid w:val="00F2619F"/>
    <w:rsid w:val="00FA05DA"/>
    <w:rsid w:val="00FD31E1"/>
    <w:rsid w:val="6BFD93E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heme="minorHAnsi" w:hAnsiTheme="minorHAnsi" w:eastAsiaTheme="minorEastAsia" w:cstheme="minorBidi"/>
      </w:rPr>
    </w:r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name="header"/>
    <w:lsdException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仿宋_GB2312" w:cs="Times New Roman"/>
      <w:kern w:val="2"/>
      <w:sz w:val="32"/>
      <w:szCs w:val="20"/>
      <w:lang w:val="en-US" w:eastAsia="zh-CN" w:bidi="ar-SA"/>
    </w:rPr>
  </w:style>
  <w:style w:type="character" w:default="1" w:styleId="4">
    <w:name w:val="Default Paragraph Font"/>
    <w:unhideWhenUsed/>
    <w:qFormat/>
    <w:uiPriority w:val="1"/>
  </w:style>
  <w:style w:type="table" w:default="1" w:styleId="5">
    <w:name w:val="Normal Table"/>
    <w:unhideWhenUsed/>
    <w:qFormat/>
    <w:uiPriority w:val="99"/>
    <w:tblPr>
      <w:tblCellMar>
        <w:top w:w="0" w:type="dxa"/>
        <w:left w:w="108" w:type="dxa"/>
        <w:bottom w:w="0" w:type="dxa"/>
        <w:right w:w="108" w:type="dxa"/>
      </w:tblCellMar>
    </w:tblPr>
  </w:style>
  <w:style w:type="paragraph" w:styleId="2">
    <w:name w:val="footer"/>
    <w:basedOn w:val="1"/>
    <w:link w:val="7"/>
    <w:unhideWhenUsed/>
    <w:uiPriority w:val="99"/>
    <w:pPr>
      <w:tabs>
        <w:tab w:val="center" w:pos="4153"/>
        <w:tab w:val="right" w:pos="8306"/>
      </w:tabs>
      <w:snapToGrid w:val="0"/>
      <w:jc w:val="left"/>
    </w:pPr>
    <w:rPr>
      <w:sz w:val="18"/>
      <w:szCs w:val="18"/>
    </w:rPr>
  </w:style>
  <w:style w:type="paragraph" w:styleId="3">
    <w:name w:val="header"/>
    <w:basedOn w:val="1"/>
    <w:link w:val="6"/>
    <w:unhideWhenUsed/>
    <w:qFormat/>
    <w:uiPriority w:val="99"/>
    <w:pPr>
      <w:pBdr>
        <w:bottom w:val="single" w:color="auto" w:sz="6" w:space="1"/>
      </w:pBdr>
      <w:tabs>
        <w:tab w:val="center" w:pos="4153"/>
        <w:tab w:val="right" w:pos="8306"/>
      </w:tabs>
      <w:snapToGrid w:val="0"/>
      <w:jc w:val="center"/>
    </w:pPr>
    <w:rPr>
      <w:sz w:val="18"/>
      <w:szCs w:val="18"/>
    </w:rPr>
  </w:style>
  <w:style w:type="character" w:customStyle="1" w:styleId="6">
    <w:name w:val="页眉 Char"/>
    <w:basedOn w:val="4"/>
    <w:link w:val="3"/>
    <w:semiHidden/>
    <w:uiPriority w:val="99"/>
    <w:rPr>
      <w:rFonts w:ascii="Times New Roman" w:hAnsi="Times New Roman" w:eastAsia="仿宋_GB2312" w:cs="Times New Roman"/>
      <w:sz w:val="18"/>
      <w:szCs w:val="18"/>
    </w:rPr>
  </w:style>
  <w:style w:type="character" w:customStyle="1" w:styleId="7">
    <w:name w:val="页脚 Char"/>
    <w:basedOn w:val="4"/>
    <w:link w:val="2"/>
    <w:semiHidden/>
    <w:uiPriority w:val="99"/>
    <w:rPr>
      <w:rFonts w:ascii="Times New Roman" w:hAnsi="Times New Roman" w:eastAsia="仿宋_GB2312" w:cs="Times New Roman"/>
      <w:sz w:val="18"/>
      <w:szCs w:val="18"/>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7</Pages>
  <Words>551</Words>
  <Characters>3146</Characters>
  <Lines>26</Lines>
  <Paragraphs>7</Paragraphs>
  <TotalTime>0</TotalTime>
  <ScaleCrop>false</ScaleCrop>
  <LinksUpToDate>false</LinksUpToDate>
  <CharactersWithSpaces>3690</CharactersWithSpaces>
  <Application>WPS Office_4.1.2.6545_F1E327BC-269C-435d-A152-05C5408002CA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2018-04-27T15:10:00Z</dcterms:created>
  <dc:creator>yjj</dc:creator>
  <cp:lastModifiedBy>chenjie</cp:lastModifiedBy>
  <dcterms:modified xsi:type="dcterms:W3CDTF">2022-04-06T10:51:39Z</dcterms:modified>
  <cp:revision>13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2052-4.1.2.6545</vt:lpwstr>
  </property>
</Properties>
</file>