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项目支出绩效评价报告</w:t>
      </w:r>
    </w:p>
    <w:p>
      <w:pPr>
        <w:spacing w:line="540"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（参考提纲）</w:t>
      </w:r>
    </w:p>
    <w:p>
      <w:pPr>
        <w:spacing w:line="540" w:lineRule="exact"/>
        <w:ind w:firstLine="640" w:firstLineChars="200"/>
        <w:jc w:val="left"/>
        <w:rPr>
          <w:rFonts w:ascii="黑体" w:hAnsi="黑体" w:eastAsia="黑体"/>
          <w:szCs w:val="32"/>
        </w:rPr>
      </w:pPr>
    </w:p>
    <w:p>
      <w:pPr>
        <w:spacing w:line="540" w:lineRule="exact"/>
        <w:ind w:firstLine="640" w:firstLineChars="200"/>
        <w:jc w:val="center"/>
        <w:rPr>
          <w:rFonts w:ascii="方正小标宋_GBK" w:hAnsi="黑体" w:eastAsia="方正小标宋_GBK"/>
          <w:szCs w:val="32"/>
        </w:rPr>
      </w:pPr>
      <w:r>
        <w:rPr>
          <w:rFonts w:hint="eastAsia" w:ascii="方正小标宋_GBK" w:hAnsi="黑体" w:eastAsia="方正小标宋_GBK"/>
          <w:szCs w:val="32"/>
        </w:rPr>
        <w:t>摘要（1500字以内）</w:t>
      </w:r>
    </w:p>
    <w:p>
      <w:pPr>
        <w:spacing w:line="540" w:lineRule="exact"/>
        <w:ind w:firstLine="640" w:firstLineChars="200"/>
        <w:jc w:val="left"/>
        <w:rPr>
          <w:rFonts w:ascii="仿宋_GB2312" w:hAnsi="黑体"/>
          <w:szCs w:val="32"/>
        </w:rPr>
      </w:pPr>
      <w:r>
        <w:rPr>
          <w:rFonts w:hint="eastAsia" w:ascii="黑体" w:hAnsi="黑体" w:eastAsia="黑体"/>
          <w:szCs w:val="32"/>
        </w:rPr>
        <w:t>一、项目概况：</w:t>
      </w:r>
      <w:r>
        <w:rPr>
          <w:rFonts w:hint="eastAsia" w:ascii="仿宋_GB2312" w:hAnsi="黑体"/>
          <w:szCs w:val="32"/>
        </w:rPr>
        <w:t>含项目立项背景及目的，预算收支情况。</w:t>
      </w:r>
    </w:p>
    <w:p>
      <w:pPr>
        <w:spacing w:line="540" w:lineRule="exact"/>
        <w:ind w:firstLine="640" w:firstLineChars="200"/>
        <w:jc w:val="left"/>
        <w:rPr>
          <w:rFonts w:ascii="黑体" w:hAnsi="黑体" w:eastAsia="黑体"/>
          <w:szCs w:val="32"/>
        </w:rPr>
      </w:pPr>
      <w:r>
        <w:rPr>
          <w:rFonts w:hint="eastAsia" w:ascii="黑体" w:hAnsi="黑体" w:eastAsia="黑体"/>
          <w:szCs w:val="32"/>
        </w:rPr>
        <w:t>二、评价结论</w:t>
      </w:r>
    </w:p>
    <w:p>
      <w:pPr>
        <w:spacing w:line="540" w:lineRule="exact"/>
        <w:ind w:firstLine="640" w:firstLineChars="200"/>
        <w:jc w:val="left"/>
        <w:rPr>
          <w:rFonts w:ascii="黑体" w:hAnsi="黑体" w:eastAsia="黑体"/>
          <w:szCs w:val="32"/>
        </w:rPr>
      </w:pPr>
      <w:r>
        <w:rPr>
          <w:rFonts w:hint="eastAsia" w:ascii="黑体" w:hAnsi="黑体" w:eastAsia="黑体"/>
          <w:szCs w:val="32"/>
        </w:rPr>
        <w:t>三、经验、问题和建议</w:t>
      </w:r>
    </w:p>
    <w:p>
      <w:pPr>
        <w:spacing w:line="540" w:lineRule="exact"/>
        <w:ind w:firstLine="640" w:firstLineChars="200"/>
        <w:jc w:val="left"/>
        <w:rPr>
          <w:rFonts w:ascii="楷体" w:hAnsi="楷体" w:eastAsia="楷体"/>
          <w:szCs w:val="32"/>
        </w:rPr>
      </w:pPr>
      <w:r>
        <w:rPr>
          <w:rFonts w:hint="eastAsia" w:ascii="楷体" w:hAnsi="楷体" w:eastAsia="楷体"/>
          <w:szCs w:val="32"/>
        </w:rPr>
        <w:t>1.主要经验及做法；</w:t>
      </w:r>
    </w:p>
    <w:p>
      <w:pPr>
        <w:spacing w:line="540" w:lineRule="exact"/>
        <w:ind w:firstLine="640" w:firstLineChars="200"/>
        <w:jc w:val="left"/>
        <w:rPr>
          <w:rFonts w:ascii="楷体" w:hAnsi="楷体" w:eastAsia="楷体"/>
          <w:szCs w:val="32"/>
        </w:rPr>
      </w:pPr>
      <w:r>
        <w:rPr>
          <w:rFonts w:hint="eastAsia" w:ascii="楷体" w:hAnsi="楷体" w:eastAsia="楷体"/>
          <w:szCs w:val="32"/>
        </w:rPr>
        <w:t>2.存在的问题；</w:t>
      </w:r>
    </w:p>
    <w:p>
      <w:pPr>
        <w:spacing w:line="540" w:lineRule="exact"/>
        <w:ind w:firstLine="640" w:firstLineChars="200"/>
        <w:jc w:val="left"/>
        <w:rPr>
          <w:rFonts w:ascii="楷体" w:hAnsi="楷体" w:eastAsia="楷体"/>
          <w:szCs w:val="32"/>
        </w:rPr>
      </w:pPr>
      <w:r>
        <w:rPr>
          <w:rFonts w:hint="eastAsia" w:ascii="楷体" w:hAnsi="楷体" w:eastAsia="楷体"/>
          <w:szCs w:val="32"/>
        </w:rPr>
        <w:t>3.改进措施及建议。</w:t>
      </w:r>
    </w:p>
    <w:p>
      <w:pPr>
        <w:spacing w:line="540" w:lineRule="exact"/>
        <w:ind w:firstLine="640" w:firstLineChars="200"/>
        <w:jc w:val="left"/>
        <w:rPr>
          <w:rFonts w:ascii="楷体" w:hAnsi="楷体" w:eastAsia="楷体"/>
          <w:szCs w:val="32"/>
        </w:rPr>
      </w:pPr>
    </w:p>
    <w:p>
      <w:pPr>
        <w:spacing w:line="540" w:lineRule="exact"/>
        <w:ind w:firstLine="560" w:firstLineChars="200"/>
        <w:jc w:val="center"/>
        <w:rPr>
          <w:rFonts w:ascii="黑体" w:hAnsi="黑体" w:eastAsia="黑体"/>
          <w:spacing w:val="-20"/>
          <w:sz w:val="36"/>
          <w:szCs w:val="36"/>
        </w:rPr>
      </w:pPr>
      <w:r>
        <w:rPr>
          <w:rFonts w:hint="eastAsia" w:ascii="黑体" w:hAnsi="黑体" w:eastAsia="黑体"/>
          <w:spacing w:val="-20"/>
          <w:szCs w:val="32"/>
        </w:rPr>
        <w:t>正文：食品安全事务-省级食品安全县、乡镇监管机构建设省级经费项目支出绩效评价报告</w:t>
      </w:r>
    </w:p>
    <w:p>
      <w:pPr>
        <w:topLinePunct/>
        <w:spacing w:line="540" w:lineRule="exact"/>
        <w:ind w:firstLine="800" w:firstLineChars="250"/>
        <w:rPr>
          <w:rFonts w:ascii="黑体" w:eastAsia="黑体"/>
          <w:szCs w:val="32"/>
        </w:rPr>
      </w:pPr>
    </w:p>
    <w:p>
      <w:pPr>
        <w:topLinePunct/>
        <w:spacing w:line="540" w:lineRule="exact"/>
        <w:ind w:firstLine="800" w:firstLineChars="250"/>
        <w:rPr>
          <w:rFonts w:ascii="黑体" w:eastAsia="黑体"/>
          <w:szCs w:val="32"/>
        </w:rPr>
      </w:pPr>
      <w:r>
        <w:rPr>
          <w:rFonts w:hint="eastAsia" w:ascii="黑体" w:eastAsia="黑体"/>
          <w:szCs w:val="32"/>
        </w:rPr>
        <w:t>一、项目基本情况</w:t>
      </w:r>
    </w:p>
    <w:p>
      <w:pPr>
        <w:topLinePunct/>
        <w:spacing w:line="540" w:lineRule="exact"/>
        <w:ind w:firstLine="800" w:firstLineChars="250"/>
        <w:rPr>
          <w:rFonts w:ascii="楷体" w:hAnsi="楷体" w:eastAsia="楷体"/>
          <w:szCs w:val="32"/>
        </w:rPr>
      </w:pPr>
      <w:r>
        <w:rPr>
          <w:rFonts w:hint="eastAsia" w:ascii="楷体" w:hAnsi="楷体" w:eastAsia="楷体"/>
          <w:szCs w:val="32"/>
        </w:rPr>
        <w:t>（一）项目概况。</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1.立项背景及目的。</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省人民政府食品安全委员会于2013年12月16日将我县列为云南省食品安全创建县，食品安全县创建工作从2014年2月—2015年10月，分宣传准备、组织实施、自检整改、总结验收和迎评迎检五个阶段进行，嵩明县于2016年通过检查验收。通过开展创建工作实施食品安全工程，按照“标本兼治，着力治本”的工作方针，突出源头治理，抓好日常监管，把整治与规范、打假与扶优、监管与自律有效结合起来，积极探索和创新监管机制，确保人民群众的食品消费安全。为加强乡镇（街道）监管所建设，加强食品安全监管能力，切实保障人民群众的生命安全和健康权益，省食安办分批补助乡镇（街道）市场监管所设施设备购置经费。</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2.项目实施情况。</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2016年12月，市财政局、食药监局分别下达了《2016年第三批省级食品安全监管专项补助经费》、《2016年第二批省级食品安全监管专项补助经费》，因年底列项，故2017年实施该项目，按照上级的要求总嵩明县市场</w:t>
      </w:r>
      <w:r>
        <w:rPr>
          <w:rFonts w:hint="eastAsia" w:ascii="仿宋" w:hAnsi="仿宋" w:eastAsia="仿宋"/>
          <w:sz w:val="30"/>
          <w:szCs w:val="30"/>
          <w:lang w:val="en-US" w:eastAsia="zh-Hans"/>
        </w:rPr>
        <w:t>监督</w:t>
      </w:r>
      <w:bookmarkStart w:id="0" w:name="_GoBack"/>
      <w:bookmarkEnd w:id="0"/>
      <w:r>
        <w:rPr>
          <w:rFonts w:hint="eastAsia" w:ascii="仿宋" w:hAnsi="仿宋" w:eastAsia="仿宋"/>
          <w:sz w:val="30"/>
          <w:szCs w:val="30"/>
        </w:rPr>
        <w:t>管理局加强食品安全监管，围绕省级食品安全县创建验收后续工作，以及乡镇（街道）监管所建设工作，积极配合上级部门完成创建和设施设备采购工作。</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3.资金来源及使用情况。</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2016年12月，市财政局、食药监局下达《2016年第三批省级食品安全监管专项补助经费》的通知（昆财社[2016]166号）、《2016年第二批省级食品安全监管专项补助经费》的通知（昆财社[2016]167号），经向县财政局请求，于12月底分别拨付了110万元项目经费，资金主要用省级食品安全县检查验收补助、乡镇（街道）市场监管所设施设备购置等，共支付资金61.14万元。</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4.组织及管理情况。包括项目组织情况、项目实施流程、资金拨付流程。</w:t>
      </w:r>
    </w:p>
    <w:p>
      <w:pPr>
        <w:spacing w:line="440" w:lineRule="exact"/>
        <w:ind w:firstLine="600" w:firstLineChars="200"/>
        <w:rPr>
          <w:rFonts w:ascii="仿宋" w:hAnsi="仿宋" w:eastAsia="仿宋"/>
          <w:sz w:val="30"/>
          <w:szCs w:val="30"/>
        </w:rPr>
      </w:pPr>
      <w:r>
        <w:rPr>
          <w:rFonts w:ascii="仿宋" w:hAnsi="仿宋" w:eastAsia="仿宋"/>
          <w:sz w:val="30"/>
          <w:szCs w:val="30"/>
        </w:rPr>
        <w:tab/>
      </w:r>
      <w:r>
        <w:rPr>
          <w:rFonts w:hint="eastAsia" w:ascii="仿宋" w:hAnsi="仿宋" w:eastAsia="仿宋"/>
          <w:sz w:val="30"/>
          <w:szCs w:val="30"/>
        </w:rPr>
        <w:t>省级食品安全县创建由各职能科室及各所开展，食安办负责统筹协调工作；乡镇（街道）监管所设施设备由省局统一组织采购，办公室负责接收与付款。</w:t>
      </w:r>
    </w:p>
    <w:p>
      <w:pPr>
        <w:spacing w:line="440" w:lineRule="exact"/>
        <w:ind w:firstLine="583"/>
        <w:rPr>
          <w:rFonts w:ascii="仿宋" w:hAnsi="仿宋" w:eastAsia="仿宋"/>
          <w:sz w:val="30"/>
          <w:szCs w:val="30"/>
        </w:rPr>
      </w:pPr>
      <w:r>
        <w:rPr>
          <w:rFonts w:hint="eastAsia" w:ascii="仿宋" w:hAnsi="仿宋" w:eastAsia="仿宋"/>
          <w:sz w:val="30"/>
          <w:szCs w:val="30"/>
        </w:rPr>
        <w:t>我局制订了预算管理制度，包括项目支出的相关规定，日常由项目负责部门对开展的项目进行监督管理。</w:t>
      </w:r>
    </w:p>
    <w:p>
      <w:pPr>
        <w:topLinePunct/>
        <w:spacing w:line="540" w:lineRule="exact"/>
        <w:ind w:firstLine="800" w:firstLineChars="250"/>
        <w:rPr>
          <w:rFonts w:ascii="楷体" w:hAnsi="楷体" w:eastAsia="楷体"/>
          <w:szCs w:val="32"/>
        </w:rPr>
      </w:pPr>
      <w:r>
        <w:rPr>
          <w:rFonts w:hint="eastAsia" w:ascii="楷体" w:hAnsi="楷体" w:eastAsia="楷体"/>
          <w:szCs w:val="32"/>
        </w:rPr>
        <w:t>（二）绩效目标。</w:t>
      </w:r>
    </w:p>
    <w:p>
      <w:pPr>
        <w:topLinePunct/>
        <w:spacing w:line="540" w:lineRule="exact"/>
        <w:ind w:firstLine="750" w:firstLineChars="250"/>
        <w:rPr>
          <w:rFonts w:ascii="仿宋_GB2312" w:hAnsi="楷体"/>
          <w:sz w:val="30"/>
          <w:szCs w:val="30"/>
        </w:rPr>
      </w:pPr>
      <w:r>
        <w:rPr>
          <w:rFonts w:hint="eastAsia" w:ascii="仿宋_GB2312" w:hAnsi="楷体"/>
          <w:sz w:val="30"/>
          <w:szCs w:val="30"/>
        </w:rPr>
        <w:t>1.总目标。</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县政府食安办按省食安办要求开展创建工作，力争创建为省级食品安全县；按省食安办安排完成乡镇（街道）监管所建设。</w:t>
      </w:r>
    </w:p>
    <w:p>
      <w:pPr>
        <w:topLinePunct/>
        <w:spacing w:line="540" w:lineRule="exact"/>
        <w:ind w:firstLine="750" w:firstLineChars="250"/>
        <w:rPr>
          <w:rFonts w:ascii="仿宋_GB2312" w:hAnsi="楷体"/>
          <w:sz w:val="30"/>
          <w:szCs w:val="30"/>
        </w:rPr>
      </w:pPr>
      <w:r>
        <w:rPr>
          <w:rFonts w:hint="eastAsia" w:ascii="仿宋_GB2312" w:hAnsi="楷体"/>
          <w:sz w:val="30"/>
          <w:szCs w:val="30"/>
        </w:rPr>
        <w:t xml:space="preserve"> 2.年度目标。包括产出目标、效果目标。</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县政府食安办按省食安办要求开展创建工作，力争创建为省级食品安全县；按省食安办安排完成乡镇（街道）监管所建设。</w:t>
      </w:r>
    </w:p>
    <w:p>
      <w:pPr>
        <w:tabs>
          <w:tab w:val="left" w:pos="7065"/>
        </w:tabs>
        <w:topLinePunct/>
        <w:spacing w:line="540" w:lineRule="exact"/>
        <w:ind w:firstLine="800" w:firstLineChars="250"/>
        <w:rPr>
          <w:rFonts w:ascii="黑体" w:hAnsi="黑体" w:eastAsia="黑体"/>
          <w:szCs w:val="32"/>
        </w:rPr>
      </w:pPr>
      <w:r>
        <w:rPr>
          <w:rFonts w:hint="eastAsia" w:ascii="黑体" w:hAnsi="黑体" w:eastAsia="黑体"/>
          <w:szCs w:val="32"/>
        </w:rPr>
        <w:t>二、绩效评价工作情况</w:t>
      </w:r>
      <w:r>
        <w:rPr>
          <w:rFonts w:ascii="黑体" w:hAnsi="黑体" w:eastAsia="黑体"/>
          <w:szCs w:val="32"/>
        </w:rPr>
        <w:tab/>
      </w:r>
    </w:p>
    <w:p>
      <w:pPr>
        <w:topLinePunct/>
        <w:spacing w:line="540" w:lineRule="exact"/>
        <w:ind w:firstLine="800" w:firstLineChars="250"/>
        <w:rPr>
          <w:rFonts w:ascii="仿宋_GB2312" w:hAnsi="楷体"/>
          <w:sz w:val="30"/>
          <w:szCs w:val="30"/>
        </w:rPr>
      </w:pPr>
      <w:r>
        <w:rPr>
          <w:rFonts w:hint="eastAsia" w:ascii="楷体" w:hAnsi="楷体" w:eastAsia="楷体"/>
          <w:szCs w:val="32"/>
        </w:rPr>
        <w:t>（一）绩效评价目的。</w:t>
      </w:r>
      <w:r>
        <w:rPr>
          <w:rFonts w:hint="eastAsia" w:ascii="仿宋_GB2312" w:hAnsi="楷体"/>
          <w:sz w:val="30"/>
          <w:szCs w:val="30"/>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540" w:lineRule="exact"/>
        <w:ind w:firstLine="800" w:firstLineChars="250"/>
        <w:rPr>
          <w:rFonts w:ascii="楷体" w:hAnsi="楷体" w:eastAsia="楷体"/>
          <w:szCs w:val="32"/>
        </w:rPr>
      </w:pPr>
      <w:r>
        <w:rPr>
          <w:rFonts w:hint="eastAsia" w:ascii="楷体" w:hAnsi="楷体" w:eastAsia="楷体"/>
          <w:szCs w:val="32"/>
        </w:rPr>
        <w:t>（二）绩效评价工作方案制定过程。</w:t>
      </w:r>
    </w:p>
    <w:p>
      <w:pPr>
        <w:topLinePunct/>
        <w:spacing w:line="540" w:lineRule="exact"/>
        <w:ind w:firstLine="750" w:firstLineChars="250"/>
        <w:rPr>
          <w:rFonts w:ascii="仿宋_GB2312" w:hAnsi="楷体"/>
          <w:sz w:val="30"/>
          <w:szCs w:val="30"/>
        </w:rPr>
      </w:pPr>
      <w:r>
        <w:rPr>
          <w:rFonts w:hint="eastAsia" w:ascii="仿宋_GB2312" w:hAnsi="楷体"/>
          <w:sz w:val="30"/>
          <w:szCs w:val="30"/>
        </w:rPr>
        <w:t>1、组织学习《嵩明县财政局关于开展2017年度县级预算支出绩效自评工作的通知》（嵩财绩[2018]51号）。</w:t>
      </w:r>
    </w:p>
    <w:p>
      <w:pPr>
        <w:topLinePunct/>
        <w:spacing w:line="540" w:lineRule="exact"/>
        <w:ind w:firstLine="750" w:firstLineChars="250"/>
        <w:rPr>
          <w:rFonts w:ascii="仿宋_GB2312" w:hAnsi="楷体"/>
          <w:sz w:val="30"/>
          <w:szCs w:val="30"/>
        </w:rPr>
      </w:pPr>
      <w:r>
        <w:rPr>
          <w:rFonts w:hint="eastAsia" w:ascii="仿宋_GB2312" w:hAnsi="楷体"/>
          <w:sz w:val="30"/>
          <w:szCs w:val="30"/>
        </w:rPr>
        <w:t>2、成立评价小组，由办公室、食安办抽调人员组成评价小组，负责本部门绩效评价工作的组织领导和具体实施，做好绩效自评的前期准备，主要包括拟定绩效评价方案、选取合适的绩效评价方式、设计绩效评价指标体系等。</w:t>
      </w:r>
    </w:p>
    <w:p>
      <w:pPr>
        <w:topLinePunct/>
        <w:spacing w:line="540" w:lineRule="exact"/>
        <w:ind w:firstLine="800" w:firstLineChars="250"/>
        <w:rPr>
          <w:rFonts w:ascii="楷体" w:hAnsi="楷体" w:eastAsia="楷体"/>
          <w:szCs w:val="32"/>
        </w:rPr>
      </w:pPr>
      <w:r>
        <w:rPr>
          <w:rFonts w:hint="eastAsia" w:ascii="楷体" w:hAnsi="楷体" w:eastAsia="楷体"/>
          <w:szCs w:val="32"/>
        </w:rPr>
        <w:t>（三）绩效评价原则、评价方法</w:t>
      </w:r>
    </w:p>
    <w:p>
      <w:pPr>
        <w:topLinePunct/>
        <w:spacing w:line="540" w:lineRule="exact"/>
        <w:ind w:firstLine="750" w:firstLineChars="250"/>
        <w:rPr>
          <w:rFonts w:ascii="仿宋_GB2312" w:hAnsi="楷体"/>
          <w:sz w:val="30"/>
          <w:szCs w:val="30"/>
        </w:rPr>
      </w:pPr>
      <w:r>
        <w:rPr>
          <w:rFonts w:hint="eastAsia" w:ascii="仿宋_GB2312" w:hAnsi="楷体"/>
          <w:sz w:val="30"/>
          <w:szCs w:val="30"/>
        </w:rPr>
        <w:t>1.绩效评价原则。包括科学规范、公开公正、绩效相关等原则。</w:t>
      </w:r>
    </w:p>
    <w:p>
      <w:pPr>
        <w:topLinePunct/>
        <w:spacing w:line="540" w:lineRule="exact"/>
        <w:ind w:firstLine="750" w:firstLineChars="250"/>
        <w:rPr>
          <w:rFonts w:ascii="仿宋_GB2312" w:hAnsi="楷体"/>
          <w:sz w:val="30"/>
          <w:szCs w:val="30"/>
        </w:rPr>
      </w:pPr>
      <w:r>
        <w:rPr>
          <w:rFonts w:hint="eastAsia" w:ascii="仿宋_GB2312" w:hAnsi="楷体"/>
          <w:sz w:val="30"/>
          <w:szCs w:val="30"/>
        </w:rPr>
        <w:t>2.绩效评价方法。包括指标评价、数据采集和社会调查中所采用的方法。</w:t>
      </w:r>
    </w:p>
    <w:p>
      <w:pPr>
        <w:topLinePunct/>
        <w:spacing w:line="540" w:lineRule="exact"/>
        <w:ind w:firstLine="800" w:firstLineChars="250"/>
        <w:rPr>
          <w:rFonts w:ascii="楷体" w:hAnsi="楷体" w:eastAsia="楷体"/>
          <w:szCs w:val="32"/>
        </w:rPr>
      </w:pPr>
      <w:r>
        <w:rPr>
          <w:rFonts w:hint="eastAsia" w:ascii="楷体" w:hAnsi="楷体" w:eastAsia="楷体"/>
          <w:szCs w:val="32"/>
        </w:rPr>
        <w:t>（四）绩效评价实施过程</w:t>
      </w:r>
    </w:p>
    <w:p>
      <w:pPr>
        <w:topLinePunct/>
        <w:spacing w:line="540" w:lineRule="exact"/>
        <w:ind w:firstLine="750" w:firstLineChars="250"/>
        <w:rPr>
          <w:rFonts w:ascii="仿宋_GB2312" w:hAnsi="楷体"/>
          <w:sz w:val="30"/>
          <w:szCs w:val="30"/>
        </w:rPr>
      </w:pPr>
      <w:r>
        <w:rPr>
          <w:rFonts w:hint="eastAsia" w:ascii="仿宋_GB2312" w:hAnsi="楷体"/>
          <w:sz w:val="30"/>
          <w:szCs w:val="30"/>
        </w:rPr>
        <w:t>1.数据填报和采集。</w:t>
      </w:r>
    </w:p>
    <w:p>
      <w:pPr>
        <w:topLinePunct/>
        <w:spacing w:line="540" w:lineRule="exact"/>
        <w:ind w:firstLine="750" w:firstLineChars="250"/>
        <w:rPr>
          <w:rFonts w:ascii="仿宋_GB2312" w:hAnsi="楷体"/>
          <w:sz w:val="30"/>
          <w:szCs w:val="30"/>
        </w:rPr>
      </w:pPr>
      <w:r>
        <w:rPr>
          <w:rFonts w:hint="eastAsia" w:ascii="仿宋_GB2312" w:hAnsi="楷体"/>
          <w:sz w:val="30"/>
          <w:szCs w:val="30"/>
        </w:rPr>
        <w:t>2.社会调查。</w:t>
      </w:r>
    </w:p>
    <w:p>
      <w:pPr>
        <w:topLinePunct/>
        <w:spacing w:line="540" w:lineRule="exact"/>
        <w:ind w:firstLine="750" w:firstLineChars="250"/>
        <w:rPr>
          <w:rFonts w:ascii="仿宋_GB2312" w:hAnsi="楷体"/>
          <w:sz w:val="30"/>
          <w:szCs w:val="30"/>
        </w:rPr>
      </w:pPr>
      <w:r>
        <w:rPr>
          <w:rFonts w:hint="eastAsia" w:ascii="仿宋_GB2312" w:hAnsi="楷体"/>
          <w:sz w:val="30"/>
          <w:szCs w:val="30"/>
        </w:rPr>
        <w:t>3.数据分析和撰写报告。</w:t>
      </w:r>
    </w:p>
    <w:p>
      <w:pPr>
        <w:topLinePunct/>
        <w:spacing w:line="540" w:lineRule="exact"/>
        <w:ind w:firstLine="800" w:firstLineChars="250"/>
        <w:rPr>
          <w:rFonts w:ascii="楷体" w:hAnsi="楷体" w:eastAsia="楷体"/>
          <w:szCs w:val="32"/>
        </w:rPr>
      </w:pPr>
      <w:r>
        <w:rPr>
          <w:rFonts w:hint="eastAsia" w:ascii="楷体" w:hAnsi="楷体" w:eastAsia="楷体"/>
          <w:szCs w:val="32"/>
        </w:rPr>
        <w:t>（五）本次绩效评价的局限性。</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内部组织评价。</w:t>
      </w:r>
    </w:p>
    <w:p>
      <w:pPr>
        <w:topLinePunct/>
        <w:spacing w:line="540" w:lineRule="exact"/>
        <w:ind w:firstLine="800" w:firstLineChars="250"/>
        <w:rPr>
          <w:rFonts w:ascii="黑体" w:hAnsi="黑体" w:eastAsia="黑体"/>
          <w:szCs w:val="32"/>
        </w:rPr>
      </w:pPr>
      <w:r>
        <w:rPr>
          <w:rFonts w:hint="eastAsia" w:ascii="黑体" w:hAnsi="黑体" w:eastAsia="黑体"/>
          <w:szCs w:val="32"/>
        </w:rPr>
        <w:t>三、评价结论和绩效分析</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（一）评价结论。</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1.评价结果。</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自评得分99分。项目支出绩效为优。</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2.主要绩效。</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 xml:space="preserve">  2016年1月18日到21日，省政府食品安全办副主任、省食药监局党组副书记、副局长刘本军、省出入境检验检疫技术中心主任丁元明等一行八人对嵩明县创建省级食品安全县工作进行检查验收。嵩明县委书记杨相来、县长徐毅清出席考核反馈会，昆明市政府食安办、昆明市食药监局副局长李勤、张云海、嵩明县常务副县长杨泽松、人大常委会副主任洪志伟、县政协副主席张和全程陪同。检查组通过查看资料、实地检查的方式，对照《云南省食品安全县（市、区）创建验收考核评价标准》中管理体制健全、管理机制完善、建立五大体系、分段监管有力、无公害处理规范、宣传广泛深入、人民群众满意七个项目51项评价验收指标，逐项查阅食品安全监管体制建设和工作开展情况资料，现场随机抽查了街道、乡镇、基层监管所、农产品种植基地、养殖基地、农资店、食品生产企业、小作坊、商场超市、农贸市场、食杂店、宾馆酒楼、学校食堂、小餐饮店共16个点，现场开展群众食品安全满意度调查，对嵩明县食品安全县创建工作进行全面验收考核。省食安办通过对嵩明创建省级食品安全县的检查验收。2017年12月1日被命名为省级食品安全县。</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完成省级统一组织采购的乡镇（街道）监管所设施设备采购工作。</w:t>
      </w:r>
    </w:p>
    <w:p>
      <w:pPr>
        <w:topLinePunct/>
        <w:spacing w:line="540" w:lineRule="exact"/>
        <w:ind w:firstLine="800" w:firstLineChars="250"/>
        <w:rPr>
          <w:rFonts w:ascii="仿宋" w:hAnsi="仿宋" w:eastAsia="仿宋"/>
          <w:sz w:val="30"/>
          <w:szCs w:val="30"/>
        </w:rPr>
      </w:pPr>
      <w:r>
        <w:rPr>
          <w:rFonts w:hint="eastAsia" w:ascii="楷体" w:hAnsi="楷体" w:eastAsia="楷体"/>
          <w:szCs w:val="32"/>
        </w:rPr>
        <w:t>（二）具体绩效分析。</w:t>
      </w:r>
      <w:r>
        <w:rPr>
          <w:rFonts w:hint="eastAsia" w:ascii="仿宋" w:hAnsi="仿宋" w:eastAsia="仿宋"/>
          <w:sz w:val="30"/>
          <w:szCs w:val="30"/>
        </w:rPr>
        <w:t>对照绩效评价指标体系逐项进行分析、评价并打分。</w:t>
      </w:r>
    </w:p>
    <w:p>
      <w:pPr>
        <w:topLinePunct/>
        <w:spacing w:line="540" w:lineRule="exact"/>
        <w:ind w:firstLine="800" w:firstLineChars="250"/>
        <w:rPr>
          <w:rFonts w:ascii="仿宋" w:hAnsi="仿宋" w:eastAsia="仿宋"/>
          <w:sz w:val="30"/>
          <w:szCs w:val="30"/>
        </w:rPr>
      </w:pPr>
      <w:r>
        <w:rPr>
          <w:rFonts w:hint="eastAsia" w:ascii="黑体" w:hAnsi="黑体" w:eastAsia="黑体"/>
          <w:szCs w:val="32"/>
        </w:rPr>
        <w:t>四、成本效益分析。</w:t>
      </w:r>
      <w:r>
        <w:rPr>
          <w:rFonts w:hint="eastAsia" w:ascii="仿宋_GB2312" w:hAnsi="仿宋"/>
        </w:rPr>
        <w:t>对</w:t>
      </w:r>
      <w:r>
        <w:rPr>
          <w:rFonts w:hint="eastAsia" w:ascii="仿宋" w:hAnsi="仿宋" w:eastAsia="仿宋"/>
          <w:sz w:val="30"/>
          <w:szCs w:val="30"/>
        </w:rPr>
        <w:t>资金使用方向、资金收入和支出结构；项目和资金管理情况；资金的节约性、资金使用效果；变化趋势等进行分析评价。</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(一)资金使用方向、资金收入和支出结构分析</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1、资金使用方向</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用于创建省级食品安全县检查验收后的食品安全监管平台建设、抽检、培训、宣传等方面；用于省局统一组织采购的设施设备支出。</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2、资金收入</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2016年12月，市财政局、食药监局下达《2016年第三批省级食品安全监管专项补助经费》的通知（昆财社[2016]166号）、《2016年第二批省级食品安全监管专项补助经费》的通知（昆财社[2016]167号），经向县财政局请求，于12月底分别拨付了110万元项目经费。</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3、支出结构</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主要用于食品安全平台建设、食品检测费、农贸市场餐饮改造、乡镇监管所办公设备、食品快速检测设备购置。</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 xml:space="preserve">（二）项目和资金管理情况 </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省级食品安全县创建由各职能科室及各所开展，食安办负责统筹协调工作；乡镇（街道）监管所设施设备由省局统一组织采购，办公室负责接收与付款。</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我局制订了预算管理制度，包括项目支出的相关规定，日常由项目负责部门对开展的项目进行监督管理。资金统一由局财务室管理，支付按局财务管理规定执行。</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（三）资金的节约性、资金使用效果</w:t>
      </w:r>
    </w:p>
    <w:p>
      <w:pPr>
        <w:ind w:firstLine="750" w:firstLineChars="250"/>
        <w:rPr>
          <w:rFonts w:ascii="仿宋" w:hAnsi="仿宋" w:eastAsia="仿宋"/>
          <w:sz w:val="30"/>
          <w:szCs w:val="30"/>
        </w:rPr>
      </w:pPr>
      <w:r>
        <w:rPr>
          <w:rFonts w:hint="eastAsia" w:ascii="仿宋" w:hAnsi="仿宋" w:eastAsia="仿宋"/>
          <w:sz w:val="30"/>
          <w:szCs w:val="30"/>
        </w:rPr>
        <w:t>在开展具体业务工作中按节约高效的原则，提高工作效率，减少支出，节约创建成本。</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项目资金用于与项目有关的支出，保障项目顺利完成。</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（四）变化趋势</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由于机构改革后调出及退休人员增加，现食品安全监管工作人少事多，加之创建任务重，工作效率相应降低。</w:t>
      </w:r>
    </w:p>
    <w:p>
      <w:pPr>
        <w:topLinePunct/>
        <w:spacing w:line="540" w:lineRule="exact"/>
        <w:ind w:firstLine="800" w:firstLineChars="250"/>
        <w:rPr>
          <w:rFonts w:ascii="黑体" w:hAnsi="黑体" w:eastAsia="黑体"/>
          <w:szCs w:val="32"/>
        </w:rPr>
      </w:pPr>
      <w:r>
        <w:rPr>
          <w:rFonts w:hint="eastAsia" w:ascii="黑体" w:hAnsi="黑体" w:eastAsia="黑体"/>
          <w:szCs w:val="32"/>
        </w:rPr>
        <w:t>五、主要经验及做法、存在的问题和建议</w:t>
      </w:r>
    </w:p>
    <w:p>
      <w:pPr>
        <w:topLinePunct/>
        <w:spacing w:line="540" w:lineRule="exact"/>
        <w:ind w:firstLine="800" w:firstLineChars="250"/>
        <w:rPr>
          <w:rFonts w:ascii="楷体" w:hAnsi="楷体" w:eastAsia="楷体"/>
          <w:szCs w:val="32"/>
        </w:rPr>
      </w:pPr>
      <w:r>
        <w:rPr>
          <w:rFonts w:hint="eastAsia" w:ascii="楷体" w:hAnsi="楷体" w:eastAsia="楷体"/>
          <w:szCs w:val="32"/>
        </w:rPr>
        <w:t>（一）主要经验及做法；</w:t>
      </w:r>
    </w:p>
    <w:p>
      <w:pPr>
        <w:topLinePunct/>
        <w:ind w:firstLine="750" w:firstLineChars="250"/>
        <w:rPr>
          <w:rFonts w:ascii="仿宋" w:hAnsi="仿宋" w:eastAsia="仿宋"/>
          <w:sz w:val="30"/>
          <w:szCs w:val="30"/>
        </w:rPr>
      </w:pPr>
      <w:r>
        <w:rPr>
          <w:rFonts w:hint="eastAsia" w:ascii="仿宋" w:hAnsi="仿宋" w:eastAsia="仿宋"/>
          <w:sz w:val="30"/>
          <w:szCs w:val="30"/>
        </w:rPr>
        <w:t>加强对自评工作的组织领导，明确评价项目组织实施中的责任部门和责任人，做好绩效自评的前期准备，根据资管理使用情况进行自查，收集整理支出相关资料，形成项目绩效报告。</w:t>
      </w:r>
    </w:p>
    <w:p>
      <w:pPr>
        <w:topLinePunct/>
        <w:spacing w:line="540" w:lineRule="exact"/>
        <w:ind w:firstLine="800" w:firstLineChars="250"/>
        <w:rPr>
          <w:rFonts w:ascii="楷体" w:hAnsi="楷体" w:eastAsia="楷体"/>
          <w:szCs w:val="32"/>
        </w:rPr>
      </w:pPr>
      <w:r>
        <w:rPr>
          <w:rFonts w:hint="eastAsia" w:ascii="楷体" w:hAnsi="楷体" w:eastAsia="楷体"/>
          <w:szCs w:val="32"/>
        </w:rPr>
        <w:t>（二）存在的问题；</w:t>
      </w:r>
    </w:p>
    <w:p>
      <w:pPr>
        <w:spacing w:line="600" w:lineRule="exact"/>
        <w:ind w:firstLine="600" w:firstLineChars="200"/>
        <w:jc w:val="left"/>
        <w:rPr>
          <w:rFonts w:ascii="仿宋" w:hAnsi="仿宋" w:eastAsia="仿宋"/>
          <w:sz w:val="30"/>
          <w:szCs w:val="30"/>
        </w:rPr>
      </w:pPr>
      <w:r>
        <w:rPr>
          <w:rFonts w:hint="eastAsia" w:ascii="仿宋" w:hAnsi="仿宋" w:eastAsia="仿宋"/>
          <w:sz w:val="30"/>
          <w:szCs w:val="30"/>
        </w:rPr>
        <w:t>因该项目资金由省级经费安排，到年末才拨付到位，工作开展及资金使用只能下年实施。</w:t>
      </w:r>
      <w:r>
        <w:rPr>
          <w:rFonts w:ascii="仿宋" w:hAnsi="仿宋" w:eastAsia="仿宋"/>
          <w:sz w:val="30"/>
          <w:szCs w:val="30"/>
        </w:rPr>
        <w:t xml:space="preserve"> </w:t>
      </w:r>
    </w:p>
    <w:p>
      <w:pPr>
        <w:topLinePunct/>
        <w:spacing w:line="540" w:lineRule="exact"/>
        <w:ind w:firstLine="800" w:firstLineChars="250"/>
        <w:rPr>
          <w:rFonts w:ascii="楷体" w:hAnsi="楷体" w:eastAsia="楷体"/>
          <w:szCs w:val="32"/>
        </w:rPr>
      </w:pPr>
      <w:r>
        <w:rPr>
          <w:rFonts w:hint="eastAsia" w:ascii="楷体" w:hAnsi="楷体" w:eastAsia="楷体"/>
          <w:szCs w:val="32"/>
        </w:rPr>
        <w:t>（三）建议和改进措施。</w:t>
      </w:r>
    </w:p>
    <w:p>
      <w:pPr>
        <w:spacing w:line="600" w:lineRule="exact"/>
        <w:ind w:firstLine="600" w:firstLineChars="200"/>
        <w:jc w:val="left"/>
        <w:rPr>
          <w:rFonts w:ascii="仿宋" w:hAnsi="仿宋" w:eastAsia="仿宋"/>
          <w:sz w:val="30"/>
          <w:szCs w:val="30"/>
        </w:rPr>
      </w:pPr>
      <w:r>
        <w:rPr>
          <w:rFonts w:hint="eastAsia" w:ascii="仿宋" w:hAnsi="仿宋" w:eastAsia="仿宋"/>
          <w:sz w:val="30"/>
          <w:szCs w:val="30"/>
        </w:rPr>
        <w:t>上级项目跟资金同步，资金到位方便项目组织实施。</w:t>
      </w:r>
    </w:p>
    <w:p>
      <w:pPr>
        <w:spacing w:line="540" w:lineRule="exact"/>
        <w:rPr>
          <w:rFonts w:eastAsia="黑体"/>
        </w:rPr>
      </w:pPr>
    </w:p>
    <w:p>
      <w:pPr>
        <w:spacing w:line="540" w:lineRule="exact"/>
        <w:rPr>
          <w:rFonts w:eastAsia="黑体"/>
        </w:rPr>
      </w:pPr>
    </w:p>
    <w:p>
      <w:pPr>
        <w:spacing w:line="540" w:lineRule="exact"/>
        <w:jc w:val="center"/>
        <w:rPr>
          <w:rFonts w:ascii="方正小标宋简体" w:hAnsi="方正小标宋简体" w:eastAsia="方正小标宋简体" w:cs="方正小标宋简体"/>
        </w:rPr>
      </w:pPr>
      <w:r>
        <w:rPr>
          <w:rFonts w:hint="eastAsia" w:ascii="方正小标宋简体" w:hAnsi="方正小标宋简体" w:eastAsia="方正小标宋简体" w:cs="方正小标宋简体"/>
        </w:rPr>
        <w:t>绩效评价报告正文后需附以下佐证材料</w:t>
      </w:r>
    </w:p>
    <w:p>
      <w:pPr>
        <w:spacing w:line="540" w:lineRule="exact"/>
        <w:ind w:left="900" w:hanging="900" w:hangingChars="300"/>
        <w:jc w:val="left"/>
        <w:rPr>
          <w:rFonts w:ascii="仿宋_GB2312" w:hAnsi="仿宋"/>
          <w:sz w:val="30"/>
          <w:szCs w:val="30"/>
        </w:rPr>
      </w:pPr>
      <w:r>
        <w:rPr>
          <w:rFonts w:hint="eastAsia" w:ascii="仿宋_GB2312" w:hAnsi="仿宋"/>
          <w:sz w:val="30"/>
          <w:szCs w:val="30"/>
        </w:rPr>
        <w:t>1.绩效评价指标体系；</w:t>
      </w:r>
    </w:p>
    <w:p>
      <w:pPr>
        <w:spacing w:line="540" w:lineRule="exact"/>
        <w:ind w:left="900" w:hanging="900" w:hangingChars="300"/>
        <w:jc w:val="left"/>
        <w:rPr>
          <w:rFonts w:ascii="仿宋_GB2312" w:hAnsi="仿宋"/>
          <w:sz w:val="30"/>
          <w:szCs w:val="30"/>
        </w:rPr>
      </w:pPr>
      <w:r>
        <w:rPr>
          <w:rFonts w:hint="eastAsia" w:ascii="仿宋_GB2312" w:hAnsi="仿宋"/>
          <w:sz w:val="30"/>
          <w:szCs w:val="30"/>
        </w:rPr>
        <w:t>2.基础数据表（进行成本效益分析需采集的数据）；</w:t>
      </w:r>
    </w:p>
    <w:p>
      <w:pPr>
        <w:spacing w:line="540" w:lineRule="exact"/>
        <w:ind w:left="900" w:hanging="900" w:hangingChars="300"/>
        <w:jc w:val="left"/>
        <w:rPr>
          <w:rFonts w:ascii="仿宋_GB2312" w:hAnsi="仿宋"/>
          <w:sz w:val="30"/>
          <w:szCs w:val="30"/>
        </w:rPr>
      </w:pPr>
      <w:r>
        <w:rPr>
          <w:rFonts w:hint="eastAsia" w:ascii="仿宋_GB2312" w:hAnsi="仿宋"/>
          <w:sz w:val="30"/>
          <w:szCs w:val="30"/>
        </w:rPr>
        <w:t>3.访谈分析报告；</w:t>
      </w:r>
    </w:p>
    <w:p>
      <w:pPr>
        <w:spacing w:line="540" w:lineRule="exact"/>
        <w:ind w:left="900" w:hanging="900" w:hangingChars="300"/>
        <w:jc w:val="left"/>
        <w:rPr>
          <w:rFonts w:ascii="仿宋_GB2312" w:hAnsi="仿宋"/>
          <w:sz w:val="30"/>
          <w:szCs w:val="30"/>
        </w:rPr>
      </w:pPr>
      <w:r>
        <w:rPr>
          <w:rFonts w:hint="eastAsia" w:ascii="仿宋_GB2312" w:hAnsi="仿宋"/>
          <w:sz w:val="30"/>
          <w:szCs w:val="30"/>
        </w:rPr>
        <w:t>4.社会调查问卷分析报告；</w:t>
      </w:r>
    </w:p>
    <w:p>
      <w:pPr>
        <w:spacing w:line="540" w:lineRule="exact"/>
        <w:ind w:left="900" w:hanging="900" w:hangingChars="300"/>
        <w:rPr>
          <w:rFonts w:ascii="仿宋_GB2312" w:hAnsi="仿宋"/>
          <w:sz w:val="30"/>
          <w:szCs w:val="30"/>
        </w:rPr>
      </w:pPr>
      <w:r>
        <w:rPr>
          <w:rFonts w:hint="eastAsia" w:ascii="仿宋_GB2312" w:hAnsi="仿宋"/>
          <w:sz w:val="30"/>
          <w:szCs w:val="30"/>
        </w:rPr>
        <w:t>5.①县政府相关规划、决策、批复；②立项申请、批复文件；</w:t>
      </w:r>
    </w:p>
    <w:p>
      <w:pPr>
        <w:rPr>
          <w:sz w:val="30"/>
          <w:szCs w:val="30"/>
        </w:rPr>
      </w:pPr>
      <w:r>
        <w:rPr>
          <w:rFonts w:hint="eastAsia" w:ascii="仿宋_GB2312" w:hAnsi="仿宋"/>
          <w:sz w:val="30"/>
          <w:szCs w:val="30"/>
        </w:rPr>
        <w:t>③绩效目标申报表。</w:t>
      </w:r>
    </w:p>
    <w:sectPr>
      <w:pgSz w:w="11906" w:h="16838"/>
      <w:pgMar w:top="1361" w:right="1588" w:bottom="1247"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_GB2312">
    <w:altName w:val="方正仿宋_GBK"/>
    <w:panose1 w:val="00000000000000000000"/>
    <w:charset w:val="86"/>
    <w:family w:val="modern"/>
    <w:pitch w:val="default"/>
    <w:sig w:usb0="00000000" w:usb1="00000000" w:usb2="00000010" w:usb3="00000000" w:csb0="00040000" w:csb1="00000000"/>
  </w:font>
  <w:font w:name="方正小标宋简体">
    <w:altName w:val="汉仪书宋二KW"/>
    <w:panose1 w:val="00000000000000000000"/>
    <w:charset w:val="86"/>
    <w:family w:val="auto"/>
    <w:pitch w:val="default"/>
    <w:sig w:usb0="00000000" w:usb1="00000000" w:usb2="00000000" w:usb3="00000000" w:csb0="00040000" w:csb1="00000000"/>
  </w:font>
  <w:font w:name="黑体">
    <w:altName w:val="汉仪中黑KW"/>
    <w:panose1 w:val="02010609060101010101"/>
    <w:charset w:val="86"/>
    <w:family w:val="modern"/>
    <w:pitch w:val="default"/>
    <w:sig w:usb0="00000000" w:usb1="00000000" w:usb2="00000016" w:usb3="00000000" w:csb0="00040001" w:csb1="00000000"/>
  </w:font>
  <w:font w:name="方正小标宋_GBK">
    <w:altName w:val="苹方-简"/>
    <w:panose1 w:val="00000000000000000000"/>
    <w:charset w:val="86"/>
    <w:family w:val="script"/>
    <w:pitch w:val="default"/>
    <w:sig w:usb0="00000000" w:usb1="00000000" w:usb2="00000010" w:usb3="00000000" w:csb0="00040000" w:csb1="00000000"/>
  </w:font>
  <w:font w:name="楷体">
    <w:altName w:val="汉仪楷体KW"/>
    <w:panose1 w:val="02010609060101010101"/>
    <w:charset w:val="86"/>
    <w:family w:val="modern"/>
    <w:pitch w:val="default"/>
    <w:sig w:usb0="00000000" w:usb1="00000000" w:usb2="00000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汉仪楷体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07870"/>
    <w:rsid w:val="0008257C"/>
    <w:rsid w:val="000A3E54"/>
    <w:rsid w:val="001A02B1"/>
    <w:rsid w:val="002148EA"/>
    <w:rsid w:val="002275D2"/>
    <w:rsid w:val="002514B8"/>
    <w:rsid w:val="00297E6E"/>
    <w:rsid w:val="002B0D37"/>
    <w:rsid w:val="002B4FD5"/>
    <w:rsid w:val="003035A9"/>
    <w:rsid w:val="00334672"/>
    <w:rsid w:val="00407B73"/>
    <w:rsid w:val="00413E0C"/>
    <w:rsid w:val="00415EC9"/>
    <w:rsid w:val="00483852"/>
    <w:rsid w:val="0051623B"/>
    <w:rsid w:val="00517357"/>
    <w:rsid w:val="005B0E18"/>
    <w:rsid w:val="005B1C68"/>
    <w:rsid w:val="005C7FD5"/>
    <w:rsid w:val="005D0E3F"/>
    <w:rsid w:val="005D1DE1"/>
    <w:rsid w:val="00670CB7"/>
    <w:rsid w:val="00675934"/>
    <w:rsid w:val="0069619F"/>
    <w:rsid w:val="00707870"/>
    <w:rsid w:val="00716434"/>
    <w:rsid w:val="00733059"/>
    <w:rsid w:val="007B0439"/>
    <w:rsid w:val="007F79BD"/>
    <w:rsid w:val="0080245E"/>
    <w:rsid w:val="00832B22"/>
    <w:rsid w:val="00847B70"/>
    <w:rsid w:val="008B0386"/>
    <w:rsid w:val="008B11CD"/>
    <w:rsid w:val="0095553A"/>
    <w:rsid w:val="009C653E"/>
    <w:rsid w:val="009F07FE"/>
    <w:rsid w:val="00A15C7B"/>
    <w:rsid w:val="00A16D07"/>
    <w:rsid w:val="00A25E9D"/>
    <w:rsid w:val="00A62D77"/>
    <w:rsid w:val="00A70166"/>
    <w:rsid w:val="00A84D92"/>
    <w:rsid w:val="00B04747"/>
    <w:rsid w:val="00BA4523"/>
    <w:rsid w:val="00BC4C42"/>
    <w:rsid w:val="00C06669"/>
    <w:rsid w:val="00CD0945"/>
    <w:rsid w:val="00D401C1"/>
    <w:rsid w:val="00D409C6"/>
    <w:rsid w:val="00D44256"/>
    <w:rsid w:val="00DD0994"/>
    <w:rsid w:val="00E06918"/>
    <w:rsid w:val="00E548ED"/>
    <w:rsid w:val="00EB32D8"/>
    <w:rsid w:val="00F05639"/>
    <w:rsid w:val="00F16B2A"/>
    <w:rsid w:val="00F201E7"/>
    <w:rsid w:val="00F2619F"/>
    <w:rsid w:val="00F7343F"/>
    <w:rsid w:val="00FA05DA"/>
    <w:rsid w:val="00FD31E1"/>
    <w:rsid w:val="00FD369C"/>
    <w:rsid w:val="FD0AA7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0"/>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semiHidden/>
    <w:qFormat/>
    <w:uiPriority w:val="99"/>
    <w:rPr>
      <w:rFonts w:ascii="Times New Roman" w:hAnsi="Times New Roman" w:eastAsia="仿宋_GB2312" w:cs="Times New Roman"/>
      <w:sz w:val="18"/>
      <w:szCs w:val="18"/>
    </w:rPr>
  </w:style>
  <w:style w:type="character" w:customStyle="1" w:styleId="7">
    <w:name w:val="页脚 Char"/>
    <w:basedOn w:val="4"/>
    <w:link w:val="2"/>
    <w:semiHidden/>
    <w:qFormat/>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477</Words>
  <Characters>2724</Characters>
  <Lines>22</Lines>
  <Paragraphs>6</Paragraphs>
  <TotalTime>0</TotalTime>
  <ScaleCrop>false</ScaleCrop>
  <LinksUpToDate>false</LinksUpToDate>
  <CharactersWithSpaces>3195</CharactersWithSpaces>
  <Application>WPS Office_4.1.2.6545_F1E327BC-269C-435d-A152-05C5408002CA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2018-05-01T16:26:00Z</dcterms:created>
  <dc:creator>yjj</dc:creator>
  <cp:lastModifiedBy>chenjie</cp:lastModifiedBy>
  <dcterms:modified xsi:type="dcterms:W3CDTF">2022-04-06T10:50:44Z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2052-4.1.2.6545</vt:lpwstr>
  </property>
</Properties>
</file>