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项目支出绩效评价报告</w:t>
      </w:r>
    </w:p>
    <w:p>
      <w:pPr>
        <w:spacing w:line="54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（参考提纲）</w:t>
      </w:r>
    </w:p>
    <w:p>
      <w:pPr>
        <w:spacing w:line="540" w:lineRule="exact"/>
        <w:ind w:firstLine="640" w:firstLineChars="200"/>
        <w:jc w:val="left"/>
        <w:rPr>
          <w:rFonts w:ascii="黑体" w:hAnsi="黑体" w:eastAsia="黑体"/>
          <w:szCs w:val="32"/>
        </w:rPr>
      </w:pPr>
    </w:p>
    <w:p>
      <w:pPr>
        <w:spacing w:line="540" w:lineRule="exact"/>
        <w:ind w:firstLine="640" w:firstLineChars="200"/>
        <w:jc w:val="center"/>
        <w:rPr>
          <w:rFonts w:ascii="方正小标宋_GBK" w:hAnsi="黑体" w:eastAsia="方正小标宋_GBK"/>
          <w:szCs w:val="32"/>
        </w:rPr>
      </w:pPr>
      <w:r>
        <w:rPr>
          <w:rFonts w:hint="eastAsia" w:ascii="方正小标宋_GBK" w:hAnsi="黑体" w:eastAsia="方正小标宋_GBK"/>
          <w:szCs w:val="32"/>
        </w:rPr>
        <w:t>摘要（1500字以内）</w:t>
      </w:r>
    </w:p>
    <w:p>
      <w:pPr>
        <w:spacing w:line="540" w:lineRule="exact"/>
        <w:ind w:firstLine="640" w:firstLineChars="200"/>
        <w:jc w:val="left"/>
        <w:rPr>
          <w:rFonts w:ascii="仿宋_GB2312" w:hAnsi="黑体"/>
          <w:szCs w:val="32"/>
        </w:rPr>
      </w:pPr>
      <w:r>
        <w:rPr>
          <w:rFonts w:hint="eastAsia" w:ascii="黑体" w:hAnsi="黑体" w:eastAsia="黑体"/>
          <w:szCs w:val="32"/>
        </w:rPr>
        <w:t>一、项目概况：</w:t>
      </w:r>
      <w:r>
        <w:rPr>
          <w:rFonts w:hint="eastAsia" w:ascii="仿宋_GB2312" w:hAnsi="黑体"/>
          <w:szCs w:val="32"/>
        </w:rPr>
        <w:t>含项目立项背景及目的，预算收支情况。</w:t>
      </w:r>
    </w:p>
    <w:p>
      <w:pPr>
        <w:spacing w:line="540" w:lineRule="exact"/>
        <w:ind w:firstLine="64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二、评价结论</w:t>
      </w:r>
    </w:p>
    <w:p>
      <w:pPr>
        <w:spacing w:line="540" w:lineRule="exact"/>
        <w:ind w:firstLine="640" w:firstLineChars="200"/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三、经验、问题和建议</w:t>
      </w:r>
    </w:p>
    <w:p>
      <w:pPr>
        <w:spacing w:line="540" w:lineRule="exact"/>
        <w:ind w:firstLine="64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1.主要经验及做法；</w:t>
      </w:r>
    </w:p>
    <w:p>
      <w:pPr>
        <w:spacing w:line="540" w:lineRule="exact"/>
        <w:ind w:firstLine="64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2.存在的问题；</w:t>
      </w:r>
    </w:p>
    <w:p>
      <w:pPr>
        <w:spacing w:line="540" w:lineRule="exact"/>
        <w:ind w:firstLine="640" w:firstLineChars="200"/>
        <w:jc w:val="left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3.改进措施及建议。</w:t>
      </w:r>
    </w:p>
    <w:p>
      <w:pPr>
        <w:spacing w:line="540" w:lineRule="exact"/>
        <w:ind w:firstLine="640" w:firstLineChars="200"/>
        <w:jc w:val="left"/>
        <w:rPr>
          <w:rFonts w:ascii="楷体" w:hAnsi="楷体" w:eastAsia="楷体"/>
          <w:szCs w:val="32"/>
        </w:rPr>
      </w:pPr>
    </w:p>
    <w:p>
      <w:pPr>
        <w:spacing w:line="540" w:lineRule="exact"/>
        <w:ind w:firstLine="560" w:firstLineChars="200"/>
        <w:jc w:val="center"/>
        <w:rPr>
          <w:rFonts w:ascii="黑体" w:hAnsi="黑体" w:eastAsia="黑体"/>
          <w:spacing w:val="-20"/>
          <w:sz w:val="36"/>
          <w:szCs w:val="36"/>
        </w:rPr>
      </w:pPr>
      <w:r>
        <w:rPr>
          <w:rFonts w:hint="eastAsia" w:ascii="黑体" w:hAnsi="黑体" w:eastAsia="黑体"/>
          <w:spacing w:val="-20"/>
          <w:szCs w:val="32"/>
        </w:rPr>
        <w:t>正文：食品和药品监督管理事务行政运行-质量强县、食品监管、登记事项改革项目支出绩效评价报告</w:t>
      </w:r>
    </w:p>
    <w:p>
      <w:pPr>
        <w:topLinePunct/>
        <w:spacing w:line="540" w:lineRule="exact"/>
        <w:ind w:firstLine="800" w:firstLineChars="250"/>
        <w:rPr>
          <w:rFonts w:ascii="黑体" w:eastAsia="黑体"/>
          <w:szCs w:val="32"/>
        </w:rPr>
      </w:pPr>
    </w:p>
    <w:p>
      <w:pPr>
        <w:topLinePunct/>
        <w:spacing w:line="540" w:lineRule="exact"/>
        <w:ind w:firstLine="800" w:firstLineChars="250"/>
        <w:rPr>
          <w:rFonts w:ascii="黑体" w:eastAsia="黑体"/>
          <w:szCs w:val="32"/>
        </w:rPr>
      </w:pPr>
      <w:r>
        <w:rPr>
          <w:rFonts w:hint="eastAsia" w:ascii="黑体" w:eastAsia="黑体"/>
          <w:szCs w:val="32"/>
        </w:rPr>
        <w:t>一、项目基本情况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（一）项目概况。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1.立项背景及目的。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嵩明县市场监督管理局为县政府的行政执法部门，肩负贯彻实施《质量发展纲要》，组织实施质量强县、质量兴县战略，落实健全全县质量工作考核、质量奖励、质量分析报告等制度。</w:t>
      </w:r>
      <w:r>
        <w:rPr>
          <w:rFonts w:hint="eastAsia" w:ascii="仿宋" w:hAnsi="仿宋" w:eastAsia="仿宋"/>
          <w:szCs w:val="32"/>
        </w:rPr>
        <w:t>负责食品、药品的安全监督管理工作，按规定组织查处违反食品药品安全监管等法律、法规、规章的行为。按照嵩明县委全面深化改革领导小组工作要求，立足本职，做好“五证合一、一照一码”登记制度改革工作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2.项目实施情况。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2017年，按照县委、县政府的总体布置，嵩明县市场</w:t>
      </w:r>
      <w:r>
        <w:rPr>
          <w:rFonts w:hint="eastAsia" w:ascii="仿宋" w:hAnsi="仿宋" w:eastAsia="仿宋"/>
          <w:sz w:val="30"/>
          <w:szCs w:val="30"/>
          <w:lang w:val="en-US" w:eastAsia="zh-Hans"/>
        </w:rPr>
        <w:t>监督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管理局加强质量强县、质量兴县工作；加大食品药品安全监管；落实</w:t>
      </w:r>
      <w:r>
        <w:rPr>
          <w:rFonts w:hint="eastAsia" w:ascii="仿宋" w:hAnsi="仿宋" w:eastAsia="仿宋"/>
          <w:szCs w:val="32"/>
        </w:rPr>
        <w:t>“五证合一、一照一码”登记制度改革工作</w:t>
      </w:r>
      <w:r>
        <w:rPr>
          <w:rFonts w:hint="eastAsia" w:ascii="仿宋" w:hAnsi="仿宋" w:eastAsia="仿宋"/>
          <w:sz w:val="30"/>
          <w:szCs w:val="30"/>
        </w:rPr>
        <w:t>。上述几项工作取得了较好的成绩，并得到了县委、县政府及上级部门的充分肯定。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3.资金来源及使用情况。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2016年食品安全监管项目经费结余0.3万元；我局于2017年6月底向县财政国库缴存了159.82万元的非税收入，已完成2017年应上缴非税收入，县财政于2017年12月拨付了15万元登记制度改革项目经费、5万元质量强县经费，资金主要用于食品安全监管工作，质量强县、质量兴县工作，</w:t>
      </w:r>
      <w:r>
        <w:rPr>
          <w:rFonts w:hint="eastAsia" w:ascii="仿宋" w:hAnsi="仿宋" w:eastAsia="仿宋"/>
          <w:szCs w:val="32"/>
        </w:rPr>
        <w:t>“五证合一、一照一码”登记制度改执照换发工作</w:t>
      </w:r>
      <w:r>
        <w:rPr>
          <w:rFonts w:hint="eastAsia" w:ascii="仿宋" w:hAnsi="仿宋" w:eastAsia="仿宋"/>
          <w:sz w:val="30"/>
          <w:szCs w:val="30"/>
        </w:rPr>
        <w:t>等，共支出7.46万元。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4.组织及管理情况。包括项目组织情况、项目实施流程、资金拨付流程。</w:t>
      </w:r>
    </w:p>
    <w:p>
      <w:pPr>
        <w:spacing w:line="4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ascii="仿宋" w:hAnsi="仿宋" w:eastAsia="仿宋"/>
          <w:sz w:val="30"/>
          <w:szCs w:val="30"/>
        </w:rPr>
        <w:tab/>
      </w:r>
      <w:r>
        <w:rPr>
          <w:rFonts w:hint="eastAsia" w:ascii="仿宋" w:hAnsi="仿宋" w:eastAsia="仿宋"/>
          <w:sz w:val="30"/>
          <w:szCs w:val="30"/>
        </w:rPr>
        <w:t>食品安全监管由各职能科室及各所开展，行政审批科、各所负责登记制度改革执照换发工作，质量商标科负责质量强县、质量兴县工作。</w:t>
      </w:r>
    </w:p>
    <w:p>
      <w:pPr>
        <w:spacing w:line="440" w:lineRule="exact"/>
        <w:ind w:firstLine="583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我局制订了预算管理制度，包括项目支出的相关规定，日常由项目负责部门对开展的项目进行监督管理。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（二）绩效目标。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1.总目标。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加强食品安全监管工作，加强质量强县、兴县工作，做好登记制度改革换发执照工作。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2.年度目标。包括产出目标、效果目标。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加强食品安全监管工作，加强质量强县、兴县工作，做好登记制度改革换发执照工作。</w:t>
      </w:r>
    </w:p>
    <w:p>
      <w:pPr>
        <w:topLinePunct/>
        <w:spacing w:line="540" w:lineRule="exact"/>
        <w:ind w:firstLine="800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二、绩效评价工作情况</w:t>
      </w:r>
    </w:p>
    <w:p>
      <w:pPr>
        <w:topLinePunct/>
        <w:spacing w:line="540" w:lineRule="exact"/>
        <w:ind w:firstLine="800" w:firstLineChars="250"/>
        <w:rPr>
          <w:rFonts w:ascii="仿宋_GB2312" w:hAnsi="楷体"/>
          <w:sz w:val="30"/>
          <w:szCs w:val="30"/>
        </w:rPr>
      </w:pPr>
      <w:r>
        <w:rPr>
          <w:rFonts w:hint="eastAsia" w:ascii="楷体" w:hAnsi="楷体" w:eastAsia="楷体"/>
          <w:szCs w:val="32"/>
        </w:rPr>
        <w:t>（一）绩效评价目的。</w:t>
      </w:r>
      <w:r>
        <w:rPr>
          <w:rFonts w:hint="eastAsia" w:ascii="仿宋_GB2312" w:hAnsi="楷体"/>
          <w:sz w:val="30"/>
          <w:szCs w:val="30"/>
        </w:rPr>
        <w:t>全面了解项目管理过程是否规范、产出目标是否完成以及效果目标是否实现等方面的内容，总结经验，查找不足，为项目在以后年度的开展提供可行性参考建议。在此基础上，重点分析项目预算编制的合理性、成本支出的真实性和控制有效性，评价财政资金的使用效率和效果，为以后年度编制项目预算、选择项目实施主体等提供参考依据。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（二）绩效评价工作方案制定过程。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1、组织学习《嵩明县财政局关于开展2017年度县级预算支出绩效自评工作的通知》（嵩财绩[2018]51号）。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2、成立评价小组，由食品生产流通科、餐饮科、行政审批科、质量商标科抽调人员组成评价小组，负责本部门绩效评价工作的组织领导和具体实施，做好绩效自评的前期准备，主要包括拟定绩效评价方案、选取合适的绩效评价方式、设计绩效评价指标体系等。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（三）绩效评价原则、评价方法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1.绩效评价原则。包括科学规范、公开公正、绩效相关等原则。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2.绩效评价方法。包括指标评价、数据采集和社会调查中所采用的方法。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（四）绩效评价实施过程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1.数据填报和采集。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2.社会调查。</w:t>
      </w:r>
    </w:p>
    <w:p>
      <w:pPr>
        <w:topLinePunct/>
        <w:spacing w:line="540" w:lineRule="exact"/>
        <w:ind w:firstLine="750" w:firstLineChars="250"/>
        <w:rPr>
          <w:rFonts w:ascii="仿宋_GB2312" w:hAnsi="楷体"/>
          <w:sz w:val="30"/>
          <w:szCs w:val="30"/>
        </w:rPr>
      </w:pPr>
      <w:r>
        <w:rPr>
          <w:rFonts w:hint="eastAsia" w:ascii="仿宋_GB2312" w:hAnsi="楷体"/>
          <w:sz w:val="30"/>
          <w:szCs w:val="30"/>
        </w:rPr>
        <w:t>3.数据分析和撰写报告。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（五）本次绩效评价的局限性。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内部组织评价。</w:t>
      </w:r>
    </w:p>
    <w:p>
      <w:pPr>
        <w:topLinePunct/>
        <w:spacing w:line="540" w:lineRule="exact"/>
        <w:ind w:firstLine="800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三、评价结论和绩效分析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（一）评价结论。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1.评价结果。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自评得分98.5分。项目支出绩效为优。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2.主要绩效。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商事制度改革自注册资本登记制度改革为开始，随后“三证合一”、“先照后证”、“个体两证整合”“多证合一”等改革方案先后实施，这些改革的开展和推行，我局皆圆满完成任务。截至2017年10月10日，我局共计注册登记“五证合一、一照一码”“多证合一”的企业3845户，“两证整合”个体工商户3176户。</w:t>
      </w:r>
    </w:p>
    <w:p>
      <w:pPr>
        <w:adjustRightInd w:val="0"/>
        <w:snapToGrid w:val="0"/>
        <w:spacing w:line="56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开展食品生产、流通环节监管工作。一是联动开展食品生产经营企业日常监督检查，包括乳制品、饮料、食用油、茶叶、粮食加工品等生产经营企业，目前，对我县食品生产企业已做到全覆盖监管检查，监管率达100%；二是对食品经营企业开展全面检查，特别是9个农贸市场、3个食用农产品经营超市进行综合整治；三中开展餐饮服务食品安全监管，与餐饮服务单位、学校食堂签订食品安全责任书，其中学校食堂签订率已达100％、餐饮服务单位签订已有序展开；严把餐饮服务许可准入关，继续实行《食品经营许可证》许可准入，开展《食品经营许可证》换发工作；切实加强高校、中小学、幼儿园及校园周边食品安全专项检查力度，共检查了四个街道和职教园区134所学校（幼儿园、高校）；完成包括“元旦、春节”两节，“人代、政协”两会，“县委全会”，“中考、高考”校园及周边，“花卉园区菊花展”，“嵩明首届螃蟹狂欢节”等10起重要会议活动的食品药品安全保障工作，保障总人次达到4万人次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积极推进质量工作。组织县区重点企业做好2017年省市名牌产品申报动员工作，为今年的省市名牌申报做好准备。今年，嵩明县市场监督管理局将对列入省名牌培育计划的5家企业开展重点帮扶。通过名牌培育，将进一步增强企业品牌意识，提升企业质量管理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楷体" w:hAnsi="楷体" w:eastAsia="楷体"/>
          <w:szCs w:val="32"/>
        </w:rPr>
        <w:t>（二）具体绩效分析。</w:t>
      </w:r>
      <w:r>
        <w:rPr>
          <w:rFonts w:hint="eastAsia" w:ascii="仿宋" w:hAnsi="仿宋" w:eastAsia="仿宋"/>
          <w:sz w:val="30"/>
          <w:szCs w:val="30"/>
        </w:rPr>
        <w:t>对照绩效评价指标体系逐项进行分析、评价并打分。</w:t>
      </w:r>
    </w:p>
    <w:p>
      <w:pPr>
        <w:topLinePunct/>
        <w:spacing w:line="540" w:lineRule="exact"/>
        <w:ind w:firstLine="80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zCs w:val="32"/>
        </w:rPr>
        <w:t>四、成本效益分析。</w:t>
      </w:r>
      <w:r>
        <w:rPr>
          <w:rFonts w:hint="eastAsia" w:ascii="仿宋_GB2312" w:hAnsi="仿宋"/>
        </w:rPr>
        <w:t>对</w:t>
      </w:r>
      <w:r>
        <w:rPr>
          <w:rFonts w:hint="eastAsia" w:ascii="仿宋" w:hAnsi="仿宋" w:eastAsia="仿宋"/>
          <w:sz w:val="30"/>
          <w:szCs w:val="30"/>
        </w:rPr>
        <w:t>资金使用方向、资金收入和支出结构；项目和资金管理情况；资金的节约性、资金使用效果；变化趋势等进行分析评价。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(一)资金使用方向、资金收入和支出结构分析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1、资金使用方向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用于开展食品安全监管，开展“五证合一、一照一码”登记制度改革工作重新制作新版执照、文书等资料支出，</w:t>
      </w:r>
      <w:r>
        <w:rPr>
          <w:rFonts w:hint="eastAsia" w:ascii="仿宋" w:hAnsi="仿宋" w:eastAsia="仿宋"/>
          <w:szCs w:val="32"/>
        </w:rPr>
        <w:t>开展质量强县、质量兴县工作</w:t>
      </w:r>
      <w:r>
        <w:rPr>
          <w:rFonts w:hint="eastAsia" w:ascii="仿宋" w:hAnsi="仿宋" w:eastAsia="仿宋"/>
          <w:sz w:val="30"/>
          <w:szCs w:val="30"/>
        </w:rPr>
        <w:t>等方面。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2、资金收入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2016年食品安全监管项目经费结余0.3万元；我局于2017年6月底向县财政国库缴存了159.82万元的非税收入，已完成2017年应上缴非税收入，县财政于2017年12月拨付了15万元登记制度改革项目经费、5万元质量强县经费。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3、支出结构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主要用于印刷费、网络通讯费。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 xml:space="preserve">（二）项目和资金管理情况 </w:t>
      </w:r>
    </w:p>
    <w:p>
      <w:pPr>
        <w:spacing w:line="440" w:lineRule="exact"/>
        <w:ind w:firstLine="600" w:firstLineChars="20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该项目中食品安全监管由各职能科室及各所开展，行政审批科、各所负责登记制度改革执照换发工作，质量商标科负责质量强县、质量兴县工作。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我局制订了预算管理制度，包括项目支出的相关规定，日常由项目负责部门对开展的项目进行监督管理。资金统一由局财务室管理，支付按局财务管理规定执行。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（三）资金的节约性、资金使用效果</w:t>
      </w:r>
    </w:p>
    <w:p>
      <w:pPr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在开展具体业务工作中按节约高效的原则，提高工作效率，减少支出。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项目资金用于与项目有关的支出，保障项目顺利完成。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（四）变化趋势</w:t>
      </w:r>
    </w:p>
    <w:p>
      <w:pPr>
        <w:topLinePunct/>
        <w:spacing w:line="540" w:lineRule="exact"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商事制度改革自注册资本登记制度改革为开始，随后“三证合一”、“先照后证”、“个体两证整合”“多证合一”等改革方案先后实施，这些改革的开展和推行面临执照换发频繁，工本费相应增加。</w:t>
      </w:r>
    </w:p>
    <w:p>
      <w:pPr>
        <w:topLinePunct/>
        <w:spacing w:line="540" w:lineRule="exact"/>
        <w:ind w:firstLine="800" w:firstLineChars="25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五、主要经验及做法、存在的问题和建议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（一）主要经验及做法；</w:t>
      </w:r>
    </w:p>
    <w:p>
      <w:pPr>
        <w:topLinePunct/>
        <w:ind w:firstLine="750" w:firstLineChars="25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加强对自评工作的组织领导，明确评价项目组织实施中的责任部门和责任人，做好绩效自评的前期准备，根据资管理使用情况进行自查，收集整理支出相关资料，形成项目绩效报告。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（二）存在的问题；</w:t>
      </w:r>
    </w:p>
    <w:p>
      <w:pPr>
        <w:spacing w:line="60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因我局项目资金预算需要从非税收入中安排，县财政要求完成任务才能拨付，一般到年末才能拨付到位，前期支出只能压后；到年末才能完成资金支付。</w:t>
      </w:r>
      <w:r>
        <w:rPr>
          <w:rFonts w:ascii="仿宋" w:hAnsi="仿宋" w:eastAsia="仿宋"/>
          <w:sz w:val="30"/>
          <w:szCs w:val="30"/>
        </w:rPr>
        <w:t xml:space="preserve"> </w:t>
      </w:r>
    </w:p>
    <w:p>
      <w:pPr>
        <w:topLinePunct/>
        <w:spacing w:line="540" w:lineRule="exact"/>
        <w:ind w:firstLine="800" w:firstLineChars="250"/>
        <w:rPr>
          <w:rFonts w:ascii="楷体" w:hAnsi="楷体" w:eastAsia="楷体"/>
          <w:szCs w:val="32"/>
        </w:rPr>
      </w:pPr>
      <w:r>
        <w:rPr>
          <w:rFonts w:hint="eastAsia" w:ascii="楷体" w:hAnsi="楷体" w:eastAsia="楷体"/>
          <w:szCs w:val="32"/>
        </w:rPr>
        <w:t>（三）建议和改进措施。</w:t>
      </w:r>
    </w:p>
    <w:p>
      <w:pPr>
        <w:spacing w:line="600" w:lineRule="exact"/>
        <w:ind w:firstLine="600" w:firstLineChars="200"/>
        <w:jc w:val="left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sz w:val="30"/>
          <w:szCs w:val="30"/>
        </w:rPr>
        <w:t>及时拨付项目资金，资金到位方便项目组织实施。</w:t>
      </w:r>
    </w:p>
    <w:p>
      <w:pPr>
        <w:spacing w:line="540" w:lineRule="exact"/>
        <w:rPr>
          <w:rFonts w:eastAsia="黑体"/>
        </w:rPr>
      </w:pPr>
    </w:p>
    <w:p>
      <w:pPr>
        <w:spacing w:line="540" w:lineRule="exact"/>
        <w:rPr>
          <w:rFonts w:eastAsia="黑体"/>
        </w:rPr>
      </w:pPr>
    </w:p>
    <w:p>
      <w:pPr>
        <w:spacing w:line="540" w:lineRule="exact"/>
        <w:jc w:val="center"/>
        <w:rPr>
          <w:rFonts w:ascii="方正小标宋简体" w:hAnsi="方正小标宋简体" w:eastAsia="方正小标宋简体" w:cs="方正小标宋简体"/>
        </w:rPr>
      </w:pPr>
      <w:r>
        <w:rPr>
          <w:rFonts w:hint="eastAsia" w:ascii="方正小标宋简体" w:hAnsi="方正小标宋简体" w:eastAsia="方正小标宋简体" w:cs="方正小标宋简体"/>
        </w:rPr>
        <w:t>绩效评价报告正文后需附以下佐证材料</w:t>
      </w:r>
    </w:p>
    <w:p>
      <w:pPr>
        <w:spacing w:line="540" w:lineRule="exact"/>
        <w:ind w:left="900" w:hanging="900" w:hangingChars="300"/>
        <w:jc w:val="left"/>
        <w:rPr>
          <w:rFonts w:ascii="仿宋_GB2312" w:hAnsi="仿宋"/>
          <w:sz w:val="30"/>
          <w:szCs w:val="30"/>
        </w:rPr>
      </w:pPr>
      <w:r>
        <w:rPr>
          <w:rFonts w:hint="eastAsia" w:ascii="仿宋_GB2312" w:hAnsi="仿宋"/>
          <w:sz w:val="30"/>
          <w:szCs w:val="30"/>
        </w:rPr>
        <w:t>1.绩效评价指标体系；</w:t>
      </w:r>
    </w:p>
    <w:p>
      <w:pPr>
        <w:spacing w:line="540" w:lineRule="exact"/>
        <w:ind w:left="900" w:hanging="900" w:hangingChars="300"/>
        <w:jc w:val="left"/>
        <w:rPr>
          <w:rFonts w:ascii="仿宋_GB2312" w:hAnsi="仿宋"/>
          <w:sz w:val="30"/>
          <w:szCs w:val="30"/>
        </w:rPr>
      </w:pPr>
      <w:r>
        <w:rPr>
          <w:rFonts w:hint="eastAsia" w:ascii="仿宋_GB2312" w:hAnsi="仿宋"/>
          <w:sz w:val="30"/>
          <w:szCs w:val="30"/>
        </w:rPr>
        <w:t>2.基础数据表（进行成本效益分析需采集的数据）；</w:t>
      </w:r>
    </w:p>
    <w:p>
      <w:pPr>
        <w:spacing w:line="540" w:lineRule="exact"/>
        <w:ind w:left="900" w:hanging="900" w:hangingChars="300"/>
        <w:jc w:val="left"/>
        <w:rPr>
          <w:rFonts w:ascii="仿宋_GB2312" w:hAnsi="仿宋"/>
          <w:sz w:val="30"/>
          <w:szCs w:val="30"/>
        </w:rPr>
      </w:pPr>
      <w:r>
        <w:rPr>
          <w:rFonts w:hint="eastAsia" w:ascii="仿宋_GB2312" w:hAnsi="仿宋"/>
          <w:sz w:val="30"/>
          <w:szCs w:val="30"/>
        </w:rPr>
        <w:t>3.访谈分析报告；</w:t>
      </w:r>
    </w:p>
    <w:p>
      <w:pPr>
        <w:spacing w:line="540" w:lineRule="exact"/>
        <w:ind w:left="900" w:hanging="900" w:hangingChars="300"/>
        <w:jc w:val="left"/>
        <w:rPr>
          <w:rFonts w:ascii="仿宋_GB2312" w:hAnsi="仿宋"/>
          <w:sz w:val="30"/>
          <w:szCs w:val="30"/>
        </w:rPr>
      </w:pPr>
      <w:r>
        <w:rPr>
          <w:rFonts w:hint="eastAsia" w:ascii="仿宋_GB2312" w:hAnsi="仿宋"/>
          <w:sz w:val="30"/>
          <w:szCs w:val="30"/>
        </w:rPr>
        <w:t>4.社会调查问卷分析报告；</w:t>
      </w:r>
    </w:p>
    <w:p>
      <w:pPr>
        <w:spacing w:line="540" w:lineRule="exact"/>
        <w:ind w:left="900" w:hanging="900" w:hangingChars="300"/>
        <w:rPr>
          <w:rFonts w:ascii="仿宋_GB2312" w:hAnsi="仿宋"/>
          <w:sz w:val="30"/>
          <w:szCs w:val="30"/>
        </w:rPr>
      </w:pPr>
      <w:r>
        <w:rPr>
          <w:rFonts w:hint="eastAsia" w:ascii="仿宋_GB2312" w:hAnsi="仿宋"/>
          <w:sz w:val="30"/>
          <w:szCs w:val="30"/>
        </w:rPr>
        <w:t>5.①县政府相关规划、决策、批复；②立项申请、批复文件；</w:t>
      </w:r>
    </w:p>
    <w:p>
      <w:pPr>
        <w:rPr>
          <w:sz w:val="30"/>
          <w:szCs w:val="30"/>
        </w:rPr>
      </w:pPr>
      <w:r>
        <w:rPr>
          <w:rFonts w:hint="eastAsia" w:ascii="仿宋_GB2312" w:hAnsi="仿宋"/>
          <w:sz w:val="30"/>
          <w:szCs w:val="30"/>
        </w:rPr>
        <w:t>③绩效目标申报表。</w:t>
      </w:r>
    </w:p>
    <w:sectPr>
      <w:pgSz w:w="11906" w:h="16838"/>
      <w:pgMar w:top="1361" w:right="1588" w:bottom="1247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汉仪书宋二KW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_GBK">
    <w:altName w:val="苹方-简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07870"/>
    <w:rsid w:val="0008257C"/>
    <w:rsid w:val="000A3E54"/>
    <w:rsid w:val="002275D2"/>
    <w:rsid w:val="002B4FD5"/>
    <w:rsid w:val="002C4AD4"/>
    <w:rsid w:val="003035A9"/>
    <w:rsid w:val="0039301B"/>
    <w:rsid w:val="00415EC9"/>
    <w:rsid w:val="005B0E18"/>
    <w:rsid w:val="005B7D7F"/>
    <w:rsid w:val="005C7FD5"/>
    <w:rsid w:val="005D0E3F"/>
    <w:rsid w:val="00663675"/>
    <w:rsid w:val="0069619F"/>
    <w:rsid w:val="00707870"/>
    <w:rsid w:val="00754A6D"/>
    <w:rsid w:val="00817E32"/>
    <w:rsid w:val="00847B70"/>
    <w:rsid w:val="008B0386"/>
    <w:rsid w:val="008B11CD"/>
    <w:rsid w:val="008C0012"/>
    <w:rsid w:val="0095553A"/>
    <w:rsid w:val="00A62D77"/>
    <w:rsid w:val="00A84D92"/>
    <w:rsid w:val="00B04747"/>
    <w:rsid w:val="00BC3D16"/>
    <w:rsid w:val="00BC4C42"/>
    <w:rsid w:val="00C21269"/>
    <w:rsid w:val="00CD0945"/>
    <w:rsid w:val="00D401C1"/>
    <w:rsid w:val="00D409C6"/>
    <w:rsid w:val="00E00512"/>
    <w:rsid w:val="00F2619F"/>
    <w:rsid w:val="00F97628"/>
    <w:rsid w:val="00FA05DA"/>
    <w:rsid w:val="00FD31E1"/>
    <w:rsid w:val="FDFEB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0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474</Words>
  <Characters>2704</Characters>
  <Lines>22</Lines>
  <Paragraphs>6</Paragraphs>
  <TotalTime>0</TotalTime>
  <ScaleCrop>false</ScaleCrop>
  <LinksUpToDate>false</LinksUpToDate>
  <CharactersWithSpaces>3172</CharactersWithSpaces>
  <Application>WPS Office_4.1.2.6545_F1E327BC-269C-435d-A152-05C5408002CA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2018-05-01T15:26:00Z</dcterms:created>
  <dc:creator>yjj</dc:creator>
  <cp:lastModifiedBy>chenjie</cp:lastModifiedBy>
  <dcterms:modified xsi:type="dcterms:W3CDTF">2022-04-06T10:46:04Z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