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楷体" w:hAnsi="楷体" w:eastAsia="楷体" w:cs="楷体"/>
          <w:b/>
          <w:bCs/>
          <w:sz w:val="44"/>
          <w:szCs w:val="44"/>
        </w:rPr>
      </w:pPr>
    </w:p>
    <w:p>
      <w:pPr>
        <w:spacing w:line="700" w:lineRule="exact"/>
        <w:jc w:val="center"/>
        <w:rPr>
          <w:rFonts w:hint="eastAsia" w:ascii="楷体" w:hAnsi="楷体" w:eastAsia="楷体" w:cs="楷体"/>
          <w:b/>
          <w:bCs/>
          <w:sz w:val="44"/>
          <w:szCs w:val="44"/>
        </w:rPr>
      </w:pPr>
    </w:p>
    <w:p>
      <w:pPr>
        <w:spacing w:line="700" w:lineRule="exact"/>
        <w:jc w:val="center"/>
        <w:rPr>
          <w:rFonts w:ascii="楷体" w:hAnsi="楷体" w:eastAsia="楷体" w:cs="楷体"/>
          <w:b/>
          <w:bCs/>
          <w:sz w:val="44"/>
          <w:szCs w:val="44"/>
        </w:rPr>
      </w:pPr>
      <w:r>
        <w:rPr>
          <w:rFonts w:hint="eastAsia" w:ascii="楷体" w:hAnsi="楷体" w:eastAsia="楷体" w:cs="楷体"/>
          <w:b/>
          <w:bCs/>
          <w:sz w:val="44"/>
          <w:szCs w:val="44"/>
        </w:rPr>
        <w:t>嵩明县2021年地上附着物和青苗补偿标准</w:t>
      </w:r>
    </w:p>
    <w:p>
      <w:pPr>
        <w:spacing w:line="700" w:lineRule="exact"/>
        <w:jc w:val="center"/>
        <w:rPr>
          <w:rFonts w:hint="eastAsia" w:ascii="楷体" w:hAnsi="楷体" w:eastAsia="楷体" w:cs="楷体"/>
          <w:b/>
          <w:bCs/>
          <w:sz w:val="44"/>
          <w:szCs w:val="44"/>
          <w:lang w:eastAsia="zh-CN"/>
        </w:rPr>
      </w:pPr>
      <w:r>
        <w:rPr>
          <w:rFonts w:hint="eastAsia" w:ascii="楷体" w:hAnsi="楷体" w:eastAsia="楷体" w:cs="楷体"/>
          <w:b/>
          <w:bCs/>
          <w:sz w:val="44"/>
          <w:szCs w:val="44"/>
          <w:lang w:val="en-US" w:eastAsia="zh-CN"/>
        </w:rPr>
        <w:t>测算成果</w:t>
      </w:r>
      <w:r>
        <w:rPr>
          <w:rFonts w:hint="eastAsia" w:ascii="楷体" w:hAnsi="楷体" w:eastAsia="楷体" w:cs="楷体"/>
          <w:b/>
          <w:bCs/>
          <w:sz w:val="44"/>
          <w:szCs w:val="44"/>
          <w:lang w:eastAsia="zh-CN"/>
        </w:rPr>
        <w:t>（</w:t>
      </w:r>
      <w:r>
        <w:rPr>
          <w:rFonts w:hint="eastAsia" w:ascii="楷体" w:hAnsi="楷体" w:eastAsia="楷体" w:cs="楷体"/>
          <w:b/>
          <w:bCs/>
          <w:sz w:val="44"/>
          <w:szCs w:val="44"/>
          <w:lang w:val="en-US" w:eastAsia="zh-CN"/>
        </w:rPr>
        <w:t>草案</w:t>
      </w:r>
      <w:r>
        <w:rPr>
          <w:rFonts w:hint="eastAsia" w:ascii="楷体" w:hAnsi="楷体" w:eastAsia="楷体" w:cs="楷体"/>
          <w:b/>
          <w:bCs/>
          <w:sz w:val="44"/>
          <w:szCs w:val="44"/>
          <w:lang w:eastAsia="zh-CN"/>
        </w:rPr>
        <w:t>）</w:t>
      </w: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700" w:lineRule="exact"/>
        <w:jc w:val="center"/>
        <w:rPr>
          <w:rFonts w:ascii="楷体" w:hAnsi="楷体" w:eastAsia="楷体" w:cs="楷体"/>
          <w:b/>
          <w:bCs/>
          <w:sz w:val="44"/>
          <w:szCs w:val="44"/>
        </w:rPr>
      </w:pPr>
    </w:p>
    <w:p>
      <w:pPr>
        <w:spacing w:line="480" w:lineRule="auto"/>
        <w:jc w:val="center"/>
        <w:rPr>
          <w:rFonts w:ascii="Times New Roman" w:hAnsi="Times New Roman" w:eastAsia="仿宋" w:cs="Times New Roman"/>
          <w:b/>
          <w:sz w:val="28"/>
          <w:szCs w:val="28"/>
          <w:lang w:bidi="ar"/>
        </w:rPr>
      </w:pPr>
    </w:p>
    <w:p>
      <w:pPr>
        <w:spacing w:line="480" w:lineRule="auto"/>
        <w:ind w:firstLine="2811" w:firstLineChars="1000"/>
        <w:jc w:val="both"/>
        <w:rPr>
          <w:rFonts w:hint="eastAsia" w:ascii="Times New Roman" w:hAnsi="Times New Roman" w:eastAsia="仿宋" w:cs="Times New Roman"/>
          <w:b/>
          <w:sz w:val="28"/>
          <w:szCs w:val="28"/>
          <w:lang w:val="en-US" w:eastAsia="zh-CN" w:bidi="ar"/>
        </w:rPr>
      </w:pPr>
      <w:r>
        <w:rPr>
          <w:rFonts w:hint="eastAsia" w:ascii="Times New Roman" w:hAnsi="Times New Roman" w:eastAsia="仿宋" w:cs="Times New Roman"/>
          <w:b/>
          <w:sz w:val="28"/>
          <w:szCs w:val="28"/>
          <w:lang w:bidi="ar"/>
        </w:rPr>
        <w:t>嵩明县</w:t>
      </w:r>
      <w:r>
        <w:rPr>
          <w:rFonts w:hint="eastAsia" w:ascii="Times New Roman" w:hAnsi="Times New Roman" w:eastAsia="仿宋" w:cs="Times New Roman"/>
          <w:b/>
          <w:sz w:val="28"/>
          <w:szCs w:val="28"/>
          <w:lang w:val="en-US" w:eastAsia="zh-CN" w:bidi="ar"/>
        </w:rPr>
        <w:t>自然资源局</w:t>
      </w:r>
    </w:p>
    <w:p>
      <w:pPr>
        <w:spacing w:line="480" w:lineRule="auto"/>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昆明市土地开发整理中心</w:t>
      </w:r>
    </w:p>
    <w:p>
      <w:pPr>
        <w:spacing w:line="480" w:lineRule="auto"/>
        <w:jc w:val="center"/>
        <w:rPr>
          <w:rFonts w:ascii="Times New Roman" w:hAnsi="Times New Roman" w:eastAsia="仿宋" w:cs="Times New Roman"/>
          <w:b/>
          <w:sz w:val="28"/>
          <w:szCs w:val="28"/>
          <w:lang w:bidi="ar"/>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415" w:charSpace="0"/>
        </w:sectPr>
      </w:pPr>
      <w:r>
        <w:rPr>
          <w:rFonts w:hint="eastAsia" w:ascii="Times New Roman" w:hAnsi="Times New Roman" w:eastAsia="仿宋" w:cs="Times New Roman"/>
          <w:b/>
          <w:sz w:val="28"/>
          <w:szCs w:val="28"/>
          <w:lang w:bidi="ar"/>
        </w:rPr>
        <w:t>二〇二一年</w:t>
      </w:r>
      <w:r>
        <w:rPr>
          <w:rFonts w:hint="eastAsia" w:ascii="Times New Roman" w:hAnsi="Times New Roman" w:eastAsia="仿宋" w:cs="Times New Roman"/>
          <w:b/>
          <w:sz w:val="28"/>
          <w:szCs w:val="28"/>
          <w:lang w:val="en-US" w:eastAsia="zh-CN" w:bidi="ar"/>
        </w:rPr>
        <w:t>十一</w:t>
      </w:r>
      <w:r>
        <w:rPr>
          <w:rFonts w:hint="eastAsia" w:ascii="Times New Roman" w:hAnsi="Times New Roman" w:eastAsia="仿宋" w:cs="Times New Roman"/>
          <w:b/>
          <w:sz w:val="28"/>
          <w:szCs w:val="28"/>
          <w:lang w:bidi="ar"/>
        </w:rPr>
        <w:t>月</w:t>
      </w:r>
    </w:p>
    <w:sdt>
      <w:sdtPr>
        <w:rPr>
          <w:rFonts w:ascii="宋体" w:hAnsi="宋体" w:eastAsia="宋体" w:cstheme="minorBidi"/>
          <w:kern w:val="2"/>
          <w:sz w:val="21"/>
          <w:szCs w:val="24"/>
          <w:lang w:val="en-US" w:eastAsia="zh-CN" w:bidi="ar-SA"/>
        </w:rPr>
        <w:id w:val="147469812"/>
        <w:docPartObj>
          <w:docPartGallery w:val="Table of Contents"/>
          <w:docPartUnique/>
        </w:docPartObj>
      </w:sdtPr>
      <w:sdtEndPr>
        <w:rPr>
          <w:rFonts w:ascii="Times New Roman" w:hAnsi="Times New Roman" w:eastAsia="宋体" w:cs="Times New Roman"/>
          <w:lang w:val="en-US" w:eastAsia="zh-CN" w:bidi="ar-SA"/>
        </w:rPr>
      </w:sdtEndPr>
      <w:sdtContent>
        <w:p>
          <w:pPr>
            <w:spacing w:before="0" w:beforeLines="0" w:after="0" w:afterLines="0" w:line="240" w:lineRule="auto"/>
            <w:ind w:left="0" w:leftChars="0" w:right="0" w:rightChars="0" w:firstLine="0" w:firstLineChars="0"/>
            <w:jc w:val="center"/>
          </w:pPr>
          <w:bookmarkStart w:id="0" w:name="_Toc29363_WPSOffice_Type2"/>
          <w:r>
            <w:rPr>
              <w:rFonts w:ascii="宋体" w:hAnsi="宋体" w:eastAsia="宋体"/>
              <w:sz w:val="21"/>
            </w:rPr>
            <w:t>目录</w:t>
          </w:r>
        </w:p>
        <w:p>
          <w:pPr>
            <w:pStyle w:val="38"/>
            <w:tabs>
              <w:tab w:val="right" w:leader="dot" w:pos="8306"/>
            </w:tabs>
          </w:pPr>
          <w:r>
            <w:rPr>
              <w:b/>
              <w:bCs/>
            </w:rPr>
            <w:fldChar w:fldCharType="begin"/>
          </w:r>
          <w:r>
            <w:instrText xml:space="preserve"> HYPERLINK \l _Toc26261_WPSOffice_Level1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9812"/>
              <w:placeholder>
                <w:docPart w:val="{34584246-fae4-4401-8823-af4854ad6d9b}"/>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宋体" w:cs="Times New Roman"/>
                  <w:b/>
                  <w:bCs/>
                </w:rPr>
                <w:t>第一章 概述</w:t>
              </w:r>
            </w:sdtContent>
          </w:sdt>
          <w:r>
            <w:rPr>
              <w:b/>
              <w:bCs/>
            </w:rPr>
            <w:tab/>
          </w:r>
          <w:bookmarkStart w:id="1" w:name="_Toc26261_WPSOffice_Level1Page"/>
          <w:r>
            <w:rPr>
              <w:b/>
              <w:bCs/>
            </w:rPr>
            <w:t>2</w:t>
          </w:r>
          <w:bookmarkEnd w:id="1"/>
          <w:r>
            <w:rPr>
              <w:b/>
              <w:bCs/>
            </w:rPr>
            <w:fldChar w:fldCharType="end"/>
          </w:r>
        </w:p>
        <w:p>
          <w:pPr>
            <w:pStyle w:val="39"/>
            <w:tabs>
              <w:tab w:val="right" w:leader="dot" w:pos="8306"/>
            </w:tabs>
          </w:pPr>
          <w:r>
            <w:fldChar w:fldCharType="begin"/>
          </w:r>
          <w:r>
            <w:instrText xml:space="preserve"> HYPERLINK \l _Toc29363_WPSOffice_Level2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cf07420d-faa4-4d1f-9e16-253f53127afe}"/>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第一节 制定地上附着物和青苗补偿标准的背景</w:t>
              </w:r>
            </w:sdtContent>
          </w:sdt>
          <w:r>
            <w:tab/>
          </w:r>
          <w:bookmarkStart w:id="2" w:name="_Toc29363_WPSOffice_Level2Page"/>
          <w:r>
            <w:t>2</w:t>
          </w:r>
          <w:bookmarkEnd w:id="2"/>
          <w:r>
            <w:fldChar w:fldCharType="end"/>
          </w:r>
        </w:p>
        <w:p>
          <w:pPr>
            <w:pStyle w:val="39"/>
            <w:tabs>
              <w:tab w:val="right" w:leader="dot" w:pos="8306"/>
            </w:tabs>
          </w:pPr>
          <w:r>
            <w:fldChar w:fldCharType="begin"/>
          </w:r>
          <w:r>
            <w:instrText xml:space="preserve"> HYPERLINK \l _Toc8500_WPSOffice_Level2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1e2ee818-f3c5-42a4-8bf8-c291a7f187d4}"/>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第二节 制定地上附着物和青苗补偿标准的目的和意义</w:t>
              </w:r>
            </w:sdtContent>
          </w:sdt>
          <w:r>
            <w:tab/>
          </w:r>
          <w:bookmarkStart w:id="3" w:name="_Toc8500_WPSOffice_Level2Page"/>
          <w:r>
            <w:t>3</w:t>
          </w:r>
          <w:bookmarkEnd w:id="3"/>
          <w:r>
            <w:fldChar w:fldCharType="end"/>
          </w:r>
        </w:p>
        <w:p>
          <w:pPr>
            <w:pStyle w:val="39"/>
            <w:tabs>
              <w:tab w:val="right" w:leader="dot" w:pos="8306"/>
            </w:tabs>
          </w:pPr>
          <w:r>
            <w:fldChar w:fldCharType="begin"/>
          </w:r>
          <w:r>
            <w:instrText xml:space="preserve"> HYPERLINK \l _Toc28537_WPSOffice_Level2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fe2575fe-06f6-4fec-8e0d-b8cc9a2bb897}"/>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第三节 内涵界定</w:t>
              </w:r>
            </w:sdtContent>
          </w:sdt>
          <w:r>
            <w:tab/>
          </w:r>
          <w:bookmarkStart w:id="4" w:name="_Toc28537_WPSOffice_Level2Page"/>
          <w:r>
            <w:t>3</w:t>
          </w:r>
          <w:bookmarkEnd w:id="4"/>
          <w:r>
            <w:fldChar w:fldCharType="end"/>
          </w:r>
        </w:p>
        <w:p>
          <w:pPr>
            <w:pStyle w:val="38"/>
            <w:tabs>
              <w:tab w:val="right" w:leader="dot" w:pos="8306"/>
            </w:tabs>
          </w:pPr>
          <w:r>
            <w:rPr>
              <w:b/>
              <w:bCs/>
            </w:rPr>
            <w:fldChar w:fldCharType="begin"/>
          </w:r>
          <w:r>
            <w:instrText xml:space="preserve"> HYPERLINK \l _Toc29363_WPSOffice_Level1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9812"/>
              <w:placeholder>
                <w:docPart w:val="{67b1519a-f1b0-4590-a819-82f34d457af5}"/>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宋体" w:cs="Times New Roman"/>
                  <w:b/>
                  <w:bCs/>
                </w:rPr>
                <w:t>第二章 测算过程</w:t>
              </w:r>
            </w:sdtContent>
          </w:sdt>
          <w:r>
            <w:rPr>
              <w:b/>
              <w:bCs/>
            </w:rPr>
            <w:tab/>
          </w:r>
          <w:bookmarkStart w:id="5" w:name="_Toc29363_WPSOffice_Level1Page"/>
          <w:r>
            <w:rPr>
              <w:b/>
              <w:bCs/>
            </w:rPr>
            <w:t>5</w:t>
          </w:r>
          <w:bookmarkEnd w:id="5"/>
          <w:r>
            <w:rPr>
              <w:b/>
              <w:bCs/>
            </w:rPr>
            <w:fldChar w:fldCharType="end"/>
          </w:r>
        </w:p>
        <w:p>
          <w:pPr>
            <w:pStyle w:val="39"/>
            <w:tabs>
              <w:tab w:val="right" w:leader="dot" w:pos="8306"/>
            </w:tabs>
          </w:pPr>
          <w:r>
            <w:fldChar w:fldCharType="begin"/>
          </w:r>
          <w:r>
            <w:instrText xml:space="preserve"> HYPERLINK \l _Toc8641_WPSOffice_Level2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d48f61e0-9b6d-4547-9663-bec30f1b42d5}"/>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第一节 测算技术路线</w:t>
              </w:r>
            </w:sdtContent>
          </w:sdt>
          <w:r>
            <w:tab/>
          </w:r>
          <w:bookmarkStart w:id="6" w:name="_Toc8641_WPSOffice_Level2Page"/>
          <w:r>
            <w:t>5</w:t>
          </w:r>
          <w:bookmarkEnd w:id="6"/>
          <w:r>
            <w:fldChar w:fldCharType="end"/>
          </w:r>
        </w:p>
        <w:p>
          <w:pPr>
            <w:pStyle w:val="39"/>
            <w:tabs>
              <w:tab w:val="right" w:leader="dot" w:pos="8306"/>
            </w:tabs>
          </w:pPr>
          <w:r>
            <w:fldChar w:fldCharType="begin"/>
          </w:r>
          <w:r>
            <w:instrText xml:space="preserve"> HYPERLINK \l _Toc29777_WPSOffice_Level2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cf89fd2e-1c8d-4fa9-bca1-d7f516a0cdf7}"/>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第二节 建（构）筑物补偿标准测算</w:t>
              </w:r>
            </w:sdtContent>
          </w:sdt>
          <w:r>
            <w:tab/>
          </w:r>
          <w:bookmarkStart w:id="7" w:name="_Toc29777_WPSOffice_Level2Page"/>
          <w:r>
            <w:t>6</w:t>
          </w:r>
          <w:bookmarkEnd w:id="7"/>
          <w:r>
            <w:fldChar w:fldCharType="end"/>
          </w:r>
        </w:p>
        <w:p>
          <w:pPr>
            <w:pStyle w:val="39"/>
            <w:tabs>
              <w:tab w:val="right" w:leader="dot" w:pos="8306"/>
            </w:tabs>
          </w:pPr>
          <w:r>
            <w:fldChar w:fldCharType="begin"/>
          </w:r>
          <w:r>
            <w:instrText xml:space="preserve"> HYPERLINK \l _Toc15963_WPSOffice_Level2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a05ef490-b91e-4dc2-9750-b8be0a65faba}"/>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第三节 青苗补偿标准测算</w:t>
              </w:r>
            </w:sdtContent>
          </w:sdt>
          <w:r>
            <w:tab/>
          </w:r>
          <w:bookmarkStart w:id="8" w:name="_Toc15963_WPSOffice_Level2Page"/>
          <w:r>
            <w:t>8</w:t>
          </w:r>
          <w:bookmarkEnd w:id="8"/>
          <w:r>
            <w:fldChar w:fldCharType="end"/>
          </w:r>
        </w:p>
        <w:p>
          <w:pPr>
            <w:pStyle w:val="39"/>
            <w:tabs>
              <w:tab w:val="right" w:leader="dot" w:pos="8306"/>
            </w:tabs>
          </w:pPr>
          <w:r>
            <w:fldChar w:fldCharType="begin"/>
          </w:r>
          <w:r>
            <w:instrText xml:space="preserve"> HYPERLINK \l _Toc24891_WPSOffice_Level2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132c47bb-9b43-400a-a4e6-a3d5648954f5}"/>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第四节 初步测算结果验证</w:t>
              </w:r>
            </w:sdtContent>
          </w:sdt>
          <w:r>
            <w:tab/>
          </w:r>
          <w:bookmarkStart w:id="9" w:name="_Toc24891_WPSOffice_Level2Page"/>
          <w:r>
            <w:t>10</w:t>
          </w:r>
          <w:bookmarkEnd w:id="9"/>
          <w:r>
            <w:fldChar w:fldCharType="end"/>
          </w:r>
        </w:p>
        <w:p>
          <w:pPr>
            <w:pStyle w:val="39"/>
            <w:tabs>
              <w:tab w:val="right" w:leader="dot" w:pos="8306"/>
            </w:tabs>
          </w:pPr>
          <w:r>
            <w:fldChar w:fldCharType="begin"/>
          </w:r>
          <w:r>
            <w:instrText xml:space="preserve"> HYPERLINK \l _Toc25365_WPSOffice_Level2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97967078-d2c2-44a6-9d53-620fc8d33059}"/>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第五节 嵩明县地上附着物和青苗补偿标准的初步成果</w:t>
              </w:r>
            </w:sdtContent>
          </w:sdt>
          <w:r>
            <w:tab/>
          </w:r>
          <w:bookmarkStart w:id="10" w:name="_Toc25365_WPSOffice_Level2Page"/>
          <w:r>
            <w:t>10</w:t>
          </w:r>
          <w:bookmarkEnd w:id="10"/>
          <w:r>
            <w:fldChar w:fldCharType="end"/>
          </w:r>
        </w:p>
        <w:p>
          <w:pPr>
            <w:pStyle w:val="38"/>
            <w:tabs>
              <w:tab w:val="right" w:leader="dot" w:pos="8306"/>
            </w:tabs>
          </w:pPr>
          <w:r>
            <w:rPr>
              <w:b/>
              <w:bCs/>
            </w:rPr>
            <w:fldChar w:fldCharType="begin"/>
          </w:r>
          <w:r>
            <w:instrText xml:space="preserve"> HYPERLINK \l _Toc8500_WPSOffice_Level1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9812"/>
              <w:placeholder>
                <w:docPart w:val="{4d3e9ab6-9bcf-415f-8c75-13e5dc26f948}"/>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宋体" w:cs="Times New Roman"/>
                  <w:b/>
                  <w:bCs/>
                </w:rPr>
                <w:t>第三章 测算结果分析</w:t>
              </w:r>
            </w:sdtContent>
          </w:sdt>
          <w:r>
            <w:rPr>
              <w:b/>
              <w:bCs/>
            </w:rPr>
            <w:tab/>
          </w:r>
          <w:bookmarkStart w:id="11" w:name="_Toc8500_WPSOffice_Level1Page"/>
          <w:r>
            <w:rPr>
              <w:b/>
              <w:bCs/>
            </w:rPr>
            <w:t>16</w:t>
          </w:r>
          <w:bookmarkEnd w:id="11"/>
          <w:r>
            <w:rPr>
              <w:b/>
              <w:bCs/>
            </w:rPr>
            <w:fldChar w:fldCharType="end"/>
          </w:r>
        </w:p>
        <w:p>
          <w:pPr>
            <w:pStyle w:val="39"/>
            <w:tabs>
              <w:tab w:val="right" w:leader="dot" w:pos="8306"/>
            </w:tabs>
          </w:pPr>
          <w:r>
            <w:fldChar w:fldCharType="begin"/>
          </w:r>
          <w:r>
            <w:instrText xml:space="preserve"> HYPERLINK \l _Toc5577_WPSOffice_Level2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eda9238d-6c23-48f3-adee-52b6a86e6d2e}"/>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第一节 与原补偿标准对比</w:t>
              </w:r>
            </w:sdtContent>
          </w:sdt>
          <w:r>
            <w:tab/>
          </w:r>
          <w:bookmarkStart w:id="12" w:name="_Toc5577_WPSOffice_Level2Page"/>
          <w:r>
            <w:t>16</w:t>
          </w:r>
          <w:bookmarkEnd w:id="12"/>
          <w:r>
            <w:fldChar w:fldCharType="end"/>
          </w:r>
        </w:p>
        <w:p>
          <w:pPr>
            <w:pStyle w:val="39"/>
            <w:tabs>
              <w:tab w:val="right" w:leader="dot" w:pos="8306"/>
            </w:tabs>
          </w:pPr>
          <w:r>
            <w:fldChar w:fldCharType="begin"/>
          </w:r>
          <w:r>
            <w:instrText xml:space="preserve"> HYPERLINK \l _Toc11736_WPSOffice_Level2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59ce5c2a-0aef-4fbd-8bb7-e0af84dc27e2}"/>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 xml:space="preserve">第二节 </w:t>
              </w:r>
              <w:r>
                <w:rPr>
                  <w:rFonts w:ascii="仿宋_GB2312" w:hAnsi="仿宋_GB2312" w:eastAsia="仿宋_GB2312" w:cs="仿宋_GB2312"/>
                </w:rPr>
                <w:t>新旧标准的衔接性分析</w:t>
              </w:r>
            </w:sdtContent>
          </w:sdt>
          <w:r>
            <w:tab/>
          </w:r>
          <w:bookmarkStart w:id="13" w:name="_Toc11736_WPSOffice_Level2Page"/>
          <w:r>
            <w:t>17</w:t>
          </w:r>
          <w:bookmarkEnd w:id="13"/>
          <w:r>
            <w:fldChar w:fldCharType="end"/>
          </w:r>
        </w:p>
        <w:p>
          <w:pPr>
            <w:pStyle w:val="38"/>
            <w:tabs>
              <w:tab w:val="right" w:leader="dot" w:pos="8306"/>
            </w:tabs>
          </w:pPr>
          <w:r>
            <w:rPr>
              <w:b/>
              <w:bCs/>
            </w:rPr>
            <w:fldChar w:fldCharType="begin"/>
          </w:r>
          <w:r>
            <w:instrText xml:space="preserve"> HYPERLINK \l _Toc28537_WPSOffice_Level1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47469812"/>
              <w:placeholder>
                <w:docPart w:val="{fea14813-2c37-47f5-9b3c-52d9a7c461a2}"/>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Times New Roman" w:hAnsi="Times New Roman" w:eastAsia="宋体" w:cs="Times New Roman"/>
                  <w:b/>
                  <w:bCs/>
                </w:rPr>
                <w:t>第四章 标准应用及建议</w:t>
              </w:r>
            </w:sdtContent>
          </w:sdt>
          <w:r>
            <w:rPr>
              <w:b/>
              <w:bCs/>
            </w:rPr>
            <w:tab/>
          </w:r>
          <w:bookmarkStart w:id="14" w:name="_Toc28537_WPSOffice_Level1Page"/>
          <w:r>
            <w:rPr>
              <w:b/>
              <w:bCs/>
            </w:rPr>
            <w:t>19</w:t>
          </w:r>
          <w:bookmarkEnd w:id="14"/>
          <w:r>
            <w:rPr>
              <w:b/>
              <w:bCs/>
            </w:rPr>
            <w:fldChar w:fldCharType="end"/>
          </w:r>
        </w:p>
        <w:p>
          <w:pPr>
            <w:pStyle w:val="39"/>
            <w:tabs>
              <w:tab w:val="right" w:leader="dot" w:pos="8306"/>
            </w:tabs>
          </w:pPr>
          <w:r>
            <w:fldChar w:fldCharType="begin"/>
          </w:r>
          <w:r>
            <w:instrText xml:space="preserve"> HYPERLINK \l _Toc2648_WPSOffice_Level2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4026a724-77a2-426f-81e3-b36b931bec9b}"/>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第一节 适用对象和范围</w:t>
              </w:r>
            </w:sdtContent>
          </w:sdt>
          <w:r>
            <w:tab/>
          </w:r>
          <w:bookmarkStart w:id="15" w:name="_Toc2648_WPSOffice_Level2Page"/>
          <w:r>
            <w:t>19</w:t>
          </w:r>
          <w:bookmarkEnd w:id="15"/>
          <w:r>
            <w:fldChar w:fldCharType="end"/>
          </w:r>
        </w:p>
        <w:p>
          <w:pPr>
            <w:pStyle w:val="39"/>
            <w:tabs>
              <w:tab w:val="right" w:leader="dot" w:pos="8306"/>
            </w:tabs>
          </w:pPr>
          <w:r>
            <w:fldChar w:fldCharType="begin"/>
          </w:r>
          <w:r>
            <w:instrText xml:space="preserve"> HYPERLINK \l _Toc10048_WPSOffice_Level2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4956cd3d-d7ba-476c-a6d2-2c5ad3ec8ed7}"/>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第二节 测算结果对策建议</w:t>
              </w:r>
            </w:sdtContent>
          </w:sdt>
          <w:r>
            <w:tab/>
          </w:r>
          <w:bookmarkStart w:id="16" w:name="_Toc10048_WPSOffice_Level2Page"/>
          <w:r>
            <w:t>20</w:t>
          </w:r>
          <w:bookmarkEnd w:id="16"/>
          <w:r>
            <w:fldChar w:fldCharType="end"/>
          </w:r>
        </w:p>
        <w:p>
          <w:pPr>
            <w:pStyle w:val="39"/>
            <w:tabs>
              <w:tab w:val="right" w:leader="dot" w:pos="8306"/>
            </w:tabs>
          </w:pPr>
          <w:r>
            <w:fldChar w:fldCharType="begin"/>
          </w:r>
          <w:r>
            <w:instrText xml:space="preserve"> HYPERLINK \l _Toc6143_WPSOffice_Level2 </w:instrText>
          </w:r>
          <w:r>
            <w:fldChar w:fldCharType="separate"/>
          </w:r>
          <w:sdt>
            <w:sdtPr>
              <w:rPr>
                <w:rFonts w:asciiTheme="minorHAnsi" w:hAnsiTheme="minorHAnsi" w:eastAsiaTheme="minorEastAsia" w:cstheme="minorBidi"/>
                <w:kern w:val="2"/>
                <w:sz w:val="21"/>
                <w:szCs w:val="24"/>
                <w:lang w:val="en-US" w:eastAsia="zh-CN" w:bidi="ar-SA"/>
              </w:rPr>
              <w:id w:val="147469812"/>
              <w:placeholder>
                <w:docPart w:val="{bf257795-f93c-42e7-99bf-c0682c2033d5}"/>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第三节 标准实施说明</w:t>
              </w:r>
            </w:sdtContent>
          </w:sdt>
          <w:r>
            <w:tab/>
          </w:r>
          <w:bookmarkStart w:id="17" w:name="_Toc6143_WPSOffice_Level2Page"/>
          <w:r>
            <w:t>21</w:t>
          </w:r>
          <w:bookmarkEnd w:id="17"/>
          <w:r>
            <w:fldChar w:fldCharType="end"/>
          </w:r>
          <w:bookmarkEnd w:id="0"/>
        </w:p>
      </w:sdtContent>
    </w:sdt>
    <w:p>
      <w:pPr>
        <w:jc w:val="center"/>
        <w:rPr>
          <w:rFonts w:hint="eastAsia" w:ascii="仿宋_GB2312" w:hAnsi="仿宋_GB2312" w:eastAsia="仿宋_GB2312" w:cs="仿宋_GB2312"/>
          <w:color w:val="000000"/>
          <w:kern w:val="0"/>
          <w:sz w:val="28"/>
          <w:szCs w:val="28"/>
          <w:lang w:bidi="ar"/>
        </w:rPr>
        <w:sectPr>
          <w:footerReference r:id="rId9" w:type="default"/>
          <w:pgSz w:w="11906" w:h="16838"/>
          <w:pgMar w:top="1440" w:right="1800" w:bottom="1440" w:left="1800" w:header="851" w:footer="992" w:gutter="0"/>
          <w:pgNumType w:fmt="upperRoman" w:start="1"/>
          <w:cols w:space="720" w:num="1"/>
          <w:docGrid w:type="lines" w:linePitch="415" w:charSpace="0"/>
        </w:sectPr>
      </w:pPr>
    </w:p>
    <w:p>
      <w:pPr>
        <w:pStyle w:val="3"/>
        <w:jc w:val="center"/>
        <w:rPr>
          <w:rFonts w:hint="eastAsia" w:ascii="仿宋_GB2312" w:hAnsi="仿宋_GB2312" w:eastAsia="宋体" w:cs="仿宋_GB2312"/>
          <w:sz w:val="36"/>
          <w:szCs w:val="36"/>
          <w:lang w:val="en-US" w:eastAsia="zh-CN"/>
        </w:rPr>
      </w:pPr>
      <w:bookmarkStart w:id="18" w:name="_Toc26261_WPSOffice_Level1"/>
      <w:r>
        <w:rPr>
          <w:rFonts w:hint="eastAsia" w:ascii="Times New Roman" w:hAnsi="Times New Roman" w:eastAsia="宋体" w:cs="Times New Roman"/>
          <w:szCs w:val="21"/>
        </w:rPr>
        <w:t>第</w:t>
      </w:r>
      <w:r>
        <w:rPr>
          <w:rFonts w:hint="eastAsia" w:ascii="Times New Roman" w:hAnsi="Times New Roman" w:eastAsia="宋体" w:cs="Times New Roman"/>
          <w:szCs w:val="21"/>
          <w:lang w:val="en-US" w:eastAsia="zh-CN"/>
        </w:rPr>
        <w:t>一</w:t>
      </w:r>
      <w:r>
        <w:rPr>
          <w:rFonts w:hint="eastAsia" w:ascii="Times New Roman" w:hAnsi="Times New Roman" w:eastAsia="宋体" w:cs="Times New Roman"/>
          <w:szCs w:val="21"/>
        </w:rPr>
        <w:t xml:space="preserve">章 </w:t>
      </w:r>
      <w:r>
        <w:rPr>
          <w:rFonts w:hint="eastAsia" w:ascii="Times New Roman" w:hAnsi="Times New Roman" w:eastAsia="宋体" w:cs="Times New Roman"/>
          <w:szCs w:val="21"/>
          <w:lang w:val="en-US" w:eastAsia="zh-CN"/>
        </w:rPr>
        <w:t>概述</w:t>
      </w:r>
      <w:bookmarkEnd w:id="18"/>
    </w:p>
    <w:p>
      <w:pPr>
        <w:pStyle w:val="4"/>
        <w:spacing w:line="360" w:lineRule="auto"/>
        <w:jc w:val="center"/>
        <w:rPr>
          <w:rFonts w:hint="eastAsia" w:ascii="仿宋_GB2312" w:hAnsi="仿宋_GB2312" w:eastAsia="仿宋_GB2312" w:cs="仿宋_GB2312"/>
        </w:rPr>
      </w:pPr>
      <w:bookmarkStart w:id="19" w:name="_Toc29363_WPSOffice_Level2"/>
      <w:r>
        <w:rPr>
          <w:rFonts w:hint="eastAsia" w:ascii="仿宋_GB2312" w:hAnsi="仿宋_GB2312" w:eastAsia="仿宋_GB2312" w:cs="仿宋_GB2312"/>
          <w:lang w:val="en-US" w:eastAsia="zh-CN"/>
        </w:rPr>
        <w:t xml:space="preserve">第一节 </w:t>
      </w:r>
      <w:r>
        <w:rPr>
          <w:rFonts w:hint="eastAsia" w:ascii="仿宋_GB2312" w:hAnsi="仿宋_GB2312" w:eastAsia="仿宋_GB2312" w:cs="仿宋_GB2312"/>
        </w:rPr>
        <w:t>制定地上附着物和青苗补偿标准的背景</w:t>
      </w:r>
      <w:bookmarkEnd w:id="19"/>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2005年我省启动首轮征地补偿标准制定工作，由省人民政府批准后于2009年公布实施。由于在我省首轮征地补偿标准中已测算出统一年产值标准，各地均按照统一年产值除以耕种季数的方式确定青苗补偿费，而地上附着物补偿标准则由各县（市、区）单独规定。</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2012年初启动了第二轮“征地补偿标准”修订工作，并于2014年6月1日起公布实施（昆明市为2015年12月公布实施）。在标准内涵不变的前提下，各地同样根据标准中统一年产值确定其青苗补偿费用，地上附着物补偿标准部分县市进行了适当调整。</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1月1日施行的《土地管理法》明确规定“征收农用地以外的其他土地、地上附着物和青苗等的补偿标准，由省、自治区、直辖市制定”。我省以2020年11月7日，公布实施了云南省征收农用地区片综合地价成果。</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云南省自然资源厅关于开展地上附着物和青苗补偿标准制定工作的通知》（云自然资审批〔2021〕370号）、《云南地上附着物及青苗补偿标准制定工作方案》、《云南省地上附着物和青苗补偿标准制定技术指南（试行稿）》、《昆明市自然资源和规划局关于印发[昆明市地上附着物和青苗补偿标准制定工作方案]的通知》等相关要求，为进一步加强和改进征地管理，维护被征地农民和农村集体经济组织合法权益，做好征收农用地片区综合地价标准配套设施，实现地上附着物和青苗补偿标准规范统一，</w:t>
      </w:r>
      <w:r>
        <w:rPr>
          <w:rFonts w:ascii="Times New Roman" w:hAnsi="Times New Roman" w:eastAsia="仿宋_GB2312" w:cs="Times New Roman"/>
          <w:color w:val="131316"/>
          <w:sz w:val="28"/>
          <w:szCs w:val="28"/>
        </w:rPr>
        <w:t>在云南省自然资源厅的统一部署和市自然资源和规划局的指导下，报经县委、县政府同意，以2020年1月1日为基准时点，全面启动</w:t>
      </w:r>
      <w:r>
        <w:rPr>
          <w:rFonts w:hint="eastAsia" w:ascii="Times New Roman" w:hAnsi="Times New Roman" w:eastAsia="仿宋_GB2312" w:cs="Times New Roman"/>
          <w:color w:val="131316"/>
          <w:sz w:val="28"/>
          <w:szCs w:val="28"/>
        </w:rPr>
        <w:t>嵩明</w:t>
      </w:r>
      <w:r>
        <w:rPr>
          <w:rFonts w:ascii="Times New Roman" w:hAnsi="Times New Roman" w:eastAsia="仿宋_GB2312" w:cs="Times New Roman"/>
          <w:color w:val="131316"/>
          <w:sz w:val="28"/>
          <w:szCs w:val="28"/>
        </w:rPr>
        <w:t>县地上附着物和青苗补偿标准测算工作。</w:t>
      </w:r>
    </w:p>
    <w:p>
      <w:pPr>
        <w:pStyle w:val="4"/>
        <w:spacing w:line="360" w:lineRule="auto"/>
        <w:jc w:val="center"/>
        <w:rPr>
          <w:rFonts w:hint="eastAsia" w:ascii="仿宋_GB2312" w:hAnsi="仿宋_GB2312" w:eastAsia="仿宋_GB2312" w:cs="仿宋_GB2312"/>
          <w:lang w:val="en-US" w:eastAsia="zh-CN"/>
        </w:rPr>
      </w:pPr>
      <w:bookmarkStart w:id="20" w:name="_Toc8500_WPSOffice_Level2"/>
      <w:r>
        <w:rPr>
          <w:rFonts w:hint="eastAsia" w:ascii="仿宋_GB2312" w:hAnsi="仿宋_GB2312" w:eastAsia="仿宋_GB2312" w:cs="仿宋_GB2312"/>
          <w:lang w:val="en-US" w:eastAsia="zh-CN"/>
        </w:rPr>
        <w:t>第二节 制定地上附着物和青苗补偿标准的目的和意义</w:t>
      </w:r>
      <w:bookmarkEnd w:id="20"/>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通过开展地上附着物和青苗补偿标准实施情况调查，在总结经验、分析问题的基础上，全面制定实施全省各地地上附着物和青苗补偿标准，为全省征地补偿提供依据。</w:t>
      </w:r>
    </w:p>
    <w:p>
      <w:pPr>
        <w:pStyle w:val="2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地上附着物和青苗补偿涉及类型较多、测算方法不一、各补偿类型市场价值波动不一，为保证全省标准统一规范，根据以往操作经验，地上附着物和青苗补偿标准可作为执行价也可作为保护价。</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地上附着物和青苗补偿标准的制定，在进一步完善我省征地补偿机制，提高征地管理工作透明度、保障被征地农民合法权益，促进全省经济社会高质量发展和维护社会稳定方面具有重要意义。</w:t>
      </w:r>
    </w:p>
    <w:p>
      <w:pPr>
        <w:pStyle w:val="24"/>
      </w:pPr>
    </w:p>
    <w:p>
      <w:pPr>
        <w:pStyle w:val="4"/>
        <w:spacing w:line="360" w:lineRule="auto"/>
        <w:jc w:val="center"/>
        <w:rPr>
          <w:rFonts w:ascii="仿宋_GB2312" w:hAnsi="仿宋_GB2312" w:eastAsia="仿宋_GB2312" w:cs="仿宋_GB2312"/>
        </w:rPr>
      </w:pPr>
      <w:bookmarkStart w:id="21" w:name="_Toc23758_WPSOffice_Level2"/>
      <w:bookmarkStart w:id="22" w:name="_Toc12597"/>
      <w:bookmarkStart w:id="23" w:name="_Toc9482_WPSOffice_Level2"/>
      <w:bookmarkStart w:id="24" w:name="_Toc28604_WPSOffice_Level2"/>
      <w:bookmarkStart w:id="25" w:name="_Toc4466_WPSOffice_Level2"/>
      <w:bookmarkStart w:id="26" w:name="_Toc25342"/>
      <w:bookmarkStart w:id="27" w:name="_Toc2309_WPSOffice_Level2"/>
      <w:bookmarkStart w:id="28" w:name="_Toc18774_WPSOffice_Level2"/>
      <w:bookmarkStart w:id="29" w:name="_Toc28537_WPSOffice_Level2"/>
      <w:r>
        <w:rPr>
          <w:rFonts w:hint="eastAsia" w:ascii="仿宋_GB2312" w:hAnsi="仿宋_GB2312" w:eastAsia="仿宋_GB2312" w:cs="仿宋_GB2312"/>
        </w:rPr>
        <w:t>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节 内涵界定</w:t>
      </w:r>
      <w:bookmarkEnd w:id="21"/>
      <w:bookmarkEnd w:id="22"/>
      <w:bookmarkEnd w:id="23"/>
      <w:bookmarkEnd w:id="24"/>
      <w:bookmarkEnd w:id="25"/>
      <w:bookmarkEnd w:id="26"/>
      <w:bookmarkEnd w:id="27"/>
      <w:bookmarkEnd w:id="28"/>
      <w:bookmarkEnd w:id="29"/>
    </w:p>
    <w:p>
      <w:pPr>
        <w:pStyle w:val="5"/>
        <w:numPr>
          <w:ilvl w:val="2"/>
          <w:numId w:val="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一、概念内涵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pacing w:val="-7"/>
          <w:sz w:val="28"/>
          <w:szCs w:val="28"/>
        </w:rPr>
        <w:t>地上附着物</w:t>
      </w:r>
    </w:p>
    <w:p>
      <w:pPr>
        <w:spacing w:line="360" w:lineRule="auto"/>
        <w:ind w:firstLine="532" w:firstLineChars="200"/>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地上附着物是指在土地上建造的一切建筑物、构筑物及地上定着物的总称。</w:t>
      </w:r>
    </w:p>
    <w:p>
      <w:pPr>
        <w:spacing w:line="360" w:lineRule="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2、青苗</w:t>
      </w:r>
    </w:p>
    <w:p>
      <w:pPr>
        <w:pStyle w:val="8"/>
        <w:kinsoku w:val="0"/>
        <w:overflowPunct w:val="0"/>
        <w:spacing w:before="71" w:line="360" w:lineRule="auto"/>
        <w:ind w:left="0" w:right="443" w:firstLine="532" w:firstLineChars="200"/>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青苗是指处于生命、发育、生长的最初或相对较早阶段的没有成熟的农作物，主要包括粮食作物、经济作物和蔬菜瓜果类等作物。</w:t>
      </w:r>
    </w:p>
    <w:p>
      <w:pPr>
        <w:pStyle w:val="8"/>
        <w:kinsoku w:val="0"/>
        <w:overflowPunct w:val="0"/>
        <w:spacing w:before="72" w:line="360" w:lineRule="auto"/>
        <w:ind w:left="0" w:right="443"/>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3、地上附着物补偿标准</w:t>
      </w:r>
    </w:p>
    <w:p>
      <w:pPr>
        <w:pStyle w:val="8"/>
        <w:kinsoku w:val="0"/>
        <w:overflowPunct w:val="0"/>
        <w:spacing w:before="72" w:line="360" w:lineRule="auto"/>
        <w:ind w:left="0" w:right="443" w:firstLine="532" w:firstLineChars="200"/>
        <w:rPr>
          <w:rFonts w:hint="eastAsia" w:ascii="仿宋_GB2312" w:hAnsi="仿宋_GB2312" w:eastAsia="仿宋_GB2312" w:cs="仿宋_GB2312"/>
          <w:spacing w:val="-14"/>
          <w:w w:val="95"/>
          <w:sz w:val="28"/>
          <w:szCs w:val="28"/>
        </w:rPr>
      </w:pPr>
      <w:r>
        <w:rPr>
          <w:rFonts w:hint="eastAsia" w:ascii="仿宋_GB2312" w:hAnsi="仿宋_GB2312" w:eastAsia="仿宋_GB2312" w:cs="仿宋_GB2312"/>
          <w:spacing w:val="-7"/>
          <w:sz w:val="28"/>
          <w:szCs w:val="28"/>
        </w:rPr>
        <w:t>地上附着物补偿标准是指由县级人民政府主导，根据当前物</w:t>
      </w:r>
      <w:r>
        <w:rPr>
          <w:rFonts w:hint="eastAsia" w:ascii="仿宋_GB2312" w:hAnsi="仿宋_GB2312" w:eastAsia="仿宋_GB2312" w:cs="仿宋_GB2312"/>
          <w:spacing w:val="-14"/>
          <w:w w:val="95"/>
          <w:sz w:val="28"/>
          <w:szCs w:val="28"/>
        </w:rPr>
        <w:t>价水平，采用科学合理的测算方法，经过广泛的征求意见、听证论证、逐级报批后形成的一定范围内各类地上附着物的平均补偿价款。具体表现形式为地上附着物补偿费，是指被征收土地各种地上地下建筑物、构筑物的拆迁和恢复，林木的迁移或砍伐等，国家应给予所有者补偿的费用。</w:t>
      </w:r>
    </w:p>
    <w:p>
      <w:pPr>
        <w:pStyle w:val="8"/>
        <w:kinsoku w:val="0"/>
        <w:overflowPunct w:val="0"/>
        <w:spacing w:before="72" w:line="360" w:lineRule="auto"/>
        <w:ind w:left="0" w:right="443"/>
        <w:rPr>
          <w:rFonts w:hint="eastAsia" w:ascii="仿宋_GB2312" w:hAnsi="仿宋_GB2312" w:eastAsia="仿宋_GB2312" w:cs="仿宋_GB2312"/>
          <w:spacing w:val="-14"/>
          <w:w w:val="95"/>
          <w:sz w:val="28"/>
          <w:szCs w:val="28"/>
        </w:rPr>
      </w:pPr>
      <w:r>
        <w:rPr>
          <w:rFonts w:hint="eastAsia" w:ascii="仿宋_GB2312" w:hAnsi="仿宋_GB2312" w:eastAsia="仿宋_GB2312" w:cs="仿宋_GB2312"/>
          <w:spacing w:val="-14"/>
          <w:w w:val="95"/>
          <w:sz w:val="28"/>
          <w:szCs w:val="28"/>
        </w:rPr>
        <w:t>4、青苗补偿标准</w:t>
      </w:r>
    </w:p>
    <w:p>
      <w:pPr>
        <w:pStyle w:val="8"/>
        <w:kinsoku w:val="0"/>
        <w:overflowPunct w:val="0"/>
        <w:spacing w:before="72" w:line="360" w:lineRule="auto"/>
        <w:ind w:left="0" w:right="443" w:firstLine="476" w:firstLineChars="200"/>
        <w:rPr>
          <w:rFonts w:hint="eastAsia" w:ascii="仿宋_GB2312" w:hAnsi="仿宋_GB2312" w:eastAsia="仿宋_GB2312" w:cs="仿宋_GB2312"/>
          <w:spacing w:val="-14"/>
          <w:w w:val="95"/>
          <w:sz w:val="28"/>
          <w:szCs w:val="28"/>
        </w:rPr>
      </w:pPr>
      <w:r>
        <w:rPr>
          <w:rFonts w:hint="eastAsia" w:ascii="仿宋_GB2312" w:hAnsi="仿宋_GB2312" w:eastAsia="仿宋_GB2312" w:cs="仿宋_GB2312"/>
          <w:spacing w:val="-14"/>
          <w:w w:val="95"/>
          <w:sz w:val="28"/>
          <w:szCs w:val="28"/>
        </w:rPr>
        <w:t>青苗补偿标准是指由县级人民政府主导，采用科学合理的测算方法，经过广泛的征求意见、听证论证、逐级报批后形成的一定区域内各类青苗的平均补偿价款。具体表现形式为青苗补偿费，是指被征收土地有正在生长的农作物未能收获，国家应给予所有者农作物补偿的费用。</w:t>
      </w:r>
    </w:p>
    <w:p>
      <w:pPr>
        <w:pStyle w:val="5"/>
        <w:numPr>
          <w:ilvl w:val="2"/>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二、测算时点和范围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1、测算时点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本次地上附着物和青苗补偿标准测算的基准时点统一为2020年1月1日。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2、工作范围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范围包括县域内农村集体经济组织所有的土地地上附着物和青苗补偿标准测算，具体为：一是地上建造的一切建筑物、构筑物及其他附属设施；二是处于生命、发育、生长的最初或相对较早阶段的没有成熟的农作物，主要包括粮食作物、经济作物和蔬菜瓜果类等作物；三是林木、果木、苗木、花卉等地上定着物。</w:t>
      </w:r>
    </w:p>
    <w:p>
      <w:pPr>
        <w:pStyle w:val="3"/>
        <w:jc w:val="center"/>
        <w:rPr>
          <w:rFonts w:ascii="仿宋_GB2312" w:hAnsi="仿宋_GB2312" w:eastAsia="仿宋_GB2312" w:cs="仿宋_GB2312"/>
          <w:sz w:val="36"/>
          <w:szCs w:val="36"/>
        </w:rPr>
      </w:pPr>
      <w:bookmarkStart w:id="30" w:name="_Toc19355_WPSOffice_Level1"/>
      <w:bookmarkStart w:id="31" w:name="_Toc29363_WPSOffice_Level1"/>
      <w:r>
        <w:rPr>
          <w:rFonts w:hint="eastAsia" w:ascii="Times New Roman" w:hAnsi="Times New Roman" w:eastAsia="宋体" w:cs="Times New Roman"/>
          <w:szCs w:val="21"/>
        </w:rPr>
        <w:t>第</w:t>
      </w:r>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章 测算过程</w:t>
      </w:r>
      <w:bookmarkEnd w:id="30"/>
      <w:bookmarkEnd w:id="31"/>
    </w:p>
    <w:p>
      <w:pPr>
        <w:pStyle w:val="4"/>
        <w:jc w:val="center"/>
        <w:rPr>
          <w:rFonts w:ascii="仿宋_GB2312" w:hAnsi="仿宋_GB2312" w:eastAsia="仿宋_GB2312" w:cs="仿宋_GB2312"/>
        </w:rPr>
      </w:pPr>
      <w:bookmarkStart w:id="32" w:name="_Toc20925_WPSOffice_Level2"/>
      <w:bookmarkStart w:id="33" w:name="_Toc8641_WPSOffice_Level2"/>
      <w:r>
        <w:rPr>
          <w:rFonts w:hint="eastAsia" w:ascii="仿宋_GB2312" w:hAnsi="仿宋_GB2312" w:eastAsia="仿宋_GB2312" w:cs="仿宋_GB2312"/>
        </w:rPr>
        <w:t>第一节 测算技术路线</w:t>
      </w:r>
      <w:bookmarkEnd w:id="32"/>
      <w:bookmarkEnd w:id="33"/>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本次地上附着物和青苗补偿标准制定分两个层次进行，一是地上附着物补偿标准，二是青苗补偿标准，技术路线见下图：</w:t>
      </w:r>
    </w:p>
    <w:p>
      <w:pPr>
        <w:pStyle w:val="25"/>
        <w:rPr>
          <w:rFonts w:ascii="仿宋_GB2312" w:hAnsi="仿宋_GB2312" w:eastAsia="仿宋_GB2312" w:cs="仿宋_GB2312"/>
        </w:rPr>
      </w:pPr>
      <w:r>
        <w:rPr>
          <w:rFonts w:hint="eastAsia" w:ascii="仿宋_GB2312" w:hAnsi="仿宋_GB2312" w:eastAsia="仿宋_GB2312" w:cs="仿宋_GB2312"/>
        </w:rPr>
        <w:drawing>
          <wp:inline distT="0" distB="0" distL="114300" distR="114300">
            <wp:extent cx="4309110" cy="4150995"/>
            <wp:effectExtent l="0" t="0" r="15240" b="1905"/>
            <wp:docPr id="1" name="图片 1" descr="青苗技术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苗技术路线图"/>
                    <pic:cNvPicPr>
                      <a:picLocks noChangeAspect="1"/>
                    </pic:cNvPicPr>
                  </pic:nvPicPr>
                  <pic:blipFill>
                    <a:blip r:embed="rId12"/>
                    <a:stretch>
                      <a:fillRect/>
                    </a:stretch>
                  </pic:blipFill>
                  <pic:spPr>
                    <a:xfrm>
                      <a:off x="0" y="0"/>
                      <a:ext cx="4309110" cy="4150995"/>
                    </a:xfrm>
                    <a:prstGeom prst="rect">
                      <a:avLst/>
                    </a:prstGeom>
                  </pic:spPr>
                </pic:pic>
              </a:graphicData>
            </a:graphic>
          </wp:inline>
        </w:drawing>
      </w:r>
    </w:p>
    <w:p>
      <w:pPr>
        <w:autoSpaceDE w:val="0"/>
        <w:autoSpaceDN w:val="0"/>
        <w:spacing w:before="1"/>
        <w:ind w:firstLine="720" w:firstLineChars="300"/>
        <w:jc w:val="left"/>
        <w:rPr>
          <w:rFonts w:ascii="仿宋_GB2312" w:hAnsi="仿宋_GB2312" w:eastAsia="仿宋_GB2312" w:cs="仿宋_GB2312"/>
          <w:kern w:val="0"/>
          <w:sz w:val="24"/>
          <w:szCs w:val="22"/>
          <w:lang w:bidi="zh-CN"/>
        </w:rPr>
      </w:pPr>
      <w:r>
        <w:rPr>
          <w:rFonts w:hint="eastAsia" w:ascii="仿宋_GB2312" w:hAnsi="仿宋_GB2312" w:eastAsia="仿宋_GB2312" w:cs="仿宋_GB2312"/>
          <w:kern w:val="0"/>
          <w:sz w:val="24"/>
          <w:szCs w:val="22"/>
          <w:lang w:val="en-US" w:bidi="zh-CN"/>
        </w:rPr>
        <w:t xml:space="preserve">图4-1 </w:t>
      </w:r>
      <w:r>
        <w:rPr>
          <w:rFonts w:hint="eastAsia" w:ascii="仿宋_GB2312" w:hAnsi="仿宋_GB2312" w:eastAsia="仿宋_GB2312" w:cs="仿宋_GB2312"/>
          <w:kern w:val="0"/>
          <w:sz w:val="24"/>
          <w:szCs w:val="22"/>
          <w:lang w:bidi="zh-CN"/>
        </w:rPr>
        <w:t>地上附着物和青苗补偿标准制定工作技术路线图</w:t>
      </w:r>
    </w:p>
    <w:p>
      <w:pPr>
        <w:pStyle w:val="5"/>
        <w:numPr>
          <w:ilvl w:val="2"/>
          <w:numId w:val="0"/>
        </w:numPr>
        <w:rPr>
          <w:rFonts w:ascii="仿宋_GB2312" w:hAnsi="仿宋_GB2312" w:eastAsia="仿宋_GB2312" w:cs="仿宋_GB2312"/>
          <w:sz w:val="28"/>
          <w:szCs w:val="28"/>
        </w:rPr>
      </w:pPr>
      <w:r>
        <w:rPr>
          <w:rFonts w:hint="eastAsia" w:ascii="仿宋_GB2312" w:hAnsi="仿宋_GB2312" w:eastAsia="仿宋_GB2312" w:cs="仿宋_GB2312"/>
          <w:sz w:val="28"/>
          <w:szCs w:val="28"/>
        </w:rPr>
        <w:t>一、地上附着物补偿标准技术路线</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分为房屋类补偿标准、设施类补偿标准以及林（果）木花卉类等，具体路线为首先确定评估基准，在不同区域选取样点，按照《自然资源价格评估通则》、《房地产估价规程》、《资产评估准则——基本准则》、《农用地估价规程》等规范要求分别测算各类样点价格，最后通过算术（加权）平均计算县域各类地上附着物补偿标准。</w:t>
      </w:r>
    </w:p>
    <w:p>
      <w:pPr>
        <w:pStyle w:val="5"/>
        <w:numPr>
          <w:ilvl w:val="2"/>
          <w:numId w:val="0"/>
        </w:numPr>
        <w:rPr>
          <w:rFonts w:ascii="仿宋_GB2312" w:hAnsi="仿宋_GB2312" w:eastAsia="仿宋_GB2312" w:cs="仿宋_GB2312"/>
          <w:sz w:val="28"/>
          <w:szCs w:val="28"/>
        </w:rPr>
      </w:pPr>
      <w:r>
        <w:rPr>
          <w:rFonts w:hint="eastAsia" w:ascii="仿宋_GB2312" w:hAnsi="仿宋_GB2312" w:eastAsia="仿宋_GB2312" w:cs="仿宋_GB2312"/>
          <w:sz w:val="28"/>
          <w:szCs w:val="28"/>
        </w:rPr>
        <w:t>二、青苗补偿标准技术路线</w:t>
      </w:r>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在原青苗补偿标准的基础上，以行政村为单位，确定测算范围并编制工作底图；运用科学的方法划分青苗补偿等级区；测算相应青苗补偿等级区主要农作物年产值，结合耕种季数确定各青苗等级区补偿标准。</w:t>
      </w:r>
    </w:p>
    <w:p>
      <w:pPr>
        <w:pStyle w:val="5"/>
        <w:numPr>
          <w:ilvl w:val="2"/>
          <w:numId w:val="0"/>
        </w:numPr>
        <w:rPr>
          <w:rFonts w:ascii="仿宋_GB2312" w:hAnsi="仿宋_GB2312" w:eastAsia="仿宋_GB2312" w:cs="仿宋_GB2312"/>
          <w:sz w:val="28"/>
          <w:szCs w:val="28"/>
        </w:rPr>
      </w:pPr>
      <w:r>
        <w:rPr>
          <w:rFonts w:hint="eastAsia" w:ascii="仿宋_GB2312" w:hAnsi="仿宋_GB2312" w:eastAsia="仿宋_GB2312" w:cs="仿宋_GB2312"/>
          <w:sz w:val="28"/>
          <w:szCs w:val="28"/>
        </w:rPr>
        <w:t>三、其它情形</w:t>
      </w:r>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古树名木、苗圃等市场价值波动较大，补偿标准不能完全覆盖的，具体补偿实施时可委托第三方机构进行评估；种植花卉、绿化苗木一般作迁移处理，根据市场信息价结合迁移季节，对迁移费及迁移过程中产生的损失进行评估后给予补偿，市场信息价以及有关部门定期发布的价格为准；征地过程中遇到特殊情况的，可委托具有相应资质的专业机构按实评估，评估结果经确认后予以补偿。</w:t>
      </w:r>
    </w:p>
    <w:p>
      <w:pPr>
        <w:pStyle w:val="4"/>
        <w:jc w:val="center"/>
        <w:rPr>
          <w:rFonts w:ascii="仿宋_GB2312" w:hAnsi="仿宋_GB2312" w:eastAsia="仿宋_GB2312" w:cs="仿宋_GB2312"/>
        </w:rPr>
      </w:pPr>
      <w:bookmarkStart w:id="34" w:name="_Toc18798_WPSOffice_Level2"/>
      <w:bookmarkStart w:id="35" w:name="_Toc29777_WPSOffice_Level2"/>
      <w:r>
        <w:rPr>
          <w:rFonts w:hint="eastAsia" w:ascii="仿宋_GB2312" w:hAnsi="仿宋_GB2312" w:eastAsia="仿宋_GB2312" w:cs="仿宋_GB2312"/>
        </w:rPr>
        <w:t>第二节 建（构）筑物补偿标准测算</w:t>
      </w:r>
      <w:bookmarkEnd w:id="34"/>
      <w:bookmarkEnd w:id="35"/>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在制定过程中要充分考虑区域内经济社会发展水平、物价指数、GDP增长等因素；青苗补偿标准在制定过程中要充分考虑区域内土地资源条件、利用水平和农作物产值变化等因素，补偿标准不得低于内涵可比的现行补偿标准，但要与经济社会发展相适应，补偿标准涨幅要适度，前后标准要相互衔接，不宜变动过大而引发新的矛盾。</w:t>
      </w:r>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地上附着物补偿标准可分为房屋类补偿标准、设施类补偿标准以及林（果）木花卉等类别，可采用重置成本法、价格指数法、市场价倒算法、收获现值法等方法进行测算，不同类型地上附着物补偿标准测算思路如下：</w:t>
      </w:r>
    </w:p>
    <w:p>
      <w:pPr>
        <w:spacing w:line="360" w:lineRule="auto"/>
        <w:ind w:firstLine="562" w:firstLineChars="200"/>
        <w:outlineLvl w:val="2"/>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1.</w:t>
      </w:r>
      <w:r>
        <w:rPr>
          <w:rFonts w:hint="eastAsia" w:ascii="仿宋_GB2312" w:hAnsi="仿宋_GB2312" w:eastAsia="仿宋_GB2312" w:cs="仿宋_GB2312"/>
          <w:b/>
          <w:bCs/>
          <w:kern w:val="0"/>
          <w:sz w:val="28"/>
          <w:szCs w:val="28"/>
        </w:rPr>
        <w:t>构筑物补偿标准测算</w:t>
      </w:r>
    </w:p>
    <w:p>
      <w:pPr>
        <w:widowControl/>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房地产估价规范》和《云南省地上附着物和青苗补偿标准制定技术指南（试行搞）》的相关要求，房地产估价的常用方法有市场法、收益法、成本法、假设开发法、价格指数法等方法。根据当地该房屋类补偿标准的演变过程，并结合制定标准的目的等具体特点及房屋类补偿标准的技术路线等，选择适当的估价方法。</w:t>
      </w:r>
    </w:p>
    <w:p>
      <w:pPr>
        <w:widowControl/>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虑到嵩明县具体实际情况难以采用价格指数法测算县域内房屋类补偿标准，同时考虑本次工作对象主要为县域范围类不同结构建筑物征地拆迁补偿标准（指导价），结合补偿的具体内涵，本次评估采用重置成本法确定县域范围内不同结构房屋补偿标准。（无法采用价格指数法测算的情况）</w:t>
      </w:r>
    </w:p>
    <w:p>
      <w:pPr>
        <w:spacing w:line="360" w:lineRule="auto"/>
        <w:ind w:firstLine="562" w:firstLineChars="200"/>
        <w:outlineLvl w:val="2"/>
        <w:rPr>
          <w:rFonts w:ascii="仿宋_GB2312" w:hAnsi="仿宋_GB2312" w:eastAsia="仿宋_GB2312" w:cs="仿宋_GB2312"/>
          <w:b/>
          <w:bCs/>
          <w:kern w:val="0"/>
          <w:sz w:val="28"/>
          <w:szCs w:val="28"/>
        </w:rPr>
      </w:pPr>
      <w:bookmarkStart w:id="36" w:name="_Toc17679"/>
      <w:r>
        <w:rPr>
          <w:rFonts w:hint="eastAsia" w:ascii="仿宋_GB2312" w:hAnsi="仿宋_GB2312" w:eastAsia="仿宋_GB2312" w:cs="仿宋_GB2312"/>
          <w:b/>
          <w:bCs/>
          <w:kern w:val="0"/>
          <w:sz w:val="28"/>
          <w:szCs w:val="28"/>
        </w:rPr>
        <w:t>2</w:t>
      </w:r>
      <w:r>
        <w:rPr>
          <w:rFonts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rPr>
        <w:t>构筑物补偿标准测算</w:t>
      </w:r>
      <w:bookmarkEnd w:id="36"/>
    </w:p>
    <w:p>
      <w:pPr>
        <w:widowControl/>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云南省地上附着物和青苗补偿标准制定技术指南（试行搞）》的相关要求，结合嵩明县具体情况难以采用价格指数法测算县域内构筑物类补偿标准，同时考虑本次工作对象主要为县域范围类不同构筑物征地拆迁补偿标准，结合补偿的具体内涵，本次评估采用重置成本法确定县域范围内不同构筑物补偿标准。</w:t>
      </w:r>
    </w:p>
    <w:p>
      <w:pPr>
        <w:spacing w:line="360" w:lineRule="auto"/>
        <w:ind w:firstLine="562" w:firstLineChars="200"/>
        <w:outlineLvl w:val="2"/>
        <w:rPr>
          <w:rFonts w:hint="eastAsia" w:ascii="仿宋_GB2312" w:hAnsi="仿宋_GB2312" w:eastAsia="仿宋_GB2312" w:cs="仿宋_GB2312"/>
          <w:b/>
          <w:bCs/>
          <w:kern w:val="0"/>
          <w:sz w:val="28"/>
          <w:szCs w:val="28"/>
        </w:rPr>
      </w:pPr>
      <w:bookmarkStart w:id="37" w:name="_Toc26468_WPSOffice_Level2"/>
      <w:r>
        <w:rPr>
          <w:rFonts w:hint="eastAsia" w:ascii="仿宋_GB2312" w:hAnsi="仿宋_GB2312" w:eastAsia="仿宋_GB2312" w:cs="仿宋_GB2312"/>
          <w:b/>
          <w:bCs/>
          <w:kern w:val="0"/>
          <w:sz w:val="28"/>
          <w:szCs w:val="28"/>
          <w:lang w:val="en-US" w:eastAsia="zh-CN"/>
        </w:rPr>
        <w:t>3.</w:t>
      </w:r>
      <w:r>
        <w:rPr>
          <w:rFonts w:hint="eastAsia" w:ascii="仿宋_GB2312" w:hAnsi="仿宋_GB2312" w:eastAsia="仿宋_GB2312" w:cs="仿宋_GB2312"/>
          <w:b/>
          <w:bCs/>
          <w:kern w:val="0"/>
          <w:sz w:val="28"/>
          <w:szCs w:val="28"/>
        </w:rPr>
        <w:t>林（果）木类补偿标准测算</w:t>
      </w:r>
      <w:bookmarkEnd w:id="37"/>
    </w:p>
    <w:p>
      <w:pPr>
        <w:pStyle w:val="25"/>
        <w:spacing w:line="360" w:lineRule="auto"/>
        <w:ind w:firstLine="560"/>
        <w:rPr>
          <w:rFonts w:hint="eastAsia" w:eastAsia="仿宋_GB2312"/>
          <w:lang w:eastAsia="zh-CN"/>
        </w:rPr>
      </w:pPr>
      <w:r>
        <w:rPr>
          <w:rFonts w:hint="eastAsia" w:ascii="仿宋_GB2312" w:hAnsi="仿宋_GB2312" w:eastAsia="仿宋_GB2312" w:cs="仿宋_GB2312"/>
          <w:sz w:val="28"/>
          <w:szCs w:val="28"/>
        </w:rPr>
        <w:t>林（果）木类补偿标准测算主要根据造林成本、林种、地类、起源、区域年龄、林木生长、市场等因素，根据林种不同进行测算补偿，可分为防护林、用材林、经济林、薪炭林和特种用途林，树龄可参照《主要树种龄级与龄组划分》（LY/T2908-2017）进行分类。因龄级的不同可采用市场价倒算法、收获现值法、重置成本法、价格指数法等方法进行测算。</w:t>
      </w:r>
      <w:r>
        <w:rPr>
          <w:rFonts w:hint="eastAsia" w:ascii="Times New Roman" w:hAnsi="Times New Roman" w:eastAsia="仿宋_GB2312" w:cs="Times New Roman"/>
          <w:sz w:val="28"/>
          <w:szCs w:val="28"/>
        </w:rPr>
        <w:t>结合嵩明县具体情况</w:t>
      </w:r>
      <w:r>
        <w:rPr>
          <w:rFonts w:hint="eastAsia" w:ascii="仿宋_GB2312" w:eastAsia="仿宋_GB2312"/>
          <w:sz w:val="28"/>
          <w:szCs w:val="28"/>
        </w:rPr>
        <w:t>林(果)木具体测算方法</w:t>
      </w:r>
      <w:r>
        <w:rPr>
          <w:rFonts w:hint="eastAsia" w:ascii="仿宋_GB2312" w:eastAsia="仿宋_GB2312"/>
          <w:sz w:val="28"/>
          <w:szCs w:val="28"/>
          <w:lang w:val="en-US" w:eastAsia="zh-CN"/>
        </w:rPr>
        <w:t>为</w:t>
      </w:r>
      <w:r>
        <w:rPr>
          <w:rFonts w:hint="eastAsia" w:ascii="仿宋_GB2312" w:hAnsi="仿宋_GB2312" w:eastAsia="仿宋_GB2312" w:cs="仿宋_GB2312"/>
          <w:sz w:val="28"/>
          <w:szCs w:val="28"/>
        </w:rPr>
        <w:t>市场倒算法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剩余价值法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重置成本法</w:t>
      </w:r>
      <w:r>
        <w:rPr>
          <w:rFonts w:hint="eastAsia" w:ascii="仿宋_GB2312" w:hAnsi="仿宋_GB2312" w:eastAsia="仿宋_GB2312" w:cs="仿宋_GB2312"/>
          <w:sz w:val="28"/>
          <w:szCs w:val="28"/>
          <w:lang w:eastAsia="zh-CN"/>
        </w:rPr>
        <w:t>。</w:t>
      </w:r>
    </w:p>
    <w:p>
      <w:pPr>
        <w:numPr>
          <w:ilvl w:val="0"/>
          <w:numId w:val="4"/>
        </w:numPr>
        <w:spacing w:line="360" w:lineRule="auto"/>
        <w:ind w:firstLine="562" w:firstLineChars="200"/>
        <w:outlineLvl w:val="2"/>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坟墓迁移补偿标准测算</w:t>
      </w:r>
    </w:p>
    <w:p>
      <w:pPr>
        <w:pStyle w:val="2"/>
        <w:ind w:firstLine="560"/>
        <w:rPr>
          <w:rFonts w:eastAsia="仿宋_GB2312" w:cs="Times New Roman"/>
          <w:color w:val="auto"/>
          <w:sz w:val="28"/>
          <w:shd w:val="clear" w:color="auto" w:fill="auto"/>
        </w:rPr>
      </w:pPr>
      <w:r>
        <w:rPr>
          <w:rFonts w:eastAsia="仿宋_GB2312" w:cs="Times New Roman"/>
          <w:color w:val="auto"/>
          <w:sz w:val="28"/>
          <w:shd w:val="clear" w:color="auto" w:fill="auto"/>
        </w:rPr>
        <w:t>征地过程中涉及占用坟墓做迁移处理，坟墓迁移补偿费用不包含占地的费用，</w:t>
      </w:r>
      <w:r>
        <w:rPr>
          <w:rFonts w:hint="eastAsia" w:eastAsia="仿宋_GB2312" w:cs="Times New Roman"/>
          <w:color w:val="auto"/>
          <w:sz w:val="28"/>
          <w:shd w:val="clear" w:color="auto" w:fill="auto"/>
          <w:lang w:val="en-US" w:eastAsia="zh-CN"/>
        </w:rPr>
        <w:t>也不包括</w:t>
      </w:r>
      <w:r>
        <w:rPr>
          <w:rFonts w:hint="eastAsia" w:eastAsia="仿宋_GB2312" w:cs="Times New Roman"/>
          <w:color w:val="auto"/>
          <w:sz w:val="28"/>
          <w:shd w:val="clear" w:color="auto" w:fill="auto"/>
        </w:rPr>
        <w:t>公墓费用</w:t>
      </w:r>
      <w:r>
        <w:rPr>
          <w:rFonts w:hint="eastAsia" w:eastAsia="仿宋_GB2312" w:cs="Times New Roman"/>
          <w:color w:val="auto"/>
          <w:sz w:val="28"/>
          <w:shd w:val="clear" w:color="auto" w:fill="auto"/>
          <w:lang w:eastAsia="zh-CN"/>
        </w:rPr>
        <w:t>（</w:t>
      </w:r>
      <w:r>
        <w:rPr>
          <w:rFonts w:hint="eastAsia" w:eastAsia="仿宋_GB2312" w:cs="Times New Roman"/>
          <w:color w:val="auto"/>
          <w:sz w:val="28"/>
          <w:shd w:val="clear" w:color="auto" w:fill="auto"/>
          <w:lang w:val="en-US" w:eastAsia="zh-CN"/>
        </w:rPr>
        <w:t>公墓费用</w:t>
      </w:r>
      <w:r>
        <w:rPr>
          <w:rFonts w:hint="eastAsia" w:eastAsia="仿宋_GB2312" w:cs="Times New Roman"/>
          <w:color w:val="auto"/>
          <w:sz w:val="28"/>
          <w:shd w:val="clear" w:color="auto" w:fill="auto"/>
        </w:rPr>
        <w:t>由征迁方直接补偿给公墓管理方，由公墓管理方实施搬迁</w:t>
      </w:r>
      <w:r>
        <w:rPr>
          <w:rFonts w:hint="eastAsia" w:eastAsia="仿宋_GB2312" w:cs="Times New Roman"/>
          <w:color w:val="auto"/>
          <w:sz w:val="28"/>
          <w:shd w:val="clear" w:color="auto" w:fill="auto"/>
          <w:lang w:eastAsia="zh-CN"/>
        </w:rPr>
        <w:t>），</w:t>
      </w:r>
      <w:r>
        <w:rPr>
          <w:rFonts w:eastAsia="仿宋_GB2312" w:cs="Times New Roman"/>
          <w:color w:val="auto"/>
          <w:sz w:val="28"/>
          <w:shd w:val="clear" w:color="auto" w:fill="auto"/>
        </w:rPr>
        <w:t>主要从坟墓迁移成本费用进行补偿，如：坟墓建造人工费、材料费、运输费、墓碑材料费用等等。坟墓迁移补偿费用主要通过各种费用进行累加，得到坟墓迁移补偿标准。</w:t>
      </w:r>
    </w:p>
    <w:p>
      <w:pPr>
        <w:pStyle w:val="4"/>
        <w:jc w:val="center"/>
        <w:rPr>
          <w:rFonts w:ascii="仿宋_GB2312" w:hAnsi="仿宋_GB2312" w:eastAsia="仿宋_GB2312" w:cs="仿宋_GB2312"/>
        </w:rPr>
      </w:pPr>
      <w:bookmarkStart w:id="38" w:name="_Toc9812_WPSOffice_Level2"/>
      <w:bookmarkStart w:id="39" w:name="_Toc15963_WPSOffice_Level2"/>
      <w:r>
        <w:rPr>
          <w:rFonts w:hint="eastAsia" w:ascii="仿宋_GB2312" w:hAnsi="仿宋_GB2312" w:eastAsia="仿宋_GB2312" w:cs="仿宋_GB2312"/>
        </w:rPr>
        <w:t>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节 青苗补偿标准测算</w:t>
      </w:r>
      <w:bookmarkEnd w:id="38"/>
      <w:bookmarkEnd w:id="39"/>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一、青苗补偿等级区</w:t>
      </w:r>
    </w:p>
    <w:p>
      <w:pPr>
        <w:pStyle w:val="25"/>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综合考虑嵩明县实际情况，结合现行补偿标准组成形式，嵩明县青苗补偿采用统一价，即嵩明县行政区范围内青苗不设等级区。</w:t>
      </w:r>
    </w:p>
    <w:p>
      <w:pPr>
        <w:pStyle w:val="25"/>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271135" cy="5271135"/>
            <wp:effectExtent l="0" t="0" r="5715" b="5715"/>
            <wp:docPr id="4" name="图片 4" descr="嵩明县2021年青苗补偿标准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嵩明县2021年青苗补偿标准分布图"/>
                    <pic:cNvPicPr>
                      <a:picLocks noChangeAspect="1"/>
                    </pic:cNvPicPr>
                  </pic:nvPicPr>
                  <pic:blipFill>
                    <a:blip r:embed="rId13"/>
                    <a:stretch>
                      <a:fillRect/>
                    </a:stretch>
                  </pic:blipFill>
                  <pic:spPr>
                    <a:xfrm>
                      <a:off x="0" y="0"/>
                      <a:ext cx="5271135" cy="5271135"/>
                    </a:xfrm>
                    <a:prstGeom prst="rect">
                      <a:avLst/>
                    </a:prstGeom>
                  </pic:spPr>
                </pic:pic>
              </a:graphicData>
            </a:graphic>
          </wp:inline>
        </w:drawing>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二、青苗补偿标准测算</w:t>
      </w:r>
    </w:p>
    <w:p>
      <w:pPr>
        <w:spacing w:line="360" w:lineRule="auto"/>
        <w:ind w:firstLine="560" w:firstLineChars="200"/>
        <w:rPr>
          <w:rFonts w:hint="eastAsia" w:ascii="Times New Roman" w:hAnsi="Times New Roman" w:eastAsia="仿宋_GB2312" w:cs="Times New Roman"/>
          <w:kern w:val="0"/>
          <w:sz w:val="28"/>
          <w:szCs w:val="28"/>
          <w:lang w:eastAsia="zh-CN"/>
        </w:rPr>
      </w:pPr>
      <w:r>
        <w:rPr>
          <w:rFonts w:ascii="Times New Roman" w:hAnsi="Times New Roman" w:eastAsia="仿宋_GB2312" w:cs="Times New Roman"/>
          <w:sz w:val="28"/>
          <w:szCs w:val="28"/>
        </w:rPr>
        <w:t>根据现行补偿标准的内容和形式，结合外业调查情况，为保持新制定补偿标准与原补偿标准相互衔接，方便实际征地过程易操作实施，</w:t>
      </w:r>
      <w:r>
        <w:rPr>
          <w:rFonts w:hint="eastAsia" w:ascii="Times New Roman" w:hAnsi="Times New Roman" w:eastAsia="仿宋_GB2312" w:cs="Times New Roman"/>
          <w:sz w:val="28"/>
          <w:szCs w:val="28"/>
        </w:rPr>
        <w:t>嵩明县</w:t>
      </w:r>
      <w:r>
        <w:rPr>
          <w:rFonts w:ascii="Times New Roman" w:hAnsi="Times New Roman" w:eastAsia="仿宋_GB2312" w:cs="Times New Roman"/>
          <w:sz w:val="28"/>
          <w:szCs w:val="28"/>
        </w:rPr>
        <w:t>新制定补偿标准采用分作物的方式进行补偿。测算过程中将青苗主要分为粮食、经济、蔬菜三大类作物。</w:t>
      </w:r>
      <w:r>
        <w:rPr>
          <w:rFonts w:hint="eastAsia" w:ascii="Times New Roman" w:hAnsi="Times New Roman" w:eastAsia="仿宋_GB2312" w:cs="Times New Roman"/>
          <w:sz w:val="28"/>
          <w:szCs w:val="28"/>
        </w:rPr>
        <w:t>结合嵩明县具体情况青苗补偿标准测算</w:t>
      </w:r>
      <w:r>
        <w:rPr>
          <w:rFonts w:hint="eastAsia" w:ascii="Times New Roman" w:hAnsi="Times New Roman" w:eastAsia="仿宋_GB2312" w:cs="Times New Roman"/>
          <w:sz w:val="28"/>
          <w:szCs w:val="28"/>
          <w:lang w:val="en-US" w:eastAsia="zh-CN"/>
        </w:rPr>
        <w:t>选取的方法为</w:t>
      </w:r>
      <w:r>
        <w:rPr>
          <w:rFonts w:hint="eastAsia" w:ascii="Times New Roman" w:hAnsi="Times New Roman" w:eastAsia="仿宋_GB2312" w:cs="Times New Roman"/>
          <w:kern w:val="0"/>
          <w:sz w:val="28"/>
          <w:szCs w:val="28"/>
        </w:rPr>
        <w:t>产值法</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市场价倒算法</w:t>
      </w:r>
      <w:r>
        <w:rPr>
          <w:rFonts w:hint="eastAsia" w:ascii="Times New Roman" w:hAnsi="Times New Roman" w:eastAsia="仿宋_GB2312" w:cs="Times New Roman"/>
          <w:kern w:val="0"/>
          <w:sz w:val="28"/>
          <w:szCs w:val="28"/>
          <w:lang w:eastAsia="zh-CN"/>
        </w:rPr>
        <w:t>。</w:t>
      </w:r>
    </w:p>
    <w:p>
      <w:pPr>
        <w:pStyle w:val="4"/>
        <w:spacing w:line="360" w:lineRule="auto"/>
        <w:jc w:val="center"/>
        <w:rPr>
          <w:rFonts w:ascii="仿宋_GB2312" w:hAnsi="仿宋_GB2312" w:eastAsia="仿宋_GB2312" w:cs="仿宋_GB2312"/>
        </w:rPr>
      </w:pPr>
      <w:bookmarkStart w:id="40" w:name="_Toc32254_WPSOffice_Level2"/>
      <w:bookmarkStart w:id="41" w:name="_Toc26423_WPSOffice_Level2"/>
      <w:bookmarkStart w:id="42" w:name="_Toc30839_WPSOffice_Level2"/>
      <w:bookmarkStart w:id="43" w:name="_Toc22238_WPSOffice_Level2"/>
      <w:bookmarkStart w:id="44" w:name="_Toc9673"/>
      <w:bookmarkStart w:id="45" w:name="_Toc6569_WPSOffice_Level2"/>
      <w:bookmarkStart w:id="46" w:name="_Toc26478"/>
      <w:bookmarkStart w:id="47" w:name="_Toc5759_WPSOffice_Level2"/>
      <w:bookmarkStart w:id="48" w:name="_Toc24891_WPSOffice_Level2"/>
      <w:r>
        <w:rPr>
          <w:rFonts w:hint="eastAsia" w:ascii="仿宋_GB2312" w:hAnsi="仿宋_GB2312" w:eastAsia="仿宋_GB2312" w:cs="仿宋_GB2312"/>
        </w:rPr>
        <w:t>第</w:t>
      </w:r>
      <w:r>
        <w:rPr>
          <w:rFonts w:hint="eastAsia" w:ascii="仿宋_GB2312" w:hAnsi="仿宋_GB2312" w:eastAsia="仿宋_GB2312" w:cs="仿宋_GB2312"/>
          <w:lang w:val="en-US" w:eastAsia="zh-CN"/>
        </w:rPr>
        <w:t>四</w:t>
      </w:r>
      <w:r>
        <w:rPr>
          <w:rFonts w:hint="eastAsia" w:ascii="仿宋_GB2312" w:hAnsi="仿宋_GB2312" w:eastAsia="仿宋_GB2312" w:cs="仿宋_GB2312"/>
        </w:rPr>
        <w:t>节 初步测算结果验证</w:t>
      </w:r>
      <w:bookmarkEnd w:id="40"/>
      <w:bookmarkEnd w:id="41"/>
      <w:bookmarkEnd w:id="42"/>
      <w:bookmarkEnd w:id="43"/>
      <w:bookmarkEnd w:id="44"/>
      <w:bookmarkEnd w:id="45"/>
      <w:bookmarkEnd w:id="46"/>
      <w:bookmarkEnd w:id="47"/>
      <w:bookmarkEnd w:id="48"/>
    </w:p>
    <w:p>
      <w:pPr>
        <w:pStyle w:val="25"/>
        <w:spacing w:line="360" w:lineRule="auto"/>
        <w:ind w:firstLine="520"/>
        <w:rPr>
          <w:rFonts w:ascii="仿宋_GB2312" w:hAnsi="仿宋_GB2312" w:eastAsia="仿宋_GB2312" w:cs="仿宋_GB2312"/>
          <w:sz w:val="28"/>
          <w:szCs w:val="28"/>
        </w:rPr>
      </w:pPr>
      <w:r>
        <w:rPr>
          <w:rFonts w:ascii="Times New Roman" w:hAnsi="Times New Roman" w:eastAsia="仿宋_GB2312" w:cs="Times New Roman"/>
          <w:spacing w:val="-10"/>
          <w:sz w:val="28"/>
          <w:szCs w:val="28"/>
        </w:rPr>
        <w:t>根据确定的</w:t>
      </w:r>
      <w:r>
        <w:rPr>
          <w:rFonts w:hint="eastAsia" w:ascii="Times New Roman" w:hAnsi="Times New Roman" w:eastAsia="仿宋_GB2312" w:cs="Times New Roman"/>
          <w:spacing w:val="-10"/>
          <w:sz w:val="28"/>
          <w:szCs w:val="28"/>
        </w:rPr>
        <w:t>测算</w:t>
      </w:r>
      <w:r>
        <w:rPr>
          <w:rFonts w:ascii="Times New Roman" w:hAnsi="Times New Roman" w:eastAsia="仿宋_GB2312" w:cs="Times New Roman"/>
          <w:spacing w:val="-10"/>
          <w:sz w:val="28"/>
          <w:szCs w:val="28"/>
        </w:rPr>
        <w:t>结果和原补偿标准进行相应对比，并根据</w:t>
      </w:r>
      <w:r>
        <w:rPr>
          <w:rFonts w:hint="eastAsia" w:ascii="Times New Roman" w:hAnsi="Times New Roman" w:eastAsia="仿宋_GB2312" w:cs="Times New Roman"/>
          <w:spacing w:val="-10"/>
          <w:sz w:val="28"/>
          <w:szCs w:val="28"/>
        </w:rPr>
        <w:t>嵩明</w:t>
      </w:r>
      <w:r>
        <w:rPr>
          <w:rFonts w:ascii="Times New Roman" w:hAnsi="Times New Roman" w:eastAsia="仿宋_GB2312" w:cs="Times New Roman"/>
          <w:spacing w:val="-10"/>
          <w:sz w:val="28"/>
          <w:szCs w:val="28"/>
        </w:rPr>
        <w:t>县当地的社会经济发展水平，材料价格以及物价变化信息，并通过会议、走访、问卷等形式征询各界意见，对</w:t>
      </w:r>
      <w:r>
        <w:rPr>
          <w:rFonts w:hint="eastAsia" w:ascii="Times New Roman" w:hAnsi="Times New Roman" w:eastAsia="仿宋_GB2312" w:cs="Times New Roman"/>
          <w:spacing w:val="-10"/>
          <w:sz w:val="28"/>
          <w:szCs w:val="28"/>
        </w:rPr>
        <w:t>测算</w:t>
      </w:r>
      <w:r>
        <w:rPr>
          <w:rFonts w:ascii="Times New Roman" w:hAnsi="Times New Roman" w:eastAsia="仿宋_GB2312" w:cs="Times New Roman"/>
          <w:spacing w:val="-10"/>
          <w:sz w:val="28"/>
          <w:szCs w:val="28"/>
        </w:rPr>
        <w:t>成果进行验证和根据当地实际需求对价格作出适当的调整和完善</w:t>
      </w:r>
      <w:r>
        <w:rPr>
          <w:rFonts w:hint="eastAsia" w:ascii="Times New Roman" w:hAnsi="Times New Roman" w:eastAsia="仿宋_GB2312" w:cs="Times New Roman"/>
          <w:spacing w:val="-10"/>
          <w:sz w:val="28"/>
          <w:szCs w:val="28"/>
        </w:rPr>
        <w:t>确定补偿标准</w:t>
      </w:r>
      <w:r>
        <w:rPr>
          <w:rFonts w:ascii="Times New Roman" w:hAnsi="Times New Roman" w:eastAsia="仿宋_GB2312" w:cs="Times New Roman"/>
          <w:spacing w:val="-10"/>
          <w:sz w:val="28"/>
          <w:szCs w:val="28"/>
        </w:rPr>
        <w:t>结果</w:t>
      </w:r>
      <w:r>
        <w:rPr>
          <w:rFonts w:hint="eastAsia" w:ascii="Times New Roman" w:hAnsi="Times New Roman" w:eastAsia="仿宋_GB2312" w:cs="Times New Roman"/>
          <w:spacing w:val="-10"/>
          <w:sz w:val="28"/>
          <w:szCs w:val="28"/>
        </w:rPr>
        <w:t>。</w:t>
      </w:r>
    </w:p>
    <w:p>
      <w:pPr>
        <w:pStyle w:val="4"/>
        <w:jc w:val="center"/>
        <w:rPr>
          <w:rFonts w:ascii="仿宋_GB2312" w:hAnsi="仿宋_GB2312" w:eastAsia="仿宋_GB2312" w:cs="仿宋_GB2312"/>
        </w:rPr>
      </w:pPr>
      <w:bookmarkStart w:id="49" w:name="_Toc4838_WPSOffice_Level2"/>
      <w:bookmarkStart w:id="50" w:name="_Toc25365_WPSOffice_Level2"/>
      <w:r>
        <w:rPr>
          <w:rFonts w:hint="eastAsia" w:ascii="仿宋_GB2312" w:hAnsi="仿宋_GB2312" w:eastAsia="仿宋_GB2312" w:cs="仿宋_GB2312"/>
        </w:rPr>
        <w:t>第</w:t>
      </w:r>
      <w:r>
        <w:rPr>
          <w:rFonts w:hint="eastAsia" w:ascii="仿宋_GB2312" w:hAnsi="仿宋_GB2312" w:eastAsia="仿宋_GB2312" w:cs="仿宋_GB2312"/>
          <w:lang w:val="en-US" w:eastAsia="zh-CN"/>
        </w:rPr>
        <w:t>五</w:t>
      </w:r>
      <w:r>
        <w:rPr>
          <w:rFonts w:hint="eastAsia" w:ascii="仿宋_GB2312" w:hAnsi="仿宋_GB2312" w:eastAsia="仿宋_GB2312" w:cs="仿宋_GB2312"/>
        </w:rPr>
        <w:t>节 嵩明县地上附着物和青苗补偿标准的初步成果</w:t>
      </w:r>
      <w:bookmarkEnd w:id="49"/>
      <w:bookmarkEnd w:id="50"/>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一、地上附着物补偿标准制定初步结果</w:t>
      </w:r>
    </w:p>
    <w:tbl>
      <w:tblPr>
        <w:tblStyle w:val="23"/>
        <w:tblpPr w:leftFromText="180" w:rightFromText="180" w:vertAnchor="text" w:horzAnchor="page" w:tblpX="659" w:tblpY="757"/>
        <w:tblOverlap w:val="never"/>
        <w:tblW w:w="10103" w:type="dxa"/>
        <w:tblInd w:w="0" w:type="dxa"/>
        <w:tblLayout w:type="fixed"/>
        <w:tblCellMar>
          <w:top w:w="15" w:type="dxa"/>
          <w:left w:w="15" w:type="dxa"/>
          <w:bottom w:w="15" w:type="dxa"/>
          <w:right w:w="15" w:type="dxa"/>
        </w:tblCellMar>
      </w:tblPr>
      <w:tblGrid>
        <w:gridCol w:w="1047"/>
        <w:gridCol w:w="1516"/>
        <w:gridCol w:w="4305"/>
        <w:gridCol w:w="1732"/>
        <w:gridCol w:w="1503"/>
      </w:tblGrid>
      <w:tr>
        <w:tblPrEx>
          <w:tblLayout w:type="fixed"/>
          <w:tblCellMar>
            <w:top w:w="15" w:type="dxa"/>
            <w:left w:w="15" w:type="dxa"/>
            <w:bottom w:w="15" w:type="dxa"/>
            <w:right w:w="15" w:type="dxa"/>
          </w:tblCellMar>
        </w:tblPrEx>
        <w:trPr>
          <w:trHeight w:val="477" w:hRule="atLeast"/>
        </w:trPr>
        <w:tc>
          <w:tcPr>
            <w:tcW w:w="10103" w:type="dxa"/>
            <w:gridSpan w:val="5"/>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表一  嵩明县2021</w:t>
            </w:r>
            <w:r>
              <w:rPr>
                <w:rFonts w:hint="eastAsia" w:ascii="仿宋" w:hAnsi="仿宋" w:eastAsia="仿宋" w:cs="仿宋"/>
                <w:color w:val="000000"/>
                <w:kern w:val="0"/>
                <w:sz w:val="22"/>
                <w:szCs w:val="22"/>
                <w:lang w:val="en-US" w:eastAsia="zh-CN" w:bidi="ar"/>
              </w:rPr>
              <w:t>年</w:t>
            </w:r>
            <w:r>
              <w:rPr>
                <w:rFonts w:hint="eastAsia" w:ascii="仿宋" w:hAnsi="仿宋" w:eastAsia="仿宋" w:cs="仿宋"/>
                <w:color w:val="000000"/>
                <w:kern w:val="0"/>
                <w:sz w:val="22"/>
                <w:szCs w:val="22"/>
                <w:lang w:bidi="ar"/>
              </w:rPr>
              <w:t>建筑物补偿标准</w:t>
            </w:r>
          </w:p>
        </w:tc>
      </w:tr>
      <w:tr>
        <w:tblPrEx>
          <w:tblLayout w:type="fixed"/>
          <w:tblCellMar>
            <w:top w:w="15" w:type="dxa"/>
            <w:left w:w="15" w:type="dxa"/>
            <w:bottom w:w="15" w:type="dxa"/>
            <w:right w:w="15" w:type="dxa"/>
          </w:tblCellMar>
        </w:tblPrEx>
        <w:trPr>
          <w:trHeight w:val="358" w:hRule="atLeast"/>
        </w:trPr>
        <w:tc>
          <w:tcPr>
            <w:tcW w:w="1047" w:type="dxa"/>
            <w:shd w:val="clear" w:color="auto" w:fill="auto"/>
            <w:vAlign w:val="center"/>
          </w:tcPr>
          <w:p>
            <w:pPr>
              <w:jc w:val="center"/>
              <w:rPr>
                <w:rFonts w:ascii="仿宋" w:hAnsi="仿宋" w:eastAsia="仿宋" w:cs="仿宋"/>
                <w:color w:val="000000"/>
                <w:sz w:val="22"/>
                <w:szCs w:val="22"/>
              </w:rPr>
            </w:pPr>
          </w:p>
        </w:tc>
        <w:tc>
          <w:tcPr>
            <w:tcW w:w="1516" w:type="dxa"/>
            <w:shd w:val="clear" w:color="auto" w:fill="auto"/>
            <w:vAlign w:val="center"/>
          </w:tcPr>
          <w:p>
            <w:pPr>
              <w:jc w:val="center"/>
              <w:rPr>
                <w:rFonts w:ascii="仿宋" w:hAnsi="仿宋" w:eastAsia="仿宋" w:cs="仿宋"/>
                <w:color w:val="000000"/>
                <w:sz w:val="22"/>
                <w:szCs w:val="22"/>
              </w:rPr>
            </w:pPr>
          </w:p>
        </w:tc>
        <w:tc>
          <w:tcPr>
            <w:tcW w:w="4305" w:type="dxa"/>
            <w:shd w:val="clear" w:color="auto" w:fill="auto"/>
            <w:vAlign w:val="center"/>
          </w:tcPr>
          <w:p>
            <w:pPr>
              <w:jc w:val="center"/>
              <w:rPr>
                <w:rFonts w:ascii="仿宋" w:hAnsi="仿宋" w:eastAsia="仿宋" w:cs="仿宋"/>
                <w:color w:val="000000"/>
                <w:sz w:val="22"/>
                <w:szCs w:val="22"/>
              </w:rPr>
            </w:pPr>
          </w:p>
        </w:tc>
        <w:tc>
          <w:tcPr>
            <w:tcW w:w="1732" w:type="dxa"/>
            <w:shd w:val="clear" w:color="auto" w:fill="auto"/>
            <w:vAlign w:val="center"/>
          </w:tcPr>
          <w:p>
            <w:pPr>
              <w:jc w:val="center"/>
              <w:rPr>
                <w:rFonts w:ascii="仿宋" w:hAnsi="仿宋" w:eastAsia="仿宋" w:cs="仿宋"/>
                <w:color w:val="000000"/>
                <w:sz w:val="22"/>
                <w:szCs w:val="22"/>
              </w:rPr>
            </w:pPr>
          </w:p>
        </w:tc>
        <w:tc>
          <w:tcPr>
            <w:tcW w:w="1503" w:type="dxa"/>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单位：元/平方米</w:t>
            </w: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补偿项目</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说明</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框架结构</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1882</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砖混结构</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砖木结构</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土木结构</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简易结构</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1272"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钢屋1架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桩基独立基础及梁、柱、板、屋面等承重构件均为承载力较大的钢筋混凝土或钢结构结构，围护结构为混凝土、砖或其他高档轻质材料或者砼墙，一般可划分为1类</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1262"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钢屋2架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桩基独立基础及梁、柱、板、屋面等承重构件均为承载力较好的钢结构，围护结构为混凝土、砖、夹层复合彩钢板或其他中档轻质材料，一般可划入2类</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974"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钢屋3架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桩基独立基础及梁、柱、板、屋面等承重构件均为承载力一般的钢结构，围护结构为砖或者其他较差轻质材料，一般可划入3类</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675" w:hRule="atLeast"/>
        </w:trPr>
        <w:tc>
          <w:tcPr>
            <w:tcW w:w="104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51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钢屋4架</w:t>
            </w:r>
          </w:p>
        </w:tc>
        <w:tc>
          <w:tcPr>
            <w:tcW w:w="430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简易支撑，无围护结构或简易围护结构，简易单层彩钢瓦屋盖，承重结构较差的，一般可划入4类</w:t>
            </w:r>
          </w:p>
        </w:tc>
        <w:tc>
          <w:tcPr>
            <w:tcW w:w="17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1503" w:type="dxa"/>
            <w:tcBorders>
              <w:top w:val="single" w:color="000000" w:sz="4" w:space="0"/>
              <w:left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79" w:hRule="atLeast"/>
        </w:trPr>
        <w:tc>
          <w:tcPr>
            <w:tcW w:w="10103"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注：</w:t>
            </w:r>
          </w:p>
        </w:tc>
      </w:tr>
      <w:tr>
        <w:tblPrEx>
          <w:tblLayout w:type="fixed"/>
          <w:tblCellMar>
            <w:top w:w="15" w:type="dxa"/>
            <w:left w:w="15" w:type="dxa"/>
            <w:bottom w:w="15" w:type="dxa"/>
            <w:right w:w="15" w:type="dxa"/>
          </w:tblCellMar>
        </w:tblPrEx>
        <w:trPr>
          <w:trHeight w:val="358" w:hRule="atLeast"/>
        </w:trPr>
        <w:tc>
          <w:tcPr>
            <w:tcW w:w="10103" w:type="dxa"/>
            <w:gridSpan w:val="5"/>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1、上述补偿标准为指导价；</w:t>
            </w:r>
          </w:p>
        </w:tc>
      </w:tr>
      <w:tr>
        <w:tblPrEx>
          <w:tblLayout w:type="fixed"/>
          <w:tblCellMar>
            <w:top w:w="15" w:type="dxa"/>
            <w:left w:w="15" w:type="dxa"/>
            <w:bottom w:w="15" w:type="dxa"/>
            <w:right w:w="15" w:type="dxa"/>
          </w:tblCellMar>
        </w:tblPrEx>
        <w:trPr>
          <w:trHeight w:val="358" w:hRule="atLeast"/>
        </w:trPr>
        <w:tc>
          <w:tcPr>
            <w:tcW w:w="10103" w:type="dxa"/>
            <w:gridSpan w:val="5"/>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2、未覆盖项目及特殊情况下可委托专业评估机构评估；</w:t>
            </w:r>
          </w:p>
        </w:tc>
      </w:tr>
      <w:tr>
        <w:tblPrEx>
          <w:tblLayout w:type="fixed"/>
          <w:tblCellMar>
            <w:top w:w="15" w:type="dxa"/>
            <w:left w:w="15" w:type="dxa"/>
            <w:bottom w:w="15" w:type="dxa"/>
            <w:right w:w="15" w:type="dxa"/>
          </w:tblCellMar>
        </w:tblPrEx>
        <w:trPr>
          <w:trHeight w:val="358" w:hRule="atLeast"/>
        </w:trPr>
        <w:tc>
          <w:tcPr>
            <w:tcW w:w="10103" w:type="dxa"/>
            <w:gridSpan w:val="5"/>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3、该补偿价格不包含装修、钢构瓦、彩钢瓦、仿古建筑,按专业评估机构评估确定；</w:t>
            </w:r>
          </w:p>
        </w:tc>
      </w:tr>
      <w:tr>
        <w:tblPrEx>
          <w:tblLayout w:type="fixed"/>
          <w:tblCellMar>
            <w:top w:w="15" w:type="dxa"/>
            <w:left w:w="15" w:type="dxa"/>
            <w:bottom w:w="15" w:type="dxa"/>
            <w:right w:w="15" w:type="dxa"/>
          </w:tblCellMar>
        </w:tblPrEx>
        <w:trPr>
          <w:trHeight w:val="379" w:hRule="atLeast"/>
        </w:trPr>
        <w:tc>
          <w:tcPr>
            <w:tcW w:w="10103" w:type="dxa"/>
            <w:gridSpan w:val="5"/>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4、超建部分的补偿标准按专业评估机构评估确定。</w:t>
            </w:r>
          </w:p>
        </w:tc>
      </w:tr>
    </w:tbl>
    <w:p/>
    <w:p>
      <w:pPr>
        <w:pStyle w:val="25"/>
        <w:ind w:firstLine="0" w:firstLineChars="0"/>
        <w:rPr>
          <w:rFonts w:ascii="仿宋_GB2312" w:hAnsi="仿宋_GB2312" w:eastAsia="仿宋_GB2312" w:cs="仿宋_GB2312"/>
          <w:sz w:val="28"/>
          <w:szCs w:val="28"/>
        </w:rPr>
      </w:pPr>
    </w:p>
    <w:tbl>
      <w:tblPr>
        <w:tblStyle w:val="23"/>
        <w:tblpPr w:leftFromText="180" w:rightFromText="180" w:vertAnchor="text" w:horzAnchor="page" w:tblpX="1319" w:tblpY="174"/>
        <w:tblOverlap w:val="never"/>
        <w:tblW w:w="8940" w:type="dxa"/>
        <w:tblInd w:w="0" w:type="dxa"/>
        <w:tblLayout w:type="fixed"/>
        <w:tblCellMar>
          <w:top w:w="15" w:type="dxa"/>
          <w:left w:w="15" w:type="dxa"/>
          <w:bottom w:w="15" w:type="dxa"/>
          <w:right w:w="15" w:type="dxa"/>
        </w:tblCellMar>
      </w:tblPr>
      <w:tblGrid>
        <w:gridCol w:w="911"/>
        <w:gridCol w:w="1218"/>
        <w:gridCol w:w="2051"/>
        <w:gridCol w:w="1394"/>
        <w:gridCol w:w="1177"/>
        <w:gridCol w:w="1281"/>
        <w:gridCol w:w="908"/>
      </w:tblGrid>
      <w:tr>
        <w:tblPrEx>
          <w:tblLayout w:type="fixed"/>
          <w:tblCellMar>
            <w:top w:w="15" w:type="dxa"/>
            <w:left w:w="15" w:type="dxa"/>
            <w:bottom w:w="15" w:type="dxa"/>
            <w:right w:w="15" w:type="dxa"/>
          </w:tblCellMar>
        </w:tblPrEx>
        <w:trPr>
          <w:trHeight w:val="527" w:hRule="atLeast"/>
        </w:trPr>
        <w:tc>
          <w:tcPr>
            <w:tcW w:w="8940" w:type="dxa"/>
            <w:gridSpan w:val="7"/>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表二 嵩明县2021</w:t>
            </w:r>
            <w:r>
              <w:rPr>
                <w:rFonts w:hint="eastAsia" w:ascii="仿宋" w:hAnsi="仿宋" w:eastAsia="仿宋" w:cs="仿宋"/>
                <w:color w:val="000000"/>
                <w:kern w:val="0"/>
                <w:sz w:val="22"/>
                <w:szCs w:val="22"/>
                <w:lang w:val="en-US" w:eastAsia="zh-CN" w:bidi="ar"/>
              </w:rPr>
              <w:t>年</w:t>
            </w:r>
            <w:r>
              <w:rPr>
                <w:rFonts w:hint="eastAsia" w:ascii="仿宋" w:hAnsi="仿宋" w:eastAsia="仿宋" w:cs="仿宋"/>
                <w:color w:val="000000"/>
                <w:kern w:val="0"/>
                <w:sz w:val="22"/>
                <w:szCs w:val="22"/>
                <w:lang w:bidi="ar"/>
              </w:rPr>
              <w:t>构筑物及其他附属设施补偿标准</w:t>
            </w: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1218"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补偿项目 </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规格 </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说明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围墙</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通透式栅栏、土围墙</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砖、石围墙 </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地坪</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水池</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水窖</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化粪池</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672"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水井</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深井（有行政许可手续）</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水井（民用生活用水）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沼气池</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砖砌</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玻璃钢</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元/个</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鱼塘</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鱼苗塘</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普通</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大棚拆迁</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竹架</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水泥架</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钢架</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713"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育苗池</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另增1000元搬迁费</w:t>
            </w: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石方</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砼</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元/立方米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灶台</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131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马赛克、水洗石、花岗岩、大理石墙面瓷砖大门</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太阳能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平板</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真空管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宽带</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草坪绿化</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无盖水沟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有盖水沟</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8m以上</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8m以下</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木头电杆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钢管电杆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室外铁楼梯</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元/平方米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不锈钢围栏</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花台</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元/米</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水箱</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元/个</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416" w:hRule="atLeast"/>
        </w:trPr>
        <w:tc>
          <w:tcPr>
            <w:tcW w:w="8940" w:type="dxa"/>
            <w:gridSpan w:val="7"/>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注：</w:t>
            </w:r>
          </w:p>
        </w:tc>
      </w:tr>
      <w:tr>
        <w:tblPrEx>
          <w:tblLayout w:type="fixed"/>
          <w:tblCellMar>
            <w:top w:w="15" w:type="dxa"/>
            <w:left w:w="15" w:type="dxa"/>
            <w:bottom w:w="15" w:type="dxa"/>
            <w:right w:w="15" w:type="dxa"/>
          </w:tblCellMar>
        </w:tblPrEx>
        <w:trPr>
          <w:trHeight w:val="386" w:hRule="atLeast"/>
        </w:trPr>
        <w:tc>
          <w:tcPr>
            <w:tcW w:w="89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1、上述补偿标准为指导价；</w:t>
            </w:r>
          </w:p>
        </w:tc>
      </w:tr>
      <w:tr>
        <w:tblPrEx>
          <w:tblLayout w:type="fixed"/>
          <w:tblCellMar>
            <w:top w:w="15" w:type="dxa"/>
            <w:left w:w="15" w:type="dxa"/>
            <w:bottom w:w="15" w:type="dxa"/>
            <w:right w:w="15" w:type="dxa"/>
          </w:tblCellMar>
        </w:tblPrEx>
        <w:trPr>
          <w:trHeight w:val="386" w:hRule="atLeast"/>
        </w:trPr>
        <w:tc>
          <w:tcPr>
            <w:tcW w:w="89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2、厕所（砖混、砖木、土木结构）按建筑面积计补，其他简易厕所，视情况按每个500元计补；</w:t>
            </w:r>
          </w:p>
        </w:tc>
      </w:tr>
      <w:tr>
        <w:tblPrEx>
          <w:tblLayout w:type="fixed"/>
          <w:tblCellMar>
            <w:top w:w="15" w:type="dxa"/>
            <w:left w:w="15" w:type="dxa"/>
            <w:bottom w:w="15" w:type="dxa"/>
            <w:right w:w="15" w:type="dxa"/>
          </w:tblCellMar>
        </w:tblPrEx>
        <w:trPr>
          <w:trHeight w:val="683" w:hRule="atLeast"/>
        </w:trPr>
        <w:tc>
          <w:tcPr>
            <w:tcW w:w="89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3、大棚拆迁：简易型育苗池、双层大棚、有自动喷灌设施；光缆；水管委托第三方机构进行评估，按评估价补偿；</w:t>
            </w:r>
          </w:p>
        </w:tc>
      </w:tr>
      <w:tr>
        <w:tblPrEx>
          <w:tblLayout w:type="fixed"/>
          <w:tblCellMar>
            <w:top w:w="15" w:type="dxa"/>
            <w:left w:w="15" w:type="dxa"/>
            <w:bottom w:w="15" w:type="dxa"/>
            <w:right w:w="15" w:type="dxa"/>
          </w:tblCellMar>
        </w:tblPrEx>
        <w:trPr>
          <w:trHeight w:val="416" w:hRule="atLeast"/>
        </w:trPr>
        <w:tc>
          <w:tcPr>
            <w:tcW w:w="8940" w:type="dxa"/>
            <w:gridSpan w:val="7"/>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4、未覆盖项目及特殊情况下可委托专业评估机构评估。</w:t>
            </w:r>
          </w:p>
        </w:tc>
      </w:tr>
    </w:tbl>
    <w:p>
      <w:pPr>
        <w:pStyle w:val="25"/>
        <w:ind w:firstLine="0" w:firstLineChars="0"/>
        <w:rPr>
          <w:rFonts w:ascii="仿宋_GB2312" w:hAnsi="仿宋_GB2312" w:eastAsia="仿宋_GB2312" w:cs="仿宋_GB2312"/>
          <w:sz w:val="28"/>
          <w:szCs w:val="28"/>
        </w:rPr>
      </w:pPr>
    </w:p>
    <w:p/>
    <w:tbl>
      <w:tblPr>
        <w:tblStyle w:val="23"/>
        <w:tblW w:w="9140" w:type="dxa"/>
        <w:tblInd w:w="0" w:type="dxa"/>
        <w:tblLayout w:type="fixed"/>
        <w:tblCellMar>
          <w:top w:w="15" w:type="dxa"/>
          <w:left w:w="15" w:type="dxa"/>
          <w:bottom w:w="15" w:type="dxa"/>
          <w:right w:w="15" w:type="dxa"/>
        </w:tblCellMar>
      </w:tblPr>
      <w:tblGrid>
        <w:gridCol w:w="543"/>
        <w:gridCol w:w="978"/>
        <w:gridCol w:w="1969"/>
        <w:gridCol w:w="2200"/>
        <w:gridCol w:w="530"/>
        <w:gridCol w:w="1073"/>
        <w:gridCol w:w="1847"/>
      </w:tblGrid>
      <w:tr>
        <w:tblPrEx>
          <w:tblLayout w:type="fixed"/>
          <w:tblCellMar>
            <w:top w:w="15" w:type="dxa"/>
            <w:left w:w="15" w:type="dxa"/>
            <w:bottom w:w="15" w:type="dxa"/>
            <w:right w:w="15" w:type="dxa"/>
          </w:tblCellMar>
        </w:tblPrEx>
        <w:trPr>
          <w:trHeight w:val="90" w:hRule="atLeast"/>
        </w:trPr>
        <w:tc>
          <w:tcPr>
            <w:tcW w:w="9140" w:type="dxa"/>
            <w:gridSpan w:val="7"/>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表三 嵩明县202</w:t>
            </w:r>
            <w:r>
              <w:rPr>
                <w:rFonts w:hint="eastAsia" w:ascii="仿宋" w:hAnsi="仿宋" w:eastAsia="仿宋" w:cs="仿宋"/>
                <w:color w:val="000000"/>
                <w:kern w:val="0"/>
                <w:sz w:val="22"/>
                <w:szCs w:val="22"/>
                <w:lang w:val="en-US" w:eastAsia="zh-CN" w:bidi="ar"/>
              </w:rPr>
              <w:t>1年</w:t>
            </w:r>
            <w:r>
              <w:rPr>
                <w:rFonts w:hint="eastAsia" w:ascii="仿宋" w:hAnsi="仿宋" w:eastAsia="仿宋" w:cs="仿宋"/>
                <w:color w:val="000000"/>
                <w:kern w:val="0"/>
                <w:sz w:val="22"/>
                <w:szCs w:val="22"/>
                <w:lang w:bidi="ar"/>
              </w:rPr>
              <w:t>成片（零星）林木补偿标准表</w:t>
            </w:r>
          </w:p>
        </w:tc>
      </w:tr>
      <w:tr>
        <w:tblPrEx>
          <w:tblLayout w:type="fixed"/>
          <w:tblCellMar>
            <w:top w:w="15" w:type="dxa"/>
            <w:left w:w="15" w:type="dxa"/>
            <w:bottom w:w="15" w:type="dxa"/>
            <w:right w:w="15" w:type="dxa"/>
          </w:tblCellMar>
        </w:tblPrEx>
        <w:trPr>
          <w:trHeight w:val="90" w:hRule="atLeast"/>
        </w:trPr>
        <w:tc>
          <w:tcPr>
            <w:tcW w:w="543" w:type="dxa"/>
            <w:shd w:val="clear" w:color="auto" w:fill="auto"/>
            <w:vAlign w:val="center"/>
          </w:tcPr>
          <w:p>
            <w:pPr>
              <w:jc w:val="center"/>
              <w:rPr>
                <w:rFonts w:ascii="仿宋" w:hAnsi="仿宋" w:eastAsia="仿宋" w:cs="仿宋"/>
                <w:color w:val="000000"/>
                <w:sz w:val="20"/>
                <w:szCs w:val="20"/>
              </w:rPr>
            </w:pPr>
          </w:p>
        </w:tc>
        <w:tc>
          <w:tcPr>
            <w:tcW w:w="978" w:type="dxa"/>
            <w:shd w:val="clear" w:color="auto" w:fill="auto"/>
            <w:vAlign w:val="center"/>
          </w:tcPr>
          <w:p>
            <w:pPr>
              <w:rPr>
                <w:rFonts w:ascii="仿宋" w:hAnsi="仿宋" w:eastAsia="仿宋" w:cs="仿宋"/>
                <w:color w:val="000000"/>
                <w:sz w:val="20"/>
                <w:szCs w:val="20"/>
              </w:rPr>
            </w:pPr>
          </w:p>
        </w:tc>
        <w:tc>
          <w:tcPr>
            <w:tcW w:w="1969" w:type="dxa"/>
            <w:shd w:val="clear" w:color="auto" w:fill="auto"/>
            <w:vAlign w:val="center"/>
          </w:tcPr>
          <w:p>
            <w:pPr>
              <w:rPr>
                <w:rFonts w:ascii="仿宋" w:hAnsi="仿宋" w:eastAsia="仿宋" w:cs="仿宋"/>
                <w:color w:val="000000"/>
                <w:sz w:val="20"/>
                <w:szCs w:val="20"/>
              </w:rPr>
            </w:pPr>
          </w:p>
        </w:tc>
        <w:tc>
          <w:tcPr>
            <w:tcW w:w="2200" w:type="dxa"/>
            <w:shd w:val="clear" w:color="auto" w:fill="auto"/>
            <w:vAlign w:val="center"/>
          </w:tcPr>
          <w:p>
            <w:pPr>
              <w:jc w:val="center"/>
              <w:rPr>
                <w:rFonts w:ascii="仿宋" w:hAnsi="仿宋" w:eastAsia="仿宋" w:cs="仿宋"/>
                <w:color w:val="000000"/>
                <w:sz w:val="20"/>
                <w:szCs w:val="20"/>
              </w:rPr>
            </w:pPr>
          </w:p>
        </w:tc>
        <w:tc>
          <w:tcPr>
            <w:tcW w:w="530" w:type="dxa"/>
            <w:shd w:val="clear" w:color="auto" w:fill="auto"/>
            <w:vAlign w:val="center"/>
          </w:tcPr>
          <w:p>
            <w:pPr>
              <w:jc w:val="center"/>
              <w:rPr>
                <w:rFonts w:ascii="仿宋" w:hAnsi="仿宋" w:eastAsia="仿宋" w:cs="仿宋"/>
                <w:color w:val="000000"/>
                <w:sz w:val="20"/>
                <w:szCs w:val="20"/>
              </w:rPr>
            </w:pPr>
          </w:p>
        </w:tc>
        <w:tc>
          <w:tcPr>
            <w:tcW w:w="1073" w:type="dxa"/>
            <w:shd w:val="clear" w:color="auto" w:fill="auto"/>
            <w:vAlign w:val="center"/>
          </w:tcPr>
          <w:p>
            <w:pPr>
              <w:jc w:val="center"/>
              <w:rPr>
                <w:rFonts w:ascii="仿宋" w:hAnsi="仿宋" w:eastAsia="仿宋" w:cs="仿宋"/>
                <w:color w:val="000000"/>
                <w:sz w:val="22"/>
                <w:szCs w:val="22"/>
              </w:rPr>
            </w:pPr>
          </w:p>
        </w:tc>
        <w:tc>
          <w:tcPr>
            <w:tcW w:w="1847"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单位：元</w:t>
            </w:r>
          </w:p>
        </w:tc>
      </w:tr>
      <w:tr>
        <w:tblPrEx>
          <w:tblLayout w:type="fixed"/>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林木名称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龄组（生长发育阶段）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Layout w:type="fixed"/>
          <w:tblCellMar>
            <w:top w:w="15" w:type="dxa"/>
            <w:left w:w="15" w:type="dxa"/>
            <w:bottom w:w="15" w:type="dxa"/>
            <w:right w:w="15" w:type="dxa"/>
          </w:tblCellMar>
        </w:tblPrEx>
        <w:trPr>
          <w:trHeight w:val="90" w:hRule="atLeast"/>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桉树、杨树、圣诞树</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幼龄林</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≤5年</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1500</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种植密度：80株/亩</w:t>
            </w:r>
          </w:p>
        </w:tc>
      </w:tr>
      <w:tr>
        <w:tblPrEx>
          <w:tblLayout w:type="fixed"/>
          <w:tblCellMar>
            <w:top w:w="15" w:type="dxa"/>
            <w:left w:w="15" w:type="dxa"/>
            <w:bottom w:w="15" w:type="dxa"/>
            <w:right w:w="15" w:type="dxa"/>
          </w:tblCellMar>
        </w:tblPrEx>
        <w:trPr>
          <w:trHeight w:val="9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中龄林（近熟林）</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6-15年</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9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成熟林（过熟林）</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≥16年</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3500</w:t>
            </w: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0" w:hRule="atLeast"/>
        </w:trPr>
        <w:tc>
          <w:tcPr>
            <w:tcW w:w="91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注：</w:t>
            </w:r>
          </w:p>
        </w:tc>
      </w:tr>
      <w:tr>
        <w:tblPrEx>
          <w:tblLayout w:type="fixed"/>
          <w:tblCellMar>
            <w:top w:w="15" w:type="dxa"/>
            <w:left w:w="15" w:type="dxa"/>
            <w:bottom w:w="15" w:type="dxa"/>
            <w:right w:w="15" w:type="dxa"/>
          </w:tblCellMar>
        </w:tblPrEx>
        <w:trPr>
          <w:trHeight w:val="90" w:hRule="atLeast"/>
        </w:trPr>
        <w:tc>
          <w:tcPr>
            <w:tcW w:w="91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1、上述补偿标准为指导价；</w:t>
            </w:r>
          </w:p>
        </w:tc>
      </w:tr>
      <w:tr>
        <w:tblPrEx>
          <w:tblLayout w:type="fixed"/>
          <w:tblCellMar>
            <w:top w:w="15" w:type="dxa"/>
            <w:left w:w="15" w:type="dxa"/>
            <w:bottom w:w="15" w:type="dxa"/>
            <w:right w:w="15" w:type="dxa"/>
          </w:tblCellMar>
        </w:tblPrEx>
        <w:trPr>
          <w:trHeight w:val="90" w:hRule="atLeast"/>
        </w:trPr>
        <w:tc>
          <w:tcPr>
            <w:tcW w:w="9140" w:type="dxa"/>
            <w:gridSpan w:val="7"/>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2、如本标准未覆盖或有特殊情况的可按价值相近原则参照执行或委托第三方机构进行评估；</w:t>
            </w:r>
          </w:p>
        </w:tc>
      </w:tr>
      <w:tr>
        <w:tblPrEx>
          <w:tblLayout w:type="fixed"/>
          <w:tblCellMar>
            <w:top w:w="15" w:type="dxa"/>
            <w:left w:w="15" w:type="dxa"/>
            <w:bottom w:w="15" w:type="dxa"/>
            <w:right w:w="15" w:type="dxa"/>
          </w:tblCellMar>
        </w:tblPrEx>
        <w:trPr>
          <w:trHeight w:val="90" w:hRule="atLeast"/>
        </w:trPr>
        <w:tc>
          <w:tcPr>
            <w:tcW w:w="9140" w:type="dxa"/>
            <w:gridSpan w:val="7"/>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3、超过规定种植密度的不予补偿，未超过的按实计补。</w:t>
            </w:r>
          </w:p>
        </w:tc>
      </w:tr>
    </w:tbl>
    <w:p>
      <w:pPr>
        <w:pStyle w:val="2"/>
        <w:ind w:firstLine="600"/>
      </w:pPr>
    </w:p>
    <w:tbl>
      <w:tblPr>
        <w:tblStyle w:val="23"/>
        <w:tblW w:w="9560" w:type="dxa"/>
        <w:tblInd w:w="0" w:type="dxa"/>
        <w:tblLayout w:type="fixed"/>
        <w:tblCellMar>
          <w:top w:w="15" w:type="dxa"/>
          <w:left w:w="15" w:type="dxa"/>
          <w:bottom w:w="15" w:type="dxa"/>
          <w:right w:w="15" w:type="dxa"/>
        </w:tblCellMar>
      </w:tblPr>
      <w:tblGrid>
        <w:gridCol w:w="622"/>
        <w:gridCol w:w="5"/>
        <w:gridCol w:w="886"/>
        <w:gridCol w:w="292"/>
        <w:gridCol w:w="1515"/>
        <w:gridCol w:w="78"/>
        <w:gridCol w:w="1718"/>
        <w:gridCol w:w="136"/>
        <w:gridCol w:w="797"/>
        <w:gridCol w:w="87"/>
        <w:gridCol w:w="887"/>
        <w:gridCol w:w="73"/>
        <w:gridCol w:w="1624"/>
        <w:gridCol w:w="840"/>
      </w:tblGrid>
      <w:tr>
        <w:tblPrEx>
          <w:tblLayout w:type="fixed"/>
          <w:tblCellMar>
            <w:top w:w="15" w:type="dxa"/>
            <w:left w:w="15" w:type="dxa"/>
            <w:bottom w:w="15" w:type="dxa"/>
            <w:right w:w="15" w:type="dxa"/>
          </w:tblCellMar>
        </w:tblPrEx>
        <w:trPr>
          <w:gridAfter w:val="1"/>
          <w:wAfter w:w="840" w:type="dxa"/>
          <w:trHeight w:val="641" w:hRule="atLeast"/>
        </w:trPr>
        <w:tc>
          <w:tcPr>
            <w:tcW w:w="8720" w:type="dxa"/>
            <w:gridSpan w:val="13"/>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表四 嵩明县2021</w:t>
            </w:r>
            <w:r>
              <w:rPr>
                <w:rFonts w:hint="eastAsia" w:ascii="仿宋" w:hAnsi="仿宋" w:eastAsia="仿宋" w:cs="仿宋"/>
                <w:color w:val="000000"/>
                <w:kern w:val="0"/>
                <w:sz w:val="22"/>
                <w:szCs w:val="22"/>
                <w:lang w:val="en-US" w:eastAsia="zh-CN" w:bidi="ar"/>
              </w:rPr>
              <w:t>年</w:t>
            </w:r>
            <w:r>
              <w:rPr>
                <w:rFonts w:hint="eastAsia" w:ascii="仿宋" w:hAnsi="仿宋" w:eastAsia="仿宋" w:cs="仿宋"/>
                <w:color w:val="000000"/>
                <w:kern w:val="0"/>
                <w:sz w:val="22"/>
                <w:szCs w:val="22"/>
                <w:lang w:bidi="ar"/>
              </w:rPr>
              <w:t>成片（零星）果木补偿标准表</w:t>
            </w:r>
          </w:p>
        </w:tc>
      </w:tr>
      <w:tr>
        <w:tblPrEx>
          <w:tblLayout w:type="fixed"/>
          <w:tblCellMar>
            <w:top w:w="15" w:type="dxa"/>
            <w:left w:w="15" w:type="dxa"/>
            <w:bottom w:w="15" w:type="dxa"/>
            <w:right w:w="15" w:type="dxa"/>
          </w:tblCellMar>
        </w:tblPrEx>
        <w:trPr>
          <w:gridAfter w:val="1"/>
          <w:wAfter w:w="840" w:type="dxa"/>
          <w:trHeight w:val="420" w:hRule="atLeast"/>
        </w:trPr>
        <w:tc>
          <w:tcPr>
            <w:tcW w:w="627" w:type="dxa"/>
            <w:gridSpan w:val="2"/>
            <w:shd w:val="clear" w:color="auto" w:fill="auto"/>
            <w:vAlign w:val="center"/>
          </w:tcPr>
          <w:p>
            <w:pPr>
              <w:rPr>
                <w:rFonts w:ascii="仿宋" w:hAnsi="仿宋" w:eastAsia="仿宋" w:cs="仿宋"/>
                <w:color w:val="000000"/>
                <w:sz w:val="22"/>
                <w:szCs w:val="22"/>
              </w:rPr>
            </w:pPr>
          </w:p>
        </w:tc>
        <w:tc>
          <w:tcPr>
            <w:tcW w:w="886" w:type="dxa"/>
            <w:shd w:val="clear" w:color="auto" w:fill="auto"/>
            <w:vAlign w:val="center"/>
          </w:tcPr>
          <w:p>
            <w:pPr>
              <w:rPr>
                <w:rFonts w:ascii="仿宋" w:hAnsi="仿宋" w:eastAsia="仿宋" w:cs="仿宋"/>
                <w:color w:val="000000"/>
                <w:sz w:val="22"/>
                <w:szCs w:val="22"/>
              </w:rPr>
            </w:pPr>
          </w:p>
        </w:tc>
        <w:tc>
          <w:tcPr>
            <w:tcW w:w="1807" w:type="dxa"/>
            <w:gridSpan w:val="2"/>
            <w:shd w:val="clear" w:color="auto" w:fill="auto"/>
            <w:vAlign w:val="center"/>
          </w:tcPr>
          <w:p>
            <w:pPr>
              <w:jc w:val="center"/>
              <w:rPr>
                <w:rFonts w:ascii="仿宋" w:hAnsi="仿宋" w:eastAsia="仿宋" w:cs="仿宋"/>
                <w:color w:val="000000"/>
                <w:sz w:val="22"/>
                <w:szCs w:val="22"/>
              </w:rPr>
            </w:pPr>
          </w:p>
        </w:tc>
        <w:tc>
          <w:tcPr>
            <w:tcW w:w="1932" w:type="dxa"/>
            <w:gridSpan w:val="3"/>
            <w:shd w:val="clear" w:color="auto" w:fill="auto"/>
            <w:vAlign w:val="center"/>
          </w:tcPr>
          <w:p>
            <w:pPr>
              <w:rPr>
                <w:rFonts w:ascii="仿宋" w:hAnsi="仿宋" w:eastAsia="仿宋" w:cs="仿宋"/>
                <w:color w:val="000000"/>
                <w:sz w:val="22"/>
                <w:szCs w:val="22"/>
              </w:rPr>
            </w:pPr>
          </w:p>
        </w:tc>
        <w:tc>
          <w:tcPr>
            <w:tcW w:w="884" w:type="dxa"/>
            <w:gridSpan w:val="2"/>
            <w:shd w:val="clear" w:color="auto" w:fill="auto"/>
            <w:vAlign w:val="center"/>
          </w:tcPr>
          <w:p>
            <w:pPr>
              <w:jc w:val="center"/>
              <w:rPr>
                <w:rFonts w:ascii="仿宋" w:hAnsi="仿宋" w:eastAsia="仿宋" w:cs="仿宋"/>
                <w:color w:val="000000"/>
                <w:sz w:val="22"/>
                <w:szCs w:val="22"/>
              </w:rPr>
            </w:pPr>
          </w:p>
        </w:tc>
        <w:tc>
          <w:tcPr>
            <w:tcW w:w="887" w:type="dxa"/>
            <w:shd w:val="clear" w:color="auto" w:fill="auto"/>
            <w:vAlign w:val="center"/>
          </w:tcPr>
          <w:p>
            <w:pPr>
              <w:jc w:val="center"/>
              <w:rPr>
                <w:rFonts w:ascii="仿宋" w:hAnsi="仿宋" w:eastAsia="仿宋" w:cs="仿宋"/>
                <w:color w:val="000000"/>
                <w:sz w:val="22"/>
                <w:szCs w:val="22"/>
              </w:rPr>
            </w:pPr>
          </w:p>
        </w:tc>
        <w:tc>
          <w:tcPr>
            <w:tcW w:w="1697" w:type="dxa"/>
            <w:gridSpan w:val="2"/>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单位：元</w:t>
            </w:r>
          </w:p>
        </w:tc>
      </w:tr>
      <w:tr>
        <w:tblPrEx>
          <w:tblLayout w:type="fixed"/>
          <w:tblCellMar>
            <w:top w:w="15" w:type="dxa"/>
            <w:left w:w="15" w:type="dxa"/>
            <w:bottom w:w="15" w:type="dxa"/>
            <w:right w:w="15" w:type="dxa"/>
          </w:tblCellMar>
        </w:tblPrEx>
        <w:trPr>
          <w:gridAfter w:val="1"/>
          <w:wAfter w:w="840" w:type="dxa"/>
          <w:trHeight w:val="536"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果木名称</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龄组（生长发育阶段）</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说明</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桃树、梨树、苹果树、柿子树、李子树、花红树</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地径＜5cm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550</w:t>
            </w:r>
          </w:p>
        </w:tc>
        <w:tc>
          <w:tcPr>
            <w:tcW w:w="169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种植密度：55株/亩</w:t>
            </w: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地径5cm（含）-10cm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1925</w:t>
            </w:r>
          </w:p>
        </w:tc>
        <w:tc>
          <w:tcPr>
            <w:tcW w:w="1697"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地径10cm（含）-20cm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5500</w:t>
            </w:r>
          </w:p>
        </w:tc>
        <w:tc>
          <w:tcPr>
            <w:tcW w:w="1697"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地径20cm（含）-25cm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8250</w:t>
            </w:r>
          </w:p>
        </w:tc>
        <w:tc>
          <w:tcPr>
            <w:tcW w:w="1697"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葡萄树</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地径＜1cm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6660</w:t>
            </w:r>
          </w:p>
        </w:tc>
        <w:tc>
          <w:tcPr>
            <w:tcW w:w="169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种植密度；222株/亩</w:t>
            </w: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地径1cm（含）-2cm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15000</w:t>
            </w:r>
          </w:p>
        </w:tc>
        <w:tc>
          <w:tcPr>
            <w:tcW w:w="1697"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地径2cm（含）-3cm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20000</w:t>
            </w:r>
          </w:p>
        </w:tc>
        <w:tc>
          <w:tcPr>
            <w:tcW w:w="1697"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核桃、板栗树</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地径＜5cm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550</w:t>
            </w:r>
          </w:p>
        </w:tc>
        <w:tc>
          <w:tcPr>
            <w:tcW w:w="16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种植密度：55株/亩</w:t>
            </w: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地径5cm（含）-10cm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1650</w:t>
            </w:r>
          </w:p>
        </w:tc>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地径10cm（含）-20cm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5500</w:t>
            </w:r>
          </w:p>
        </w:tc>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652"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地径20cm（含）-30cm</w:t>
            </w:r>
          </w:p>
        </w:tc>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元/亩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11000</w:t>
            </w:r>
          </w:p>
        </w:tc>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gridAfter w:val="1"/>
          <w:wAfter w:w="840" w:type="dxa"/>
          <w:trHeight w:val="460" w:hRule="atLeast"/>
        </w:trPr>
        <w:tc>
          <w:tcPr>
            <w:tcW w:w="8720" w:type="dxa"/>
            <w:gridSpan w:val="13"/>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注：</w:t>
            </w:r>
          </w:p>
        </w:tc>
      </w:tr>
      <w:tr>
        <w:tblPrEx>
          <w:tblLayout w:type="fixed"/>
          <w:tblCellMar>
            <w:top w:w="15" w:type="dxa"/>
            <w:left w:w="15" w:type="dxa"/>
            <w:bottom w:w="15" w:type="dxa"/>
            <w:right w:w="15" w:type="dxa"/>
          </w:tblCellMar>
        </w:tblPrEx>
        <w:trPr>
          <w:gridAfter w:val="1"/>
          <w:wAfter w:w="840" w:type="dxa"/>
          <w:trHeight w:val="420" w:hRule="atLeast"/>
        </w:trPr>
        <w:tc>
          <w:tcPr>
            <w:tcW w:w="8720" w:type="dxa"/>
            <w:gridSpan w:val="13"/>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1、上述补偿标准为指导价；</w:t>
            </w:r>
          </w:p>
        </w:tc>
      </w:tr>
      <w:tr>
        <w:tblPrEx>
          <w:tblLayout w:type="fixed"/>
          <w:tblCellMar>
            <w:top w:w="15" w:type="dxa"/>
            <w:left w:w="15" w:type="dxa"/>
            <w:bottom w:w="15" w:type="dxa"/>
            <w:right w:w="15" w:type="dxa"/>
          </w:tblCellMar>
        </w:tblPrEx>
        <w:trPr>
          <w:gridAfter w:val="1"/>
          <w:wAfter w:w="840" w:type="dxa"/>
          <w:trHeight w:val="721" w:hRule="atLeast"/>
        </w:trPr>
        <w:tc>
          <w:tcPr>
            <w:tcW w:w="8720" w:type="dxa"/>
            <w:gridSpan w:val="13"/>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2、桃树、梨树、苹果树、柿子树、李子树、花红树地径≥25cm，葡萄树地径≥3cm，核桃、板栗树地径≥30cm按市场价评估。</w:t>
            </w:r>
          </w:p>
        </w:tc>
      </w:tr>
      <w:tr>
        <w:tblPrEx>
          <w:tblLayout w:type="fixed"/>
          <w:tblCellMar>
            <w:top w:w="15" w:type="dxa"/>
            <w:left w:w="15" w:type="dxa"/>
            <w:bottom w:w="15" w:type="dxa"/>
            <w:right w:w="15" w:type="dxa"/>
          </w:tblCellMar>
        </w:tblPrEx>
        <w:trPr>
          <w:gridAfter w:val="1"/>
          <w:wAfter w:w="840" w:type="dxa"/>
          <w:trHeight w:val="420" w:hRule="atLeast"/>
        </w:trPr>
        <w:tc>
          <w:tcPr>
            <w:tcW w:w="8720" w:type="dxa"/>
            <w:gridSpan w:val="13"/>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3、超过规定种植密度的不予补偿，未超过的按实计补；</w:t>
            </w:r>
          </w:p>
        </w:tc>
      </w:tr>
      <w:tr>
        <w:tblPrEx>
          <w:tblLayout w:type="fixed"/>
          <w:tblCellMar>
            <w:top w:w="15" w:type="dxa"/>
            <w:left w:w="15" w:type="dxa"/>
            <w:bottom w:w="15" w:type="dxa"/>
            <w:right w:w="15" w:type="dxa"/>
          </w:tblCellMar>
        </w:tblPrEx>
        <w:trPr>
          <w:gridAfter w:val="1"/>
          <w:wAfter w:w="840" w:type="dxa"/>
          <w:trHeight w:val="721" w:hRule="atLeast"/>
        </w:trPr>
        <w:tc>
          <w:tcPr>
            <w:tcW w:w="8720" w:type="dxa"/>
            <w:gridSpan w:val="13"/>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4、本标准所指桃树、梨树、苹果树、柿子树、李子树、花红树、核桃、板栗树地径为距地面30cm高处所量直径，葡萄主蔓地径指距地面20cm处所量直径；</w:t>
            </w:r>
          </w:p>
        </w:tc>
      </w:tr>
      <w:tr>
        <w:tblPrEx>
          <w:tblLayout w:type="fixed"/>
          <w:tblCellMar>
            <w:top w:w="15" w:type="dxa"/>
            <w:left w:w="15" w:type="dxa"/>
            <w:bottom w:w="15" w:type="dxa"/>
            <w:right w:w="15" w:type="dxa"/>
          </w:tblCellMar>
        </w:tblPrEx>
        <w:trPr>
          <w:gridAfter w:val="1"/>
          <w:wAfter w:w="840" w:type="dxa"/>
          <w:trHeight w:val="460" w:hRule="atLeast"/>
        </w:trPr>
        <w:tc>
          <w:tcPr>
            <w:tcW w:w="8720" w:type="dxa"/>
            <w:gridSpan w:val="1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5、如本标准未覆盖或有特殊情况的可按价值相近原则参照执行或委托第三方机构进行评估。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atLeast"/>
        </w:trPr>
        <w:tc>
          <w:tcPr>
            <w:tcW w:w="9560" w:type="dxa"/>
            <w:gridSpan w:val="14"/>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表五  嵩明县2021年其他林木（果木）补偿标准表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622" w:type="dxa"/>
            <w:shd w:val="clear" w:color="auto" w:fill="auto"/>
            <w:vAlign w:val="center"/>
          </w:tcPr>
          <w:p>
            <w:pPr>
              <w:jc w:val="center"/>
              <w:rPr>
                <w:rFonts w:hint="eastAsia" w:ascii="仿宋" w:hAnsi="仿宋" w:eastAsia="仿宋" w:cs="仿宋"/>
                <w:i w:val="0"/>
                <w:color w:val="000000"/>
                <w:sz w:val="22"/>
                <w:szCs w:val="22"/>
                <w:u w:val="none"/>
              </w:rPr>
            </w:pPr>
          </w:p>
        </w:tc>
        <w:tc>
          <w:tcPr>
            <w:tcW w:w="1183" w:type="dxa"/>
            <w:gridSpan w:val="3"/>
            <w:shd w:val="clear" w:color="auto" w:fill="auto"/>
            <w:vAlign w:val="center"/>
          </w:tcPr>
          <w:p>
            <w:pPr>
              <w:jc w:val="center"/>
              <w:rPr>
                <w:rFonts w:hint="eastAsia" w:ascii="仿宋" w:hAnsi="仿宋" w:eastAsia="仿宋" w:cs="仿宋"/>
                <w:i w:val="0"/>
                <w:color w:val="000000"/>
                <w:sz w:val="22"/>
                <w:szCs w:val="22"/>
                <w:u w:val="none"/>
              </w:rPr>
            </w:pPr>
          </w:p>
        </w:tc>
        <w:tc>
          <w:tcPr>
            <w:tcW w:w="1593" w:type="dxa"/>
            <w:gridSpan w:val="2"/>
            <w:shd w:val="clear" w:color="auto" w:fill="auto"/>
            <w:vAlign w:val="center"/>
          </w:tcPr>
          <w:p>
            <w:pPr>
              <w:jc w:val="center"/>
              <w:rPr>
                <w:rFonts w:hint="eastAsia" w:ascii="仿宋" w:hAnsi="仿宋" w:eastAsia="仿宋" w:cs="仿宋"/>
                <w:i w:val="0"/>
                <w:color w:val="000000"/>
                <w:sz w:val="22"/>
                <w:szCs w:val="22"/>
                <w:u w:val="none"/>
              </w:rPr>
            </w:pPr>
          </w:p>
        </w:tc>
        <w:tc>
          <w:tcPr>
            <w:tcW w:w="1718" w:type="dxa"/>
            <w:shd w:val="clear" w:color="auto" w:fill="auto"/>
            <w:vAlign w:val="center"/>
          </w:tcPr>
          <w:p>
            <w:pPr>
              <w:jc w:val="center"/>
              <w:rPr>
                <w:rFonts w:hint="eastAsia" w:ascii="仿宋" w:hAnsi="仿宋" w:eastAsia="仿宋" w:cs="仿宋"/>
                <w:i w:val="0"/>
                <w:color w:val="000000"/>
                <w:sz w:val="22"/>
                <w:szCs w:val="22"/>
                <w:u w:val="none"/>
              </w:rPr>
            </w:pPr>
          </w:p>
        </w:tc>
        <w:tc>
          <w:tcPr>
            <w:tcW w:w="933" w:type="dxa"/>
            <w:gridSpan w:val="2"/>
            <w:shd w:val="clear" w:color="auto" w:fill="auto"/>
            <w:vAlign w:val="center"/>
          </w:tcPr>
          <w:p>
            <w:pPr>
              <w:jc w:val="center"/>
              <w:rPr>
                <w:rFonts w:hint="eastAsia" w:ascii="仿宋" w:hAnsi="仿宋" w:eastAsia="仿宋" w:cs="仿宋"/>
                <w:i w:val="0"/>
                <w:color w:val="000000"/>
                <w:sz w:val="22"/>
                <w:szCs w:val="22"/>
                <w:u w:val="none"/>
              </w:rPr>
            </w:pPr>
          </w:p>
        </w:tc>
        <w:tc>
          <w:tcPr>
            <w:tcW w:w="1047" w:type="dxa"/>
            <w:gridSpan w:val="3"/>
            <w:shd w:val="clear" w:color="auto" w:fill="auto"/>
            <w:vAlign w:val="center"/>
          </w:tcPr>
          <w:p>
            <w:pPr>
              <w:jc w:val="center"/>
              <w:rPr>
                <w:rFonts w:hint="eastAsia" w:ascii="仿宋" w:hAnsi="仿宋" w:eastAsia="仿宋" w:cs="仿宋"/>
                <w:i w:val="0"/>
                <w:color w:val="000000"/>
                <w:sz w:val="22"/>
                <w:szCs w:val="22"/>
                <w:u w:val="none"/>
              </w:rPr>
            </w:pPr>
          </w:p>
        </w:tc>
        <w:tc>
          <w:tcPr>
            <w:tcW w:w="246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11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名称</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生长期</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说明</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补偿标准</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园林绿化树木</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胸径10-30cm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16500</w:t>
            </w:r>
          </w:p>
        </w:tc>
        <w:tc>
          <w:tcPr>
            <w:tcW w:w="2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种植密度：55株/亩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胸径＞30cm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55000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苗圃</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幼龄林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464"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种植密度：75株/亩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中龄林（近熟林）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15000</w:t>
            </w:r>
          </w:p>
        </w:tc>
        <w:tc>
          <w:tcPr>
            <w:tcW w:w="246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成熟林（过熟林）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20000</w:t>
            </w:r>
          </w:p>
        </w:tc>
        <w:tc>
          <w:tcPr>
            <w:tcW w:w="246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竹子</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幼龄竹</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元/平方米</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种植密度：10棵/平方米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壮龄竹</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元/平方米</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种植密度：20棵/平方米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老龄竹</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＞3年</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元/平方米</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种植密度：大于20棵/平方米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花椒树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地径＜10cm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w:t>
            </w:r>
          </w:p>
        </w:tc>
        <w:tc>
          <w:tcPr>
            <w:tcW w:w="2464"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种植密度：55株/亩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地径10cm（含）-20cm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8250</w:t>
            </w:r>
          </w:p>
        </w:tc>
        <w:tc>
          <w:tcPr>
            <w:tcW w:w="2464"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地径20cm（含）-30cm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16500</w:t>
            </w:r>
          </w:p>
        </w:tc>
        <w:tc>
          <w:tcPr>
            <w:tcW w:w="2464" w:type="dxa"/>
            <w:gridSpan w:val="2"/>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椿树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地径＜5cm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w:t>
            </w:r>
          </w:p>
        </w:tc>
        <w:tc>
          <w:tcPr>
            <w:tcW w:w="2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种植密度：55株/亩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地径5cm（含）-10cm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2750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地径10cm（含）-20cm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地径≥20cm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元/亩</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6600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1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杂树</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胸径≤5cm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元/株</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24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种植密度：75株/亩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8"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胸径6-30cm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元/株</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1"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胸径＞30cm</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元/株</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2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1" w:hRule="atLeast"/>
        </w:trPr>
        <w:tc>
          <w:tcPr>
            <w:tcW w:w="9560" w:type="dxa"/>
            <w:gridSpan w:val="1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9560" w:type="dxa"/>
            <w:gridSpan w:val="1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1、上述补偿标准为指导价；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1" w:hRule="atLeast"/>
        </w:trPr>
        <w:tc>
          <w:tcPr>
            <w:tcW w:w="9560" w:type="dxa"/>
            <w:gridSpan w:val="1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2、花椒树地径≥30cm按市场价评估；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1" w:hRule="atLeast"/>
        </w:trPr>
        <w:tc>
          <w:tcPr>
            <w:tcW w:w="9560" w:type="dxa"/>
            <w:gridSpan w:val="1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3、超过规定种植密度的不予补偿，未超过的按实计补；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trPr>
        <w:tc>
          <w:tcPr>
            <w:tcW w:w="9560" w:type="dxa"/>
            <w:gridSpan w:val="1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4、本标准所指地径为距地面1.3米m高处所量直径；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3" w:hRule="atLeast"/>
        </w:trPr>
        <w:tc>
          <w:tcPr>
            <w:tcW w:w="9560" w:type="dxa"/>
            <w:gridSpan w:val="1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5、如本标准未覆盖或有特殊情况的可按价值相近原则参照执行或委托第三方机构进行评估。</w:t>
            </w:r>
          </w:p>
        </w:tc>
      </w:tr>
    </w:tbl>
    <w:p>
      <w:pPr>
        <w:pStyle w:val="2"/>
        <w:rPr>
          <w:rFonts w:hint="eastAsia"/>
        </w:rPr>
      </w:pPr>
    </w:p>
    <w:tbl>
      <w:tblPr>
        <w:tblStyle w:val="2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875"/>
        <w:gridCol w:w="1845"/>
        <w:gridCol w:w="1425"/>
        <w:gridCol w:w="18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180" w:type="dxa"/>
            <w:gridSpan w:val="6"/>
            <w:tcBorders>
              <w:bottom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表六  嵩明县2021坟墓迁移补偿标准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序号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类型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说明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单位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补偿标准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未迁入公墓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砖坟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合墓土坟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合墓砖坟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合墓石坟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有碑无围石或无碑有围坟石单坟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有碑无围石或无碑有围坟石合墓</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有碑有围坟石单坟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有碑有围坟石合墓</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8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墓龙</w:t>
            </w:r>
          </w:p>
        </w:tc>
        <w:tc>
          <w:tcPr>
            <w:tcW w:w="1845" w:type="dxa"/>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14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元/冢</w:t>
            </w: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180" w:type="dxa"/>
            <w:gridSpan w:val="6"/>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180" w:type="dxa"/>
            <w:gridSpan w:val="6"/>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1、上述补偿标准为指导价；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180" w:type="dxa"/>
            <w:gridSpan w:val="6"/>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2、迁入公墓：公墓费用由征迁方直接补偿给公墓管理方，由公墓管理方实施搬迁；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9180" w:type="dxa"/>
            <w:gridSpan w:val="6"/>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3、坟墓迁移补偿范围为嵩明县实施殡葬改革以前（2009年8月1日）死亡安葬的坟墓，对于改革后违反殡葬改革政策偷埋在公墓以外修建的墓龙、坟墓一律不予以补偿；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180"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4、未覆盖项目及特殊情况下可委托专业评估机构评估。</w:t>
            </w:r>
          </w:p>
        </w:tc>
      </w:tr>
    </w:tbl>
    <w:p>
      <w:pPr>
        <w:rPr>
          <w:rFonts w:hint="eastAsia"/>
        </w:rPr>
      </w:pP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二、青苗补偿标准制定初步结果</w:t>
      </w:r>
    </w:p>
    <w:p>
      <w:pPr>
        <w:pStyle w:val="2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综合考虑嵩明县实际情况，结合现行补偿标准组成形式，嵩明县青苗补偿采用统一价，即嵩明县行政区范围内青苗不设等级区。</w:t>
      </w:r>
    </w:p>
    <w:tbl>
      <w:tblPr>
        <w:tblStyle w:val="23"/>
        <w:tblW w:w="8840" w:type="dxa"/>
        <w:tblInd w:w="0" w:type="dxa"/>
        <w:tblLayout w:type="fixed"/>
        <w:tblCellMar>
          <w:top w:w="15" w:type="dxa"/>
          <w:left w:w="15" w:type="dxa"/>
          <w:bottom w:w="15" w:type="dxa"/>
          <w:right w:w="15" w:type="dxa"/>
        </w:tblCellMar>
      </w:tblPr>
      <w:tblGrid>
        <w:gridCol w:w="647"/>
        <w:gridCol w:w="1159"/>
        <w:gridCol w:w="795"/>
        <w:gridCol w:w="915"/>
        <w:gridCol w:w="870"/>
        <w:gridCol w:w="997"/>
        <w:gridCol w:w="930"/>
        <w:gridCol w:w="937"/>
        <w:gridCol w:w="763"/>
        <w:gridCol w:w="827"/>
      </w:tblGrid>
      <w:tr>
        <w:tblPrEx>
          <w:tblLayout w:type="fixed"/>
          <w:tblCellMar>
            <w:top w:w="15" w:type="dxa"/>
            <w:left w:w="15" w:type="dxa"/>
            <w:bottom w:w="15" w:type="dxa"/>
            <w:right w:w="15" w:type="dxa"/>
          </w:tblCellMar>
        </w:tblPrEx>
        <w:trPr>
          <w:trHeight w:val="520" w:hRule="atLeast"/>
        </w:trPr>
        <w:tc>
          <w:tcPr>
            <w:tcW w:w="8840" w:type="dxa"/>
            <w:gridSpan w:val="10"/>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表七 嵩明县2021青苗补偿标准表</w:t>
            </w:r>
          </w:p>
        </w:tc>
      </w:tr>
      <w:tr>
        <w:tblPrEx>
          <w:tblLayout w:type="fixed"/>
          <w:tblCellMar>
            <w:top w:w="15" w:type="dxa"/>
            <w:left w:w="15" w:type="dxa"/>
            <w:bottom w:w="15" w:type="dxa"/>
            <w:right w:w="15" w:type="dxa"/>
          </w:tblCellMar>
        </w:tblPrEx>
        <w:trPr>
          <w:trHeight w:val="312" w:hRule="atLeast"/>
        </w:trPr>
        <w:tc>
          <w:tcPr>
            <w:tcW w:w="647" w:type="dxa"/>
            <w:shd w:val="clear" w:color="auto" w:fill="auto"/>
            <w:vAlign w:val="center"/>
          </w:tcPr>
          <w:p>
            <w:pPr>
              <w:rPr>
                <w:rFonts w:ascii="仿宋" w:hAnsi="仿宋" w:eastAsia="仿宋" w:cs="仿宋"/>
                <w:color w:val="000000"/>
                <w:sz w:val="22"/>
                <w:szCs w:val="22"/>
              </w:rPr>
            </w:pPr>
          </w:p>
        </w:tc>
        <w:tc>
          <w:tcPr>
            <w:tcW w:w="1159" w:type="dxa"/>
            <w:shd w:val="clear" w:color="auto" w:fill="auto"/>
            <w:vAlign w:val="center"/>
          </w:tcPr>
          <w:p>
            <w:pPr>
              <w:rPr>
                <w:rFonts w:ascii="仿宋" w:hAnsi="仿宋" w:eastAsia="仿宋" w:cs="仿宋"/>
                <w:color w:val="000000"/>
                <w:sz w:val="22"/>
                <w:szCs w:val="22"/>
              </w:rPr>
            </w:pPr>
          </w:p>
        </w:tc>
        <w:tc>
          <w:tcPr>
            <w:tcW w:w="795" w:type="dxa"/>
            <w:shd w:val="clear" w:color="auto" w:fill="auto"/>
            <w:vAlign w:val="center"/>
          </w:tcPr>
          <w:p>
            <w:pPr>
              <w:rPr>
                <w:rFonts w:ascii="仿宋" w:hAnsi="仿宋" w:eastAsia="仿宋" w:cs="仿宋"/>
                <w:color w:val="000000"/>
                <w:sz w:val="22"/>
                <w:szCs w:val="22"/>
              </w:rPr>
            </w:pPr>
          </w:p>
        </w:tc>
        <w:tc>
          <w:tcPr>
            <w:tcW w:w="915" w:type="dxa"/>
            <w:shd w:val="clear" w:color="auto" w:fill="auto"/>
            <w:vAlign w:val="center"/>
          </w:tcPr>
          <w:p>
            <w:pPr>
              <w:rPr>
                <w:rFonts w:ascii="仿宋" w:hAnsi="仿宋" w:eastAsia="仿宋" w:cs="仿宋"/>
                <w:color w:val="000000"/>
                <w:sz w:val="22"/>
                <w:szCs w:val="22"/>
              </w:rPr>
            </w:pPr>
          </w:p>
        </w:tc>
        <w:tc>
          <w:tcPr>
            <w:tcW w:w="870" w:type="dxa"/>
            <w:shd w:val="clear" w:color="auto" w:fill="auto"/>
            <w:vAlign w:val="center"/>
          </w:tcPr>
          <w:p>
            <w:pPr>
              <w:rPr>
                <w:rFonts w:ascii="仿宋" w:hAnsi="仿宋" w:eastAsia="仿宋" w:cs="仿宋"/>
                <w:color w:val="000000"/>
                <w:sz w:val="22"/>
                <w:szCs w:val="22"/>
              </w:rPr>
            </w:pPr>
          </w:p>
        </w:tc>
        <w:tc>
          <w:tcPr>
            <w:tcW w:w="997" w:type="dxa"/>
            <w:shd w:val="clear" w:color="auto" w:fill="auto"/>
            <w:vAlign w:val="center"/>
          </w:tcPr>
          <w:p>
            <w:pPr>
              <w:rPr>
                <w:rFonts w:ascii="仿宋" w:hAnsi="仿宋" w:eastAsia="仿宋" w:cs="仿宋"/>
                <w:color w:val="000000"/>
                <w:sz w:val="22"/>
                <w:szCs w:val="22"/>
              </w:rPr>
            </w:pPr>
          </w:p>
        </w:tc>
        <w:tc>
          <w:tcPr>
            <w:tcW w:w="930" w:type="dxa"/>
            <w:shd w:val="clear" w:color="auto" w:fill="auto"/>
            <w:vAlign w:val="center"/>
          </w:tcPr>
          <w:p>
            <w:pPr>
              <w:rPr>
                <w:rFonts w:ascii="仿宋" w:hAnsi="仿宋" w:eastAsia="仿宋" w:cs="仿宋"/>
                <w:color w:val="000000"/>
                <w:sz w:val="22"/>
                <w:szCs w:val="22"/>
              </w:rPr>
            </w:pPr>
          </w:p>
        </w:tc>
        <w:tc>
          <w:tcPr>
            <w:tcW w:w="937" w:type="dxa"/>
            <w:shd w:val="clear" w:color="auto" w:fill="auto"/>
            <w:vAlign w:val="center"/>
          </w:tcPr>
          <w:p>
            <w:pPr>
              <w:rPr>
                <w:rFonts w:ascii="仿宋" w:hAnsi="仿宋" w:eastAsia="仿宋" w:cs="仿宋"/>
                <w:color w:val="000000"/>
                <w:sz w:val="22"/>
                <w:szCs w:val="22"/>
              </w:rPr>
            </w:pPr>
          </w:p>
        </w:tc>
        <w:tc>
          <w:tcPr>
            <w:tcW w:w="1590" w:type="dxa"/>
            <w:gridSpan w:val="2"/>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单位：元/亩</w:t>
            </w:r>
          </w:p>
        </w:tc>
      </w:tr>
      <w:tr>
        <w:tblPrEx>
          <w:tblLayout w:type="fixed"/>
          <w:tblCellMar>
            <w:top w:w="15" w:type="dxa"/>
            <w:left w:w="15" w:type="dxa"/>
            <w:bottom w:w="15" w:type="dxa"/>
            <w:right w:w="15" w:type="dxa"/>
          </w:tblCellMar>
        </w:tblPrEx>
        <w:trPr>
          <w:trHeight w:val="393"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青苗等级区</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等级区范围描述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粮食作物</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经济作物</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蔬菜瓜果类</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其他作物</w:t>
            </w:r>
          </w:p>
        </w:tc>
      </w:tr>
      <w:tr>
        <w:tblPrEx>
          <w:tblLayout w:type="fixed"/>
          <w:tblCellMar>
            <w:top w:w="15" w:type="dxa"/>
            <w:left w:w="15" w:type="dxa"/>
            <w:bottom w:w="15" w:type="dxa"/>
            <w:right w:w="15" w:type="dxa"/>
          </w:tblCellMar>
        </w:tblPrEx>
        <w:trPr>
          <w:trHeight w:val="498"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名称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名称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补偿标准</w:t>
            </w:r>
          </w:p>
        </w:tc>
      </w:tr>
      <w:tr>
        <w:tblPrEx>
          <w:tblLayout w:type="fixed"/>
          <w:tblCellMar>
            <w:top w:w="15" w:type="dxa"/>
            <w:left w:w="15" w:type="dxa"/>
            <w:bottom w:w="15" w:type="dxa"/>
            <w:right w:w="15" w:type="dxa"/>
          </w:tblCellMar>
        </w:tblPrEx>
        <w:trPr>
          <w:trHeight w:val="50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一级区</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嵩阳街道办事处、杨桥街道办事处、小街镇、杨林镇、嘉丽泽农场下属所有村级调查区内农村集体经济组织所有土地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大春作物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烘烤期烤烟</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韭黄</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9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小春作物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烤烟中期</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60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鲜食粮食作物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烤烟苗期</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9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9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9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9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Layout w:type="fixed"/>
          <w:tblCellMar>
            <w:top w:w="15" w:type="dxa"/>
            <w:left w:w="15" w:type="dxa"/>
            <w:bottom w:w="15" w:type="dxa"/>
            <w:right w:w="15" w:type="dxa"/>
          </w:tblCellMar>
        </w:tblPrEx>
        <w:trPr>
          <w:trHeight w:val="321" w:hRule="atLeast"/>
        </w:trPr>
        <w:tc>
          <w:tcPr>
            <w:tcW w:w="8840" w:type="dxa"/>
            <w:gridSpan w:val="10"/>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注：</w:t>
            </w:r>
          </w:p>
        </w:tc>
      </w:tr>
      <w:tr>
        <w:tblPrEx>
          <w:tblLayout w:type="fixed"/>
          <w:tblCellMar>
            <w:top w:w="15" w:type="dxa"/>
            <w:left w:w="15" w:type="dxa"/>
            <w:bottom w:w="15" w:type="dxa"/>
            <w:right w:w="15" w:type="dxa"/>
          </w:tblCellMar>
        </w:tblPrEx>
        <w:trPr>
          <w:trHeight w:val="312" w:hRule="atLeast"/>
        </w:trPr>
        <w:tc>
          <w:tcPr>
            <w:tcW w:w="8840" w:type="dxa"/>
            <w:gridSpan w:val="10"/>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1、上述补偿标准为指导价；</w:t>
            </w:r>
          </w:p>
        </w:tc>
      </w:tr>
      <w:tr>
        <w:tblPrEx>
          <w:tblLayout w:type="fixed"/>
          <w:tblCellMar>
            <w:top w:w="15" w:type="dxa"/>
            <w:left w:w="15" w:type="dxa"/>
            <w:bottom w:w="15" w:type="dxa"/>
            <w:right w:w="15" w:type="dxa"/>
          </w:tblCellMar>
        </w:tblPrEx>
        <w:trPr>
          <w:trHeight w:val="312" w:hRule="atLeast"/>
        </w:trPr>
        <w:tc>
          <w:tcPr>
            <w:tcW w:w="8840" w:type="dxa"/>
            <w:gridSpan w:val="10"/>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2、如本标准未覆盖或有特殊情况的可按价值相近原则参照执行或委托第三方机构进行评估；</w:t>
            </w:r>
          </w:p>
        </w:tc>
      </w:tr>
      <w:tr>
        <w:tblPrEx>
          <w:tblLayout w:type="fixed"/>
          <w:tblCellMar>
            <w:top w:w="15" w:type="dxa"/>
            <w:left w:w="15" w:type="dxa"/>
            <w:bottom w:w="15" w:type="dxa"/>
            <w:right w:w="15" w:type="dxa"/>
          </w:tblCellMar>
        </w:tblPrEx>
        <w:trPr>
          <w:trHeight w:val="312" w:hRule="atLeast"/>
        </w:trPr>
        <w:tc>
          <w:tcPr>
            <w:tcW w:w="8840" w:type="dxa"/>
            <w:gridSpan w:val="10"/>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3、大春作物主要为水稻、黄豆，小春作物主要为小麦、大麦、土豆；</w:t>
            </w:r>
          </w:p>
        </w:tc>
      </w:tr>
      <w:tr>
        <w:tblPrEx>
          <w:tblLayout w:type="fixed"/>
          <w:tblCellMar>
            <w:top w:w="15" w:type="dxa"/>
            <w:left w:w="15" w:type="dxa"/>
            <w:bottom w:w="15" w:type="dxa"/>
            <w:right w:w="15" w:type="dxa"/>
          </w:tblCellMar>
        </w:tblPrEx>
        <w:trPr>
          <w:trHeight w:val="316" w:hRule="atLeast"/>
        </w:trPr>
        <w:tc>
          <w:tcPr>
            <w:tcW w:w="8840" w:type="dxa"/>
            <w:gridSpan w:val="10"/>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4、鲜食粮食作物包括：鲜食玉米、鲜食大豆、摘青豌豆及蚕豆；</w:t>
            </w:r>
          </w:p>
        </w:tc>
      </w:tr>
      <w:tr>
        <w:tblPrEx>
          <w:tblLayout w:type="fixed"/>
          <w:tblCellMar>
            <w:top w:w="15" w:type="dxa"/>
            <w:left w:w="15" w:type="dxa"/>
            <w:bottom w:w="15" w:type="dxa"/>
            <w:right w:w="15" w:type="dxa"/>
          </w:tblCellMar>
        </w:tblPrEx>
        <w:trPr>
          <w:trHeight w:val="316" w:hRule="atLeast"/>
        </w:trPr>
        <w:tc>
          <w:tcPr>
            <w:tcW w:w="8840" w:type="dxa"/>
            <w:gridSpan w:val="10"/>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5、魔芋、雪莲果、蔬菜</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不包括韭黄</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、花卉、名贵苗木按市场价评估；</w:t>
            </w:r>
          </w:p>
        </w:tc>
      </w:tr>
      <w:tr>
        <w:tblPrEx>
          <w:tblLayout w:type="fixed"/>
          <w:tblCellMar>
            <w:top w:w="15" w:type="dxa"/>
            <w:left w:w="15" w:type="dxa"/>
            <w:bottom w:w="15" w:type="dxa"/>
            <w:right w:w="15" w:type="dxa"/>
          </w:tblCellMar>
        </w:tblPrEx>
        <w:trPr>
          <w:trHeight w:val="338" w:hRule="atLeast"/>
        </w:trPr>
        <w:tc>
          <w:tcPr>
            <w:tcW w:w="8840" w:type="dxa"/>
            <w:gridSpan w:val="10"/>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p>
        </w:tc>
      </w:tr>
    </w:tbl>
    <w:p/>
    <w:p>
      <w:pPr>
        <w:pStyle w:val="3"/>
        <w:jc w:val="center"/>
        <w:rPr>
          <w:rFonts w:ascii="Times New Roman" w:hAnsi="Times New Roman" w:eastAsia="宋体" w:cs="Times New Roman"/>
          <w:szCs w:val="21"/>
        </w:rPr>
      </w:pPr>
      <w:bookmarkStart w:id="51" w:name="_Toc18774_WPSOffice_Level1"/>
      <w:bookmarkStart w:id="52" w:name="_Toc8500_WPSOffice_Level1"/>
      <w:r>
        <w:rPr>
          <w:rFonts w:hint="eastAsia" w:ascii="Times New Roman" w:hAnsi="Times New Roman" w:eastAsia="宋体" w:cs="Times New Roman"/>
          <w:szCs w:val="21"/>
        </w:rPr>
        <w:t>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 测算结果分析</w:t>
      </w:r>
      <w:bookmarkEnd w:id="51"/>
      <w:bookmarkEnd w:id="52"/>
    </w:p>
    <w:p>
      <w:pPr>
        <w:pStyle w:val="4"/>
        <w:jc w:val="center"/>
        <w:rPr>
          <w:rFonts w:ascii="仿宋_GB2312" w:hAnsi="仿宋_GB2312" w:eastAsia="仿宋_GB2312" w:cs="仿宋_GB2312"/>
        </w:rPr>
      </w:pPr>
      <w:bookmarkStart w:id="53" w:name="_Toc7894_WPSOffice_Level2"/>
      <w:bookmarkStart w:id="54" w:name="_Toc5577_WPSOffice_Level2"/>
      <w:r>
        <w:rPr>
          <w:rFonts w:hint="eastAsia" w:ascii="仿宋_GB2312" w:hAnsi="仿宋_GB2312" w:eastAsia="仿宋_GB2312" w:cs="仿宋_GB2312"/>
        </w:rPr>
        <w:t>第一节 与原补偿标准对比</w:t>
      </w:r>
      <w:bookmarkEnd w:id="53"/>
      <w:bookmarkEnd w:id="54"/>
    </w:p>
    <w:p>
      <w:pPr>
        <w:pStyle w:val="8"/>
        <w:kinsoku w:val="0"/>
        <w:overflowPunct w:val="0"/>
        <w:spacing w:before="229" w:line="360" w:lineRule="auto"/>
        <w:ind w:left="0" w:right="443"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按照前后对应的原则，分别对比分析各类地上附着物和青苗补偿标准与原标准的差异情况进行分析。</w:t>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一、涨幅情况</w:t>
      </w:r>
    </w:p>
    <w:p>
      <w:pPr>
        <w:pStyle w:val="8"/>
        <w:kinsoku w:val="0"/>
        <w:overflowPunct w:val="0"/>
        <w:spacing w:before="229" w:line="360" w:lineRule="auto"/>
        <w:ind w:left="0" w:right="443" w:firstLine="520" w:firstLineChars="200"/>
        <w:rPr>
          <w:rFonts w:ascii="Times New Roman" w:hAnsi="Times New Roman" w:eastAsia="仿宋_GB2312" w:cs="Times New Roman"/>
          <w:spacing w:val="-10"/>
          <w:sz w:val="28"/>
          <w:szCs w:val="28"/>
          <w:lang w:val="en-US"/>
        </w:rPr>
      </w:pPr>
      <w:r>
        <w:rPr>
          <w:rFonts w:ascii="Times New Roman" w:hAnsi="Times New Roman" w:eastAsia="仿宋_GB2312" w:cs="Times New Roman"/>
          <w:spacing w:val="-10"/>
          <w:sz w:val="28"/>
          <w:szCs w:val="28"/>
        </w:rPr>
        <w:t>随着</w:t>
      </w:r>
      <w:r>
        <w:rPr>
          <w:rFonts w:hint="eastAsia" w:ascii="Times New Roman" w:hAnsi="Times New Roman" w:eastAsia="仿宋_GB2312" w:cs="Times New Roman"/>
          <w:spacing w:val="-10"/>
          <w:sz w:val="28"/>
          <w:szCs w:val="28"/>
          <w:lang w:val="en-US"/>
        </w:rPr>
        <w:t>嵩明</w:t>
      </w:r>
      <w:r>
        <w:rPr>
          <w:rFonts w:ascii="Times New Roman" w:hAnsi="Times New Roman" w:eastAsia="仿宋_GB2312" w:cs="Times New Roman"/>
          <w:spacing w:val="-10"/>
          <w:sz w:val="28"/>
          <w:szCs w:val="28"/>
        </w:rPr>
        <w:t>县近几年社会经济的不断发展，建（构）筑物的造价成本以及作物的耕种成本也随着</w:t>
      </w:r>
      <w:r>
        <w:rPr>
          <w:rFonts w:hint="eastAsia" w:ascii="Times New Roman" w:hAnsi="Times New Roman" w:eastAsia="仿宋_GB2312" w:cs="Times New Roman"/>
          <w:spacing w:val="-10"/>
          <w:sz w:val="28"/>
          <w:szCs w:val="28"/>
          <w:lang w:val="en-US"/>
        </w:rPr>
        <w:t>市场变化存在无法控制的波动，</w:t>
      </w:r>
      <w:r>
        <w:rPr>
          <w:rFonts w:ascii="Times New Roman" w:hAnsi="Times New Roman" w:eastAsia="仿宋_GB2312" w:cs="Times New Roman"/>
          <w:spacing w:val="-10"/>
          <w:sz w:val="28"/>
          <w:szCs w:val="28"/>
        </w:rPr>
        <w:t>测算方法是</w:t>
      </w:r>
      <w:r>
        <w:rPr>
          <w:rFonts w:hint="eastAsia" w:ascii="Times New Roman" w:hAnsi="Times New Roman" w:eastAsia="仿宋_GB2312" w:cs="Times New Roman"/>
          <w:spacing w:val="-10"/>
          <w:sz w:val="28"/>
          <w:szCs w:val="28"/>
          <w:lang w:val="en-US"/>
        </w:rPr>
        <w:t>与目前</w:t>
      </w:r>
      <w:r>
        <w:rPr>
          <w:rFonts w:ascii="Times New Roman" w:hAnsi="Times New Roman" w:eastAsia="仿宋_GB2312" w:cs="Times New Roman"/>
          <w:spacing w:val="-10"/>
          <w:sz w:val="28"/>
          <w:szCs w:val="28"/>
        </w:rPr>
        <w:t>社会的发展</w:t>
      </w:r>
      <w:r>
        <w:rPr>
          <w:rFonts w:hint="eastAsia" w:ascii="Times New Roman" w:hAnsi="Times New Roman" w:eastAsia="仿宋_GB2312" w:cs="Times New Roman"/>
          <w:spacing w:val="-10"/>
          <w:sz w:val="28"/>
          <w:szCs w:val="28"/>
          <w:lang w:val="en-US"/>
        </w:rPr>
        <w:t>相匹配</w:t>
      </w:r>
      <w:r>
        <w:rPr>
          <w:rFonts w:ascii="Times New Roman" w:hAnsi="Times New Roman" w:eastAsia="仿宋_GB2312" w:cs="Times New Roman"/>
          <w:spacing w:val="-10"/>
          <w:sz w:val="28"/>
          <w:szCs w:val="28"/>
        </w:rPr>
        <w:t>，为保证</w:t>
      </w:r>
      <w:r>
        <w:rPr>
          <w:rFonts w:hint="eastAsia" w:ascii="Times New Roman" w:hAnsi="Times New Roman" w:eastAsia="仿宋_GB2312" w:cs="Times New Roman"/>
          <w:spacing w:val="-10"/>
          <w:sz w:val="28"/>
          <w:szCs w:val="28"/>
          <w:lang w:val="en-US"/>
        </w:rPr>
        <w:t>嵩明县</w:t>
      </w:r>
      <w:r>
        <w:rPr>
          <w:rFonts w:ascii="Times New Roman" w:hAnsi="Times New Roman" w:eastAsia="仿宋_GB2312" w:cs="Times New Roman"/>
          <w:spacing w:val="-10"/>
          <w:sz w:val="28"/>
          <w:szCs w:val="28"/>
        </w:rPr>
        <w:t>正在开展的征迁工作顺利进行及刚完成的征迁工作符合民意，新补偿标准应与现征迁工作匹配的标准相适应</w:t>
      </w:r>
      <w:r>
        <w:rPr>
          <w:rFonts w:hint="eastAsia" w:ascii="Times New Roman" w:hAnsi="Times New Roman" w:eastAsia="仿宋_GB2312" w:cs="Times New Roman"/>
          <w:spacing w:val="-10"/>
          <w:sz w:val="28"/>
          <w:szCs w:val="28"/>
        </w:rPr>
        <w:t>，</w:t>
      </w:r>
      <w:r>
        <w:rPr>
          <w:rFonts w:hint="eastAsia" w:ascii="Times New Roman" w:hAnsi="Times New Roman" w:eastAsia="仿宋_GB2312" w:cs="Times New Roman"/>
          <w:spacing w:val="-10"/>
          <w:sz w:val="28"/>
          <w:szCs w:val="28"/>
          <w:lang w:val="en-US"/>
        </w:rPr>
        <w:t>嵩明县</w:t>
      </w:r>
      <w:r>
        <w:rPr>
          <w:rFonts w:hint="eastAsia" w:ascii="仿宋_GB2312" w:hAnsi="仿宋_GB2312" w:eastAsia="仿宋_GB2312" w:cs="仿宋_GB2312"/>
          <w:sz w:val="28"/>
          <w:szCs w:val="28"/>
          <w:lang w:val="en-US"/>
        </w:rPr>
        <w:t>新制定标准所示地上附着物及青苗补偿标准为“指导价”，具体项目征地拆迁原则上评估价（同等内涵下）不得低于本标准，</w:t>
      </w:r>
      <w:r>
        <w:rPr>
          <w:rFonts w:hint="eastAsia" w:ascii="仿宋_GB2312" w:hAnsi="仿宋_GB2312" w:eastAsia="仿宋_GB2312" w:cs="仿宋_GB2312"/>
          <w:lang w:val="en-US"/>
        </w:rPr>
        <w:t>与</w:t>
      </w:r>
      <w:r>
        <w:rPr>
          <w:rFonts w:hint="eastAsia" w:ascii="仿宋_GB2312" w:hAnsi="仿宋_GB2312" w:eastAsia="仿宋_GB2312" w:cs="仿宋_GB2312"/>
          <w:sz w:val="28"/>
          <w:szCs w:val="28"/>
          <w:lang w:val="en-US"/>
        </w:rPr>
        <w:t>原补偿标准对比未出现明显幅度变化。</w:t>
      </w:r>
    </w:p>
    <w:p>
      <w:pPr>
        <w:pStyle w:val="5"/>
        <w:numPr>
          <w:ilvl w:val="2"/>
          <w:numId w:val="0"/>
        </w:numPr>
        <w:ind w:left="420" w:left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二、地上附着物和青苗补偿标准种类的</w:t>
      </w:r>
      <w:r>
        <w:rPr>
          <w:rFonts w:hint="eastAsia" w:ascii="仿宋_GB2312" w:hAnsi="仿宋_GB2312" w:eastAsia="仿宋_GB2312" w:cs="仿宋_GB2312"/>
          <w:sz w:val="28"/>
          <w:szCs w:val="28"/>
          <w:lang w:val="en-US" w:eastAsia="zh-CN"/>
        </w:rPr>
        <w:t>变化</w:t>
      </w:r>
    </w:p>
    <w:p>
      <w:pPr>
        <w:pStyle w:val="8"/>
        <w:kinsoku w:val="0"/>
        <w:overflowPunct w:val="0"/>
        <w:spacing w:before="229" w:line="360" w:lineRule="auto"/>
        <w:ind w:left="0" w:right="443" w:firstLine="520" w:firstLineChars="200"/>
        <w:rPr>
          <w:rFonts w:ascii="Times New Roman" w:hAnsi="Times New Roman" w:eastAsia="仿宋_GB2312" w:cs="Times New Roman"/>
          <w:spacing w:val="-10"/>
          <w:sz w:val="28"/>
          <w:szCs w:val="28"/>
          <w:lang w:val="en-US"/>
        </w:rPr>
      </w:pPr>
      <w:r>
        <w:rPr>
          <w:rFonts w:ascii="Times New Roman" w:hAnsi="Times New Roman" w:eastAsia="仿宋_GB2312" w:cs="Times New Roman"/>
          <w:spacing w:val="-10"/>
          <w:sz w:val="28"/>
          <w:szCs w:val="28"/>
          <w:lang w:val="en-US"/>
        </w:rPr>
        <w:t>经过调查以及相关部门反馈的信息，在实施补偿过程中，</w:t>
      </w:r>
      <w:r>
        <w:rPr>
          <w:rFonts w:hint="eastAsia" w:ascii="Times New Roman" w:hAnsi="Times New Roman" w:eastAsia="仿宋_GB2312" w:cs="Times New Roman"/>
          <w:spacing w:val="-10"/>
          <w:sz w:val="28"/>
          <w:szCs w:val="28"/>
          <w:lang w:val="en-US"/>
        </w:rPr>
        <w:t>部分种类</w:t>
      </w:r>
      <w:r>
        <w:rPr>
          <w:rFonts w:ascii="Times New Roman" w:hAnsi="Times New Roman" w:eastAsia="仿宋_GB2312" w:cs="Times New Roman"/>
          <w:spacing w:val="-10"/>
          <w:sz w:val="28"/>
          <w:szCs w:val="28"/>
          <w:lang w:val="en-US"/>
        </w:rPr>
        <w:t>并没有被原有补偿标准所涵盖，这使得补偿工作的开展受到限制，补偿工作存在一定的困难，为了维护被征收者的切身利益，也为地上附着物和青苗补偿标准能顺利开展，新一轮的补偿标准根据实际需求，增加部分补偿种类</w:t>
      </w:r>
      <w:r>
        <w:rPr>
          <w:rFonts w:hint="eastAsia" w:ascii="Times New Roman" w:hAnsi="Times New Roman" w:eastAsia="仿宋_GB2312" w:cs="Times New Roman"/>
          <w:spacing w:val="-10"/>
          <w:sz w:val="28"/>
          <w:szCs w:val="28"/>
          <w:lang w:val="en-US"/>
        </w:rPr>
        <w:t>新标准与经济社会发展适应性分析 ，部分原补偿地类存在市场价格波动较大，实际征迁工作中工作人员难以开展工作，进行适当归并或删除，具体补偿价格可按专业评估机构评估确定。</w:t>
      </w:r>
    </w:p>
    <w:p>
      <w:pPr>
        <w:pStyle w:val="4"/>
        <w:jc w:val="center"/>
        <w:rPr>
          <w:rFonts w:ascii="仿宋_GB2312" w:hAnsi="仿宋_GB2312" w:eastAsia="仿宋_GB2312" w:cs="仿宋_GB2312"/>
        </w:rPr>
      </w:pPr>
      <w:bookmarkStart w:id="55" w:name="_Toc26325_WPSOffice_Level2"/>
      <w:bookmarkStart w:id="56" w:name="_Toc11736_WPSOffice_Level2"/>
      <w:r>
        <w:rPr>
          <w:rFonts w:hint="eastAsia" w:ascii="仿宋_GB2312" w:hAnsi="仿宋_GB2312" w:eastAsia="仿宋_GB2312" w:cs="仿宋_GB2312"/>
        </w:rPr>
        <w:t xml:space="preserve">第二节 </w:t>
      </w:r>
      <w:r>
        <w:rPr>
          <w:rFonts w:ascii="仿宋_GB2312" w:hAnsi="仿宋_GB2312" w:eastAsia="仿宋_GB2312" w:cs="仿宋_GB2312"/>
        </w:rPr>
        <w:t>新旧标准的衔接性分析</w:t>
      </w:r>
      <w:bookmarkEnd w:id="55"/>
      <w:bookmarkEnd w:id="56"/>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ascii="仿宋_GB2312" w:hAnsi="仿宋_GB2312" w:eastAsia="仿宋_GB2312" w:cs="仿宋_GB2312"/>
          <w:sz w:val="28"/>
          <w:szCs w:val="28"/>
        </w:rPr>
        <w:t>新旧标准内涵的衔接</w:t>
      </w:r>
    </w:p>
    <w:p>
      <w:pPr>
        <w:pStyle w:val="29"/>
        <w:spacing w:line="360" w:lineRule="auto"/>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rPr>
        <w:t>1、</w:t>
      </w:r>
      <w:r>
        <w:rPr>
          <w:rFonts w:ascii="Times New Roman" w:hAnsi="Times New Roman" w:eastAsia="仿宋_GB2312" w:cs="Times New Roman"/>
          <w:kern w:val="0"/>
          <w:sz w:val="28"/>
          <w:szCs w:val="28"/>
        </w:rPr>
        <w:t>地上附着物补偿内涵衔接</w:t>
      </w:r>
    </w:p>
    <w:p>
      <w:pPr>
        <w:pStyle w:val="29"/>
        <w:spacing w:line="360" w:lineRule="auto"/>
        <w:ind w:firstLine="56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本次新制定的地上附着物补偿标准进行了统一，即全县采用统一的标准，为与原标准内涵上相衔接，本次地上附着物和青苗补偿标准为</w:t>
      </w:r>
      <w:r>
        <w:rPr>
          <w:rFonts w:hint="eastAsia" w:ascii="Times New Roman" w:hAnsi="Times New Roman" w:eastAsia="仿宋_GB2312" w:cs="Times New Roman"/>
          <w:kern w:val="0"/>
          <w:sz w:val="28"/>
          <w:szCs w:val="28"/>
          <w:lang w:val="en-US"/>
        </w:rPr>
        <w:t>指导价</w:t>
      </w:r>
      <w:r>
        <w:rPr>
          <w:rFonts w:ascii="Times New Roman" w:hAnsi="Times New Roman" w:eastAsia="仿宋_GB2312" w:cs="Times New Roman"/>
          <w:kern w:val="0"/>
          <w:sz w:val="28"/>
          <w:szCs w:val="28"/>
        </w:rPr>
        <w:t>，有效的化解原标准中规划区与规划区外之间的差异问题，即在征地拆迁过程中，通过评估手段，结合房屋及附属设施的维护状况、成新率、装修情况等确定实际补偿标准。</w:t>
      </w:r>
    </w:p>
    <w:p>
      <w:pPr>
        <w:pStyle w:val="29"/>
        <w:spacing w:line="360" w:lineRule="auto"/>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rPr>
        <w:t>2、</w:t>
      </w:r>
      <w:r>
        <w:rPr>
          <w:rFonts w:ascii="Times New Roman" w:hAnsi="Times New Roman" w:eastAsia="仿宋_GB2312" w:cs="Times New Roman"/>
          <w:kern w:val="0"/>
          <w:sz w:val="28"/>
          <w:szCs w:val="28"/>
        </w:rPr>
        <w:t>青苗补偿标准内涵衔接</w:t>
      </w:r>
    </w:p>
    <w:p>
      <w:pPr>
        <w:pStyle w:val="29"/>
        <w:spacing w:line="360" w:lineRule="auto"/>
        <w:ind w:firstLine="56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嵩明县棚户区老城区改造项目及渝昆高铁建设项目等征迁工作正在进行中，特别是老城区征迁工作已进行至一半，为使新的青苗补偿标准与原标准有效衔接，新制定的青苗补偿标准为</w:t>
      </w:r>
      <w:r>
        <w:rPr>
          <w:rFonts w:hint="eastAsia" w:ascii="Times New Roman" w:hAnsi="Times New Roman" w:eastAsia="仿宋_GB2312" w:cs="Times New Roman"/>
          <w:kern w:val="0"/>
          <w:sz w:val="28"/>
          <w:szCs w:val="28"/>
          <w:lang w:val="en-US"/>
        </w:rPr>
        <w:t>指导</w:t>
      </w:r>
      <w:r>
        <w:rPr>
          <w:rFonts w:ascii="Times New Roman" w:hAnsi="Times New Roman" w:eastAsia="仿宋_GB2312" w:cs="Times New Roman"/>
          <w:kern w:val="0"/>
          <w:sz w:val="28"/>
          <w:szCs w:val="28"/>
        </w:rPr>
        <w:t>价，不会因内涵的变化为引发新的矛盾，使新的青苗补偿标准与原标准形成前后衔接。</w:t>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ascii="仿宋_GB2312" w:hAnsi="仿宋_GB2312" w:eastAsia="仿宋_GB2312" w:cs="仿宋_GB2312"/>
          <w:sz w:val="28"/>
          <w:szCs w:val="28"/>
        </w:rPr>
        <w:t>新旧标准补偿形式上的衔接</w:t>
      </w:r>
    </w:p>
    <w:p>
      <w:pPr>
        <w:pStyle w:val="29"/>
        <w:spacing w:line="360" w:lineRule="auto"/>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rPr>
        <w:t>1、</w:t>
      </w:r>
      <w:r>
        <w:rPr>
          <w:rFonts w:ascii="Times New Roman" w:hAnsi="Times New Roman" w:eastAsia="仿宋_GB2312" w:cs="Times New Roman"/>
          <w:kern w:val="0"/>
          <w:sz w:val="28"/>
          <w:szCs w:val="28"/>
        </w:rPr>
        <w:t>地上附着物分类方面衔接</w:t>
      </w:r>
    </w:p>
    <w:p>
      <w:pPr>
        <w:pStyle w:val="29"/>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kern w:val="0"/>
          <w:sz w:val="28"/>
          <w:szCs w:val="28"/>
          <w:lang w:val="en-US"/>
        </w:rPr>
        <w:t>嵩明</w:t>
      </w:r>
      <w:r>
        <w:rPr>
          <w:rFonts w:ascii="Times New Roman" w:hAnsi="Times New Roman" w:eastAsia="仿宋_GB2312" w:cs="Times New Roman"/>
          <w:kern w:val="0"/>
          <w:sz w:val="28"/>
          <w:szCs w:val="28"/>
        </w:rPr>
        <w:t>原有地上附着物补偿具体项目分为建筑物、构筑物、林（果）木、部分装修、动力线、灌溉设施等补偿项目，新制定的地上附主要包含建筑物、构筑物、林（果）木、灌溉设施等类别，新制定主要将部分国有资产和房屋装修在补偿标准中进行剔除，主要考虑各类房屋装修的所使用的材料种类繁多、成新率也存在差异等原因，因此在执行过程中建议按照拆迁时点评估认定；</w:t>
      </w:r>
      <w:r>
        <w:rPr>
          <w:rFonts w:hint="eastAsia" w:ascii="Times New Roman" w:hAnsi="Times New Roman" w:eastAsia="仿宋_GB2312" w:cs="Times New Roman"/>
          <w:kern w:val="0"/>
          <w:sz w:val="28"/>
          <w:szCs w:val="28"/>
          <w:lang w:val="en-US"/>
        </w:rPr>
        <w:t>构筑物分类进行了适当归并或列入委托第三方机构进行评估，按评估价补偿，如电力线</w:t>
      </w:r>
      <w:r>
        <w:rPr>
          <w:rFonts w:ascii="Times New Roman" w:hAnsi="Times New Roman" w:eastAsia="仿宋_GB2312" w:cs="Times New Roman"/>
          <w:kern w:val="0"/>
          <w:sz w:val="28"/>
          <w:szCs w:val="28"/>
        </w:rPr>
        <w:t>属于电力公司，属于国有资产，</w:t>
      </w:r>
      <w:r>
        <w:rPr>
          <w:rFonts w:ascii="Times New Roman" w:hAnsi="Times New Roman" w:eastAsia="仿宋_GB2312" w:cs="Times New Roman"/>
          <w:sz w:val="28"/>
        </w:rPr>
        <w:t>按照《中华人民共和国企业</w:t>
      </w:r>
      <w:r>
        <w:fldChar w:fldCharType="begin"/>
      </w:r>
      <w:r>
        <w:instrText xml:space="preserve"> HYPERLINK "https://baike.baidu.com/item/%E5%9B%BD%E6%9C%89%E8%B5%84%E4%BA%A7" \t "_blank" </w:instrText>
      </w:r>
      <w:r>
        <w:fldChar w:fldCharType="separate"/>
      </w:r>
      <w:r>
        <w:rPr>
          <w:rFonts w:ascii="Times New Roman" w:hAnsi="Times New Roman" w:eastAsia="仿宋_GB2312" w:cs="Times New Roman"/>
          <w:sz w:val="28"/>
        </w:rPr>
        <w:t>国有资产</w:t>
      </w:r>
      <w:r>
        <w:rPr>
          <w:rFonts w:ascii="Times New Roman" w:hAnsi="Times New Roman" w:eastAsia="仿宋_GB2312" w:cs="Times New Roman"/>
          <w:sz w:val="28"/>
        </w:rPr>
        <w:fldChar w:fldCharType="end"/>
      </w:r>
      <w:r>
        <w:rPr>
          <w:rFonts w:ascii="Times New Roman" w:hAnsi="Times New Roman" w:eastAsia="仿宋_GB2312" w:cs="Times New Roman"/>
          <w:sz w:val="28"/>
        </w:rPr>
        <w:t>法》《地方行政单位国有资产处置管理暂行办法》等相关规定，国有资产的处置需经过评估认定，因此在本次标准设定过程中未列明电力设施补偿标准。</w:t>
      </w:r>
    </w:p>
    <w:p>
      <w:pPr>
        <w:pStyle w:val="29"/>
        <w:spacing w:line="360" w:lineRule="auto"/>
        <w:ind w:firstLine="560"/>
        <w:rPr>
          <w:rFonts w:ascii="Times New Roman" w:hAnsi="Times New Roman" w:eastAsia="仿宋_GB2312" w:cs="Times New Roman"/>
          <w:sz w:val="28"/>
        </w:rPr>
      </w:pPr>
      <w:r>
        <w:rPr>
          <w:rFonts w:ascii="Times New Roman" w:hAnsi="Times New Roman" w:eastAsia="仿宋_GB2312" w:cs="Times New Roman"/>
          <w:sz w:val="28"/>
        </w:rPr>
        <w:t>虽然新旧标准补偿分类方面发生了一定变化，但该变化跟符合客观实际和工作需要。</w:t>
      </w:r>
    </w:p>
    <w:p>
      <w:pPr>
        <w:pStyle w:val="29"/>
        <w:spacing w:line="360" w:lineRule="auto"/>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rPr>
        <w:t>2、</w:t>
      </w:r>
      <w:r>
        <w:rPr>
          <w:rFonts w:ascii="Times New Roman" w:hAnsi="Times New Roman" w:eastAsia="仿宋_GB2312" w:cs="Times New Roman"/>
          <w:kern w:val="0"/>
          <w:sz w:val="28"/>
          <w:szCs w:val="28"/>
        </w:rPr>
        <w:t>青苗补偿形式衔接</w:t>
      </w:r>
    </w:p>
    <w:p>
      <w:pPr>
        <w:pStyle w:val="29"/>
        <w:spacing w:line="360" w:lineRule="auto"/>
        <w:ind w:firstLine="56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rPr>
        <w:t>嵩明县原青苗补偿标准</w:t>
      </w:r>
      <w:r>
        <w:rPr>
          <w:rFonts w:ascii="Times New Roman" w:hAnsi="Times New Roman" w:eastAsia="仿宋_GB2312" w:cs="Times New Roman"/>
          <w:kern w:val="0"/>
          <w:sz w:val="28"/>
          <w:szCs w:val="28"/>
        </w:rPr>
        <w:t>经过一段时间的执行，已被广大被征收老百姓所接受，为使新旧标准有效衔接，在基础调查阶段征询部县域范围的各征地拆迁指挥部、征地相对频繁的乡镇意见基础之上，</w:t>
      </w:r>
      <w:r>
        <w:rPr>
          <w:rFonts w:hint="eastAsia" w:ascii="Times New Roman" w:hAnsi="Times New Roman" w:eastAsia="仿宋_GB2312" w:cs="Times New Roman"/>
          <w:kern w:val="0"/>
          <w:sz w:val="28"/>
          <w:szCs w:val="28"/>
          <w:lang w:val="en-US"/>
        </w:rPr>
        <w:t>结合</w:t>
      </w:r>
      <w:r>
        <w:rPr>
          <w:rFonts w:hint="eastAsia" w:ascii="仿宋_GB2312" w:hAnsi="仿宋_GB2312" w:eastAsia="仿宋_GB2312" w:cs="仿宋_GB2312"/>
          <w:sz w:val="28"/>
          <w:szCs w:val="28"/>
          <w:lang w:val="en-US"/>
        </w:rPr>
        <w:t>嵩明县实际情况及现行补偿标准组成形式，嵩明县青苗补偿采用统一价，即嵩明县行政区范围内青苗不设等级区。</w:t>
      </w:r>
    </w:p>
    <w:p>
      <w:pPr>
        <w:pStyle w:val="29"/>
        <w:spacing w:line="360" w:lineRule="auto"/>
        <w:ind w:firstLine="56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3.与相邻区域之间的衔接</w:t>
      </w:r>
    </w:p>
    <w:p>
      <w:pPr>
        <w:pStyle w:val="29"/>
        <w:spacing w:line="360" w:lineRule="auto"/>
        <w:ind w:firstLine="56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通过初步了解</w:t>
      </w:r>
      <w:r>
        <w:rPr>
          <w:rFonts w:hint="eastAsia" w:ascii="Times New Roman" w:hAnsi="Times New Roman" w:eastAsia="仿宋_GB2312" w:cs="Times New Roman"/>
          <w:kern w:val="0"/>
          <w:sz w:val="28"/>
          <w:szCs w:val="28"/>
          <w:lang w:val="en-US"/>
        </w:rPr>
        <w:t>与嵩明县社会经济发展相似的县区的</w:t>
      </w:r>
      <w:r>
        <w:rPr>
          <w:rFonts w:ascii="Times New Roman" w:hAnsi="Times New Roman" w:eastAsia="仿宋_GB2312" w:cs="Times New Roman"/>
          <w:kern w:val="0"/>
          <w:sz w:val="28"/>
          <w:szCs w:val="28"/>
        </w:rPr>
        <w:t>补偿标准情况，不论是补偿的具体项目、内容上均差异不大。</w:t>
      </w:r>
    </w:p>
    <w:p>
      <w:pPr>
        <w:pStyle w:val="3"/>
        <w:jc w:val="center"/>
        <w:rPr>
          <w:rFonts w:ascii="Times New Roman" w:hAnsi="Times New Roman" w:eastAsia="宋体" w:cs="Times New Roman"/>
          <w:szCs w:val="21"/>
        </w:rPr>
      </w:pPr>
      <w:bookmarkStart w:id="57" w:name="_Toc3402_WPSOffice_Level1"/>
      <w:bookmarkStart w:id="58" w:name="_Toc28537_WPSOffice_Level1"/>
      <w:r>
        <w:rPr>
          <w:rFonts w:hint="eastAsia" w:ascii="Times New Roman" w:hAnsi="Times New Roman" w:eastAsia="宋体" w:cs="Times New Roman"/>
          <w:szCs w:val="21"/>
        </w:rPr>
        <w:t>第</w:t>
      </w: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章 标准应用及建议</w:t>
      </w:r>
      <w:bookmarkEnd w:id="57"/>
      <w:bookmarkEnd w:id="58"/>
    </w:p>
    <w:p>
      <w:pPr>
        <w:pStyle w:val="4"/>
        <w:jc w:val="center"/>
        <w:rPr>
          <w:rFonts w:ascii="仿宋_GB2312" w:hAnsi="仿宋_GB2312" w:eastAsia="仿宋_GB2312" w:cs="仿宋_GB2312"/>
        </w:rPr>
      </w:pPr>
      <w:bookmarkStart w:id="59" w:name="_Toc31140_WPSOffice_Level2"/>
      <w:bookmarkStart w:id="60" w:name="_Toc2433"/>
      <w:bookmarkStart w:id="61" w:name="_Toc6564_WPSOffice_Level2"/>
      <w:bookmarkStart w:id="62" w:name="_Toc19768"/>
      <w:bookmarkStart w:id="63" w:name="_Toc19384_WPSOffice_Level2"/>
      <w:bookmarkStart w:id="64" w:name="_Toc17481_WPSOffice_Level2"/>
      <w:bookmarkStart w:id="65" w:name="_Toc13112_WPSOffice_Level2"/>
      <w:bookmarkStart w:id="66" w:name="_Toc18430_WPSOffice_Level2"/>
      <w:bookmarkStart w:id="67" w:name="_Toc2648_WPSOffice_Level2"/>
      <w:r>
        <w:rPr>
          <w:rFonts w:hint="eastAsia" w:ascii="仿宋_GB2312" w:hAnsi="仿宋_GB2312" w:eastAsia="仿宋_GB2312" w:cs="仿宋_GB2312"/>
        </w:rPr>
        <w:t>第一节 适用对象和范围</w:t>
      </w:r>
      <w:bookmarkEnd w:id="59"/>
      <w:bookmarkEnd w:id="60"/>
      <w:bookmarkEnd w:id="61"/>
      <w:bookmarkEnd w:id="62"/>
      <w:bookmarkEnd w:id="63"/>
      <w:bookmarkEnd w:id="64"/>
      <w:bookmarkEnd w:id="65"/>
      <w:bookmarkEnd w:id="66"/>
      <w:bookmarkEnd w:id="67"/>
    </w:p>
    <w:p>
      <w:pPr>
        <w:pStyle w:val="5"/>
        <w:numPr>
          <w:ilvl w:val="2"/>
          <w:numId w:val="0"/>
        </w:numPr>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一、适用对象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域内农村集体经济组织所有土地地上附着物和青苗补偿标准制定。具体测算不包括国有土地地上附着物及青苗补偿标准，在征收过程中涉及国有土地地上附着物和青苗补偿的，按照《国有土地上房屋征收与补偿条例》、省、市相关要求或参照相邻区域地上附着物和青苗补偿标准进行征收补偿。</w:t>
      </w:r>
    </w:p>
    <w:p>
      <w:pPr>
        <w:pStyle w:val="5"/>
        <w:numPr>
          <w:ilvl w:val="2"/>
          <w:numId w:val="0"/>
        </w:numPr>
        <w:ind w:left="420" w:left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二、适用范围</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嵩明县县域内农村集体经济组织所有的土地地上附着物和青苗补偿标准，具体为：一是地上建造的一切建筑物、构筑物及其他附属设施；二是处于生命、发育、生长的最初或相对较早阶段的没有成熟的农作物，主要包括粮食作物、经济作物和蔬菜瓜果类等作物；三是林木、果木、苗木、花卉等地上定着物。</w:t>
      </w:r>
    </w:p>
    <w:p>
      <w:pPr>
        <w:pStyle w:val="4"/>
        <w:jc w:val="center"/>
        <w:rPr>
          <w:rFonts w:ascii="仿宋_GB2312" w:hAnsi="仿宋_GB2312" w:eastAsia="仿宋_GB2312" w:cs="仿宋_GB2312"/>
        </w:rPr>
      </w:pPr>
      <w:bookmarkStart w:id="74" w:name="_GoBack"/>
      <w:bookmarkEnd w:id="74"/>
      <w:bookmarkStart w:id="68" w:name="_Toc29801"/>
      <w:bookmarkStart w:id="69" w:name="_Toc25565_WPSOffice_Level2"/>
      <w:bookmarkStart w:id="70" w:name="_Toc10048_WPSOffice_Level2"/>
      <w:r>
        <w:rPr>
          <w:rFonts w:hint="eastAsia" w:ascii="仿宋_GB2312" w:hAnsi="仿宋_GB2312" w:eastAsia="仿宋_GB2312" w:cs="仿宋_GB2312"/>
        </w:rPr>
        <w:t>第二节 测算结果</w:t>
      </w:r>
      <w:bookmarkEnd w:id="68"/>
      <w:r>
        <w:rPr>
          <w:rFonts w:hint="eastAsia" w:ascii="仿宋_GB2312" w:hAnsi="仿宋_GB2312" w:eastAsia="仿宋_GB2312" w:cs="仿宋_GB2312"/>
        </w:rPr>
        <w:t>对策建议</w:t>
      </w:r>
      <w:bookmarkEnd w:id="69"/>
      <w:bookmarkEnd w:id="70"/>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一、建立地上附着物和青苗补偿标准公示制度</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建立和完善地上附着物和青苗补偿标准体系，定期公布地上附着物和青苗补偿标准，有利于增加政府办事的透明度，规范政府征地补偿行为，也可以使农民更加了解征地过程中涉及的地上附着物和青苗补偿标准，确保征地区地上附着物和青苗补偿的公平、合理和透明，更有利于维护社会稳定，保障社会经济持续健康的发展。</w:t>
      </w:r>
    </w:p>
    <w:p>
      <w:pPr>
        <w:pStyle w:val="5"/>
        <w:numPr>
          <w:ilvl w:val="2"/>
          <w:numId w:val="0"/>
        </w:numPr>
        <w:ind w:left="420" w:leftChars="200"/>
        <w:rPr>
          <w:rFonts w:ascii="仿宋_GB2312" w:hAnsi="仿宋_GB2312" w:eastAsia="仿宋_GB2312" w:cs="仿宋_GB2312"/>
          <w:sz w:val="28"/>
          <w:szCs w:val="28"/>
        </w:rPr>
      </w:pPr>
      <w:bookmarkStart w:id="71" w:name="_Toc2562"/>
      <w:r>
        <w:rPr>
          <w:rFonts w:hint="eastAsia" w:ascii="仿宋_GB2312" w:hAnsi="仿宋_GB2312" w:eastAsia="仿宋_GB2312" w:cs="仿宋_GB2312"/>
          <w:sz w:val="28"/>
          <w:szCs w:val="28"/>
        </w:rPr>
        <w:t>二、定期实施地上附着物和青苗补偿标准更新制度</w:t>
      </w:r>
      <w:bookmarkEnd w:id="71"/>
    </w:p>
    <w:p>
      <w:pPr>
        <w:widowControl/>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地上附着物和青苗补偿标准受市场供求关系、农产品市场、社会经济发展水平等各方面因素的影响。随着社会经济的快速发展，建构筑物的造价以及作物种植的成本价也随着上涨；根据土地管理法要求征收农用地区片综合地价至少三年调整或重新公布一次，为确保地上附着物和青苗补偿标准与区片综合地价配套实施，地上附着物和青苗补偿标准随区片综合地价同步更新。</w:t>
      </w:r>
    </w:p>
    <w:p>
      <w:pPr>
        <w:pStyle w:val="4"/>
        <w:jc w:val="center"/>
        <w:rPr>
          <w:rFonts w:ascii="仿宋_GB2312" w:hAnsi="仿宋_GB2312" w:eastAsia="仿宋_GB2312" w:cs="仿宋_GB2312"/>
        </w:rPr>
      </w:pPr>
      <w:bookmarkStart w:id="72" w:name="_Toc3764_WPSOffice_Level2"/>
      <w:bookmarkStart w:id="73" w:name="_Toc6143_WPSOffice_Level2"/>
      <w:r>
        <w:rPr>
          <w:rFonts w:hint="eastAsia" w:ascii="仿宋_GB2312" w:hAnsi="仿宋_GB2312" w:eastAsia="仿宋_GB2312" w:cs="仿宋_GB2312"/>
        </w:rPr>
        <w:t>第三节 标准实施说明</w:t>
      </w:r>
      <w:bookmarkEnd w:id="72"/>
      <w:bookmarkEnd w:id="73"/>
      <w:r>
        <w:rPr>
          <w:rFonts w:hint="eastAsia" w:ascii="仿宋_GB2312" w:hAnsi="仿宋_GB2312" w:eastAsia="仿宋_GB2312" w:cs="仿宋_GB2312"/>
        </w:rPr>
        <w:t xml:space="preserve"> </w:t>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一、使用说明</w:t>
      </w:r>
    </w:p>
    <w:p>
      <w:pPr>
        <w:tabs>
          <w:tab w:val="center" w:pos="4153"/>
        </w:tabs>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本标准所示地上附着物及青苗补偿标准为“指导价”，具体项目征地拆迁原则上评估价（同等内涵下）不得低于本标准。本标准未覆盖项目及特殊情况下可委托专业评估机构评估。</w:t>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二、临时用地</w:t>
      </w:r>
    </w:p>
    <w:p>
      <w:pPr>
        <w:pStyle w:val="2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临时使用土地的，用地单位应当根据用地实际支付补偿费。</w:t>
      </w:r>
    </w:p>
    <w:p>
      <w:pPr>
        <w:pStyle w:val="5"/>
        <w:numPr>
          <w:ilvl w:val="2"/>
          <w:numId w:val="0"/>
        </w:numPr>
        <w:ind w:left="420" w:left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三、有以下情形之一的不予补偿</w:t>
      </w:r>
    </w:p>
    <w:p>
      <w:pPr>
        <w:pStyle w:val="2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（1）不具有相关权属证明的建（构）筑物。</w:t>
      </w:r>
    </w:p>
    <w:p>
      <w:pPr>
        <w:pStyle w:val="2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（2）超过批准使用期限或虽未确定使用期限但已使用两年以上的临时用地（含占地）上的建（构）筑物。</w:t>
      </w:r>
    </w:p>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p>
  <w:p>
    <w:pPr>
      <w:pStyle w:val="13"/>
      <w:ind w:firstLine="482"/>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CAFB6"/>
    <w:multiLevelType w:val="singleLevel"/>
    <w:tmpl w:val="B3DCAFB6"/>
    <w:lvl w:ilvl="0" w:tentative="0">
      <w:start w:val="4"/>
      <w:numFmt w:val="decimal"/>
      <w:suff w:val="nothing"/>
      <w:lvlText w:val="%1、"/>
      <w:lvlJc w:val="left"/>
    </w:lvl>
  </w:abstractNum>
  <w:abstractNum w:abstractNumId="1">
    <w:nsid w:val="0000000A"/>
    <w:multiLevelType w:val="multilevel"/>
    <w:tmpl w:val="0000000A"/>
    <w:lvl w:ilvl="0" w:tentative="0">
      <w:start w:val="1"/>
      <w:numFmt w:val="decimal"/>
      <w:pStyle w:val="28"/>
      <w:suff w:val="nothing"/>
      <w:lvlText w:val="表%1  "/>
      <w:lvlJc w:val="left"/>
      <w:pPr>
        <w:tabs>
          <w:tab w:val="left" w:pos="0"/>
        </w:tabs>
        <w:ind w:left="0" w:firstLine="400"/>
      </w:pPr>
      <w:rPr>
        <w:rFonts w:hint="default" w:ascii="Times New Roman" w:hAnsi="Times New Roman" w:eastAsia="楷体"/>
        <w:sz w:val="28"/>
      </w:rPr>
    </w:lvl>
    <w:lvl w:ilvl="1" w:tentative="0">
      <w:start w:val="1"/>
      <w:numFmt w:val="chineseCounting"/>
      <w:suff w:val="nothing"/>
      <w:lvlText w:val="%2、"/>
      <w:lvlJc w:val="left"/>
      <w:pPr>
        <w:tabs>
          <w:tab w:val="left" w:pos="0"/>
        </w:tabs>
        <w:ind w:left="575" w:hanging="575"/>
      </w:pPr>
      <w:rPr>
        <w:rFonts w:hint="eastAsia" w:ascii="楷体" w:hAnsi="楷体" w:eastAsia="楷体" w:cs="楷体"/>
        <w:b/>
        <w:sz w:val="36"/>
      </w:rPr>
    </w:lvl>
    <w:lvl w:ilvl="2" w:tentative="0">
      <w:start w:val="1"/>
      <w:numFmt w:val="chineseCounting"/>
      <w:suff w:val="nothing"/>
      <w:lvlText w:val="（%3）"/>
      <w:lvlJc w:val="left"/>
      <w:pPr>
        <w:tabs>
          <w:tab w:val="left" w:pos="720"/>
        </w:tabs>
        <w:ind w:left="720" w:hanging="720"/>
      </w:pPr>
      <w:rPr>
        <w:rFonts w:hint="eastAsia" w:ascii="仿宋" w:hAnsi="仿宋" w:eastAsia="仿宋" w:cs="宋体"/>
        <w:b/>
        <w:sz w:val="32"/>
      </w:rPr>
    </w:lvl>
    <w:lvl w:ilvl="3" w:tentative="0">
      <w:start w:val="1"/>
      <w:numFmt w:val="decimal"/>
      <w:suff w:val="nothing"/>
      <w:lvlText w:val="%4、"/>
      <w:lvlJc w:val="left"/>
      <w:pPr>
        <w:tabs>
          <w:tab w:val="left" w:pos="864"/>
        </w:tabs>
        <w:ind w:left="864" w:hanging="864"/>
      </w:pPr>
      <w:rPr>
        <w:rFonts w:hint="eastAsia" w:ascii="宋体" w:hAnsi="宋体" w:eastAsia="宋体" w:cs="宋体"/>
        <w:b/>
        <w:sz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2">
    <w:nsid w:val="0000000B"/>
    <w:multiLevelType w:val="multilevel"/>
    <w:tmpl w:val="0000000B"/>
    <w:lvl w:ilvl="0" w:tentative="0">
      <w:start w:val="1"/>
      <w:numFmt w:val="chineseCounting"/>
      <w:suff w:val="space"/>
      <w:lvlText w:val="第%1章"/>
      <w:lvlJc w:val="left"/>
      <w:pPr>
        <w:tabs>
          <w:tab w:val="left" w:pos="432"/>
        </w:tabs>
        <w:ind w:left="432" w:hanging="432"/>
      </w:pPr>
      <w:rPr>
        <w:rFonts w:hint="eastAsia" w:ascii="Times New Roman" w:hAnsi="Times New Roman" w:eastAsia="楷体"/>
        <w:b/>
        <w:sz w:val="48"/>
      </w:rPr>
    </w:lvl>
    <w:lvl w:ilvl="1" w:tentative="0">
      <w:start w:val="1"/>
      <w:numFmt w:val="chineseCounting"/>
      <w:suff w:val="nothing"/>
      <w:lvlText w:val="%2、"/>
      <w:lvlJc w:val="left"/>
      <w:pPr>
        <w:tabs>
          <w:tab w:val="left" w:pos="0"/>
        </w:tabs>
        <w:ind w:left="575" w:hanging="575"/>
      </w:pPr>
      <w:rPr>
        <w:rFonts w:hint="eastAsia" w:ascii="楷体" w:hAnsi="楷体" w:eastAsia="楷体" w:cs="楷体"/>
        <w:b/>
        <w:sz w:val="36"/>
      </w:rPr>
    </w:lvl>
    <w:lvl w:ilvl="2" w:tentative="0">
      <w:start w:val="1"/>
      <w:numFmt w:val="chineseCounting"/>
      <w:pStyle w:val="5"/>
      <w:suff w:val="nothing"/>
      <w:lvlText w:val="（%3）"/>
      <w:lvlJc w:val="left"/>
      <w:pPr>
        <w:tabs>
          <w:tab w:val="left" w:pos="720"/>
        </w:tabs>
        <w:ind w:left="720" w:hanging="720"/>
      </w:pPr>
      <w:rPr>
        <w:rFonts w:hint="eastAsia" w:ascii="仿宋" w:hAnsi="仿宋" w:eastAsia="仿宋" w:cs="宋体"/>
        <w:b/>
        <w:sz w:val="32"/>
      </w:rPr>
    </w:lvl>
    <w:lvl w:ilvl="3" w:tentative="0">
      <w:start w:val="1"/>
      <w:numFmt w:val="decimal"/>
      <w:pStyle w:val="6"/>
      <w:suff w:val="nothing"/>
      <w:lvlText w:val="%4、"/>
      <w:lvlJc w:val="left"/>
      <w:pPr>
        <w:tabs>
          <w:tab w:val="left" w:pos="864"/>
        </w:tabs>
        <w:ind w:left="864" w:hanging="864"/>
      </w:pPr>
      <w:rPr>
        <w:rFonts w:hint="eastAsia" w:ascii="Times New Roman" w:hAnsi="Times New Roman" w:eastAsia="宋体" w:cs="宋体"/>
        <w:b/>
        <w:sz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3">
    <w:nsid w:val="0BB13096"/>
    <w:multiLevelType w:val="multilevel"/>
    <w:tmpl w:val="0BB13096"/>
    <w:lvl w:ilvl="0" w:tentative="0">
      <w:start w:val="1"/>
      <w:numFmt w:val="chineseCountingThousand"/>
      <w:pStyle w:val="3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E315A"/>
    <w:rsid w:val="00051258"/>
    <w:rsid w:val="001629CD"/>
    <w:rsid w:val="002B3DCA"/>
    <w:rsid w:val="00372D00"/>
    <w:rsid w:val="00386910"/>
    <w:rsid w:val="003E2552"/>
    <w:rsid w:val="00460819"/>
    <w:rsid w:val="004D481A"/>
    <w:rsid w:val="00514BC0"/>
    <w:rsid w:val="00773191"/>
    <w:rsid w:val="007E26F0"/>
    <w:rsid w:val="008573EA"/>
    <w:rsid w:val="008F10F0"/>
    <w:rsid w:val="009750A7"/>
    <w:rsid w:val="00AC53FC"/>
    <w:rsid w:val="00B47346"/>
    <w:rsid w:val="00B72BCD"/>
    <w:rsid w:val="00B9577A"/>
    <w:rsid w:val="00BA4EFB"/>
    <w:rsid w:val="00BB6EEC"/>
    <w:rsid w:val="00BC71FA"/>
    <w:rsid w:val="00C950BA"/>
    <w:rsid w:val="00D413EC"/>
    <w:rsid w:val="00D66DB7"/>
    <w:rsid w:val="00EE5930"/>
    <w:rsid w:val="00F136C4"/>
    <w:rsid w:val="00F917A8"/>
    <w:rsid w:val="00F9365C"/>
    <w:rsid w:val="01341231"/>
    <w:rsid w:val="01DD6016"/>
    <w:rsid w:val="020F7A8D"/>
    <w:rsid w:val="02333D8B"/>
    <w:rsid w:val="03324F31"/>
    <w:rsid w:val="039C3D6E"/>
    <w:rsid w:val="051E10DF"/>
    <w:rsid w:val="05507C51"/>
    <w:rsid w:val="057D538E"/>
    <w:rsid w:val="06706479"/>
    <w:rsid w:val="06812A52"/>
    <w:rsid w:val="06B702AB"/>
    <w:rsid w:val="07E0276D"/>
    <w:rsid w:val="07F26AB3"/>
    <w:rsid w:val="080B7C0D"/>
    <w:rsid w:val="081C1972"/>
    <w:rsid w:val="082D2764"/>
    <w:rsid w:val="09473432"/>
    <w:rsid w:val="09621883"/>
    <w:rsid w:val="09AC5D60"/>
    <w:rsid w:val="0A4D24B4"/>
    <w:rsid w:val="0AE86926"/>
    <w:rsid w:val="0BF3599C"/>
    <w:rsid w:val="0C7E74E4"/>
    <w:rsid w:val="0C9A777B"/>
    <w:rsid w:val="0D1109AE"/>
    <w:rsid w:val="0D364E1D"/>
    <w:rsid w:val="0D8F1C75"/>
    <w:rsid w:val="0DE55E00"/>
    <w:rsid w:val="0E1A6AC1"/>
    <w:rsid w:val="0ECC293D"/>
    <w:rsid w:val="0ED873DE"/>
    <w:rsid w:val="0EFB7E2F"/>
    <w:rsid w:val="0F1347C1"/>
    <w:rsid w:val="109B309D"/>
    <w:rsid w:val="10A97A5F"/>
    <w:rsid w:val="10C02842"/>
    <w:rsid w:val="10F77906"/>
    <w:rsid w:val="115B3569"/>
    <w:rsid w:val="11C74B65"/>
    <w:rsid w:val="11EF5584"/>
    <w:rsid w:val="12514105"/>
    <w:rsid w:val="12521CB4"/>
    <w:rsid w:val="128E62A9"/>
    <w:rsid w:val="14D657E8"/>
    <w:rsid w:val="15461C06"/>
    <w:rsid w:val="15F17FAC"/>
    <w:rsid w:val="160412E9"/>
    <w:rsid w:val="167A3A19"/>
    <w:rsid w:val="172F7388"/>
    <w:rsid w:val="178568C0"/>
    <w:rsid w:val="17AB261E"/>
    <w:rsid w:val="187F4F80"/>
    <w:rsid w:val="18DE5A31"/>
    <w:rsid w:val="19032F84"/>
    <w:rsid w:val="19575EEC"/>
    <w:rsid w:val="19CF6E30"/>
    <w:rsid w:val="19F3384D"/>
    <w:rsid w:val="1A9C38C9"/>
    <w:rsid w:val="1AA01D95"/>
    <w:rsid w:val="1AB51A56"/>
    <w:rsid w:val="1B010F82"/>
    <w:rsid w:val="1B056442"/>
    <w:rsid w:val="1B527F8C"/>
    <w:rsid w:val="1B562730"/>
    <w:rsid w:val="1BF44D7E"/>
    <w:rsid w:val="1C382893"/>
    <w:rsid w:val="1C896934"/>
    <w:rsid w:val="1D400831"/>
    <w:rsid w:val="1D646805"/>
    <w:rsid w:val="1DB25C81"/>
    <w:rsid w:val="1E02455F"/>
    <w:rsid w:val="1E5C4683"/>
    <w:rsid w:val="1EAE7122"/>
    <w:rsid w:val="1F3C361A"/>
    <w:rsid w:val="1F8E1DB0"/>
    <w:rsid w:val="1FBE7230"/>
    <w:rsid w:val="1FF76BA9"/>
    <w:rsid w:val="204075C3"/>
    <w:rsid w:val="20606E50"/>
    <w:rsid w:val="20D17535"/>
    <w:rsid w:val="20DE4E34"/>
    <w:rsid w:val="218F7136"/>
    <w:rsid w:val="22523A0A"/>
    <w:rsid w:val="229A03E5"/>
    <w:rsid w:val="22C55F81"/>
    <w:rsid w:val="23E658AE"/>
    <w:rsid w:val="241261F7"/>
    <w:rsid w:val="24D674AB"/>
    <w:rsid w:val="24E34A56"/>
    <w:rsid w:val="24EB173F"/>
    <w:rsid w:val="25267919"/>
    <w:rsid w:val="25472BB8"/>
    <w:rsid w:val="25BB761E"/>
    <w:rsid w:val="25BC4576"/>
    <w:rsid w:val="260401A1"/>
    <w:rsid w:val="27B0080B"/>
    <w:rsid w:val="28093791"/>
    <w:rsid w:val="282840ED"/>
    <w:rsid w:val="28355C36"/>
    <w:rsid w:val="28F17FF2"/>
    <w:rsid w:val="29243D2A"/>
    <w:rsid w:val="29A80B2B"/>
    <w:rsid w:val="2A415A6E"/>
    <w:rsid w:val="2A922581"/>
    <w:rsid w:val="2B4437F8"/>
    <w:rsid w:val="2B9254B1"/>
    <w:rsid w:val="2BBA2C7F"/>
    <w:rsid w:val="2C151EE0"/>
    <w:rsid w:val="2C3343AE"/>
    <w:rsid w:val="2C867362"/>
    <w:rsid w:val="2CC2792B"/>
    <w:rsid w:val="2CC407F8"/>
    <w:rsid w:val="2D276998"/>
    <w:rsid w:val="2DE10081"/>
    <w:rsid w:val="2E046EDC"/>
    <w:rsid w:val="2E8D3F23"/>
    <w:rsid w:val="2ECC7272"/>
    <w:rsid w:val="2FD2082A"/>
    <w:rsid w:val="302348AC"/>
    <w:rsid w:val="307A4826"/>
    <w:rsid w:val="30A04BFC"/>
    <w:rsid w:val="313C4D9D"/>
    <w:rsid w:val="31D739DA"/>
    <w:rsid w:val="31E872A7"/>
    <w:rsid w:val="32241651"/>
    <w:rsid w:val="323B7CD4"/>
    <w:rsid w:val="33550098"/>
    <w:rsid w:val="33E13042"/>
    <w:rsid w:val="33E174FF"/>
    <w:rsid w:val="33F80E73"/>
    <w:rsid w:val="33FD1C0C"/>
    <w:rsid w:val="340900E3"/>
    <w:rsid w:val="343226D4"/>
    <w:rsid w:val="34FE0044"/>
    <w:rsid w:val="35DA56AD"/>
    <w:rsid w:val="35E70D77"/>
    <w:rsid w:val="360F7DB2"/>
    <w:rsid w:val="365544CF"/>
    <w:rsid w:val="3682534E"/>
    <w:rsid w:val="36AE5066"/>
    <w:rsid w:val="36DE07D5"/>
    <w:rsid w:val="3711287E"/>
    <w:rsid w:val="374D6705"/>
    <w:rsid w:val="37845632"/>
    <w:rsid w:val="37B41A48"/>
    <w:rsid w:val="37B64995"/>
    <w:rsid w:val="38074232"/>
    <w:rsid w:val="38DC7E53"/>
    <w:rsid w:val="39076080"/>
    <w:rsid w:val="39675D52"/>
    <w:rsid w:val="3A1264D4"/>
    <w:rsid w:val="3ACD453C"/>
    <w:rsid w:val="3B3F2831"/>
    <w:rsid w:val="3B5C4EE5"/>
    <w:rsid w:val="3B7147C2"/>
    <w:rsid w:val="3B731317"/>
    <w:rsid w:val="3C8E6D98"/>
    <w:rsid w:val="3CFD2ED4"/>
    <w:rsid w:val="3D16794E"/>
    <w:rsid w:val="3D275E92"/>
    <w:rsid w:val="3DAD532D"/>
    <w:rsid w:val="3DC82901"/>
    <w:rsid w:val="3DD662AA"/>
    <w:rsid w:val="3EED6EBC"/>
    <w:rsid w:val="3F1A7C85"/>
    <w:rsid w:val="3F613F63"/>
    <w:rsid w:val="3F777678"/>
    <w:rsid w:val="3FB53BC6"/>
    <w:rsid w:val="3FF9190E"/>
    <w:rsid w:val="400D3F31"/>
    <w:rsid w:val="41964839"/>
    <w:rsid w:val="42F224EB"/>
    <w:rsid w:val="431C7EE7"/>
    <w:rsid w:val="43253801"/>
    <w:rsid w:val="434D7F97"/>
    <w:rsid w:val="43C21A98"/>
    <w:rsid w:val="43DF5FD6"/>
    <w:rsid w:val="44536C5F"/>
    <w:rsid w:val="458815D0"/>
    <w:rsid w:val="46377F3F"/>
    <w:rsid w:val="4694628E"/>
    <w:rsid w:val="46946C5F"/>
    <w:rsid w:val="46AF29D7"/>
    <w:rsid w:val="46D77ED9"/>
    <w:rsid w:val="474505C5"/>
    <w:rsid w:val="47906AE8"/>
    <w:rsid w:val="481C31EA"/>
    <w:rsid w:val="487A4F20"/>
    <w:rsid w:val="48A6298D"/>
    <w:rsid w:val="48B60C67"/>
    <w:rsid w:val="48D8787F"/>
    <w:rsid w:val="493061F1"/>
    <w:rsid w:val="496233CC"/>
    <w:rsid w:val="49F80DAB"/>
    <w:rsid w:val="4A101AAE"/>
    <w:rsid w:val="4A5028FF"/>
    <w:rsid w:val="4AAA0445"/>
    <w:rsid w:val="4B00396B"/>
    <w:rsid w:val="4B5C752C"/>
    <w:rsid w:val="4B7A630C"/>
    <w:rsid w:val="4BA504A8"/>
    <w:rsid w:val="4BF253FA"/>
    <w:rsid w:val="4C25019A"/>
    <w:rsid w:val="4CB03C88"/>
    <w:rsid w:val="4CFF7CB0"/>
    <w:rsid w:val="4D166B02"/>
    <w:rsid w:val="4DA304AE"/>
    <w:rsid w:val="4E8602C8"/>
    <w:rsid w:val="4EDD0AE5"/>
    <w:rsid w:val="4F225145"/>
    <w:rsid w:val="4F377C3B"/>
    <w:rsid w:val="4FCA7629"/>
    <w:rsid w:val="5002538B"/>
    <w:rsid w:val="51267CDE"/>
    <w:rsid w:val="516B49B4"/>
    <w:rsid w:val="51D80AE7"/>
    <w:rsid w:val="51DC12DC"/>
    <w:rsid w:val="51E96872"/>
    <w:rsid w:val="52002DD1"/>
    <w:rsid w:val="52636538"/>
    <w:rsid w:val="52BB167D"/>
    <w:rsid w:val="531433B7"/>
    <w:rsid w:val="53442D50"/>
    <w:rsid w:val="538C4527"/>
    <w:rsid w:val="5395667D"/>
    <w:rsid w:val="53F11C3D"/>
    <w:rsid w:val="54A63AD2"/>
    <w:rsid w:val="556A4169"/>
    <w:rsid w:val="55BD6797"/>
    <w:rsid w:val="55E62590"/>
    <w:rsid w:val="562035D4"/>
    <w:rsid w:val="567159A4"/>
    <w:rsid w:val="56D25BB7"/>
    <w:rsid w:val="577B4849"/>
    <w:rsid w:val="577E5849"/>
    <w:rsid w:val="587F56E3"/>
    <w:rsid w:val="594E3E89"/>
    <w:rsid w:val="5B6A3311"/>
    <w:rsid w:val="5B705C54"/>
    <w:rsid w:val="5BB65ACC"/>
    <w:rsid w:val="5BD4136C"/>
    <w:rsid w:val="5C280E43"/>
    <w:rsid w:val="5C797B42"/>
    <w:rsid w:val="5C963D8D"/>
    <w:rsid w:val="5CA2712D"/>
    <w:rsid w:val="5D680327"/>
    <w:rsid w:val="5D6B6104"/>
    <w:rsid w:val="5E0A0F26"/>
    <w:rsid w:val="5E0A5EB4"/>
    <w:rsid w:val="5E354D42"/>
    <w:rsid w:val="5E5C23EE"/>
    <w:rsid w:val="5E617CFC"/>
    <w:rsid w:val="5F4D3C6F"/>
    <w:rsid w:val="5F5A4CB9"/>
    <w:rsid w:val="60253259"/>
    <w:rsid w:val="603D2331"/>
    <w:rsid w:val="60427DFB"/>
    <w:rsid w:val="60494D7D"/>
    <w:rsid w:val="6063493C"/>
    <w:rsid w:val="60C03F67"/>
    <w:rsid w:val="61692B93"/>
    <w:rsid w:val="61BD1FFB"/>
    <w:rsid w:val="61D42BB1"/>
    <w:rsid w:val="61ED50ED"/>
    <w:rsid w:val="62362A55"/>
    <w:rsid w:val="630E759E"/>
    <w:rsid w:val="63150B0F"/>
    <w:rsid w:val="638F6EC6"/>
    <w:rsid w:val="63AC3B7E"/>
    <w:rsid w:val="63CE6409"/>
    <w:rsid w:val="63E87CCF"/>
    <w:rsid w:val="649701C5"/>
    <w:rsid w:val="64A87B5F"/>
    <w:rsid w:val="651A1389"/>
    <w:rsid w:val="65216CBF"/>
    <w:rsid w:val="65A9575A"/>
    <w:rsid w:val="65E37EA6"/>
    <w:rsid w:val="664E315A"/>
    <w:rsid w:val="66955A6F"/>
    <w:rsid w:val="68473F6B"/>
    <w:rsid w:val="68A02EA9"/>
    <w:rsid w:val="68E41319"/>
    <w:rsid w:val="691345FD"/>
    <w:rsid w:val="693D2FEE"/>
    <w:rsid w:val="6AFB4709"/>
    <w:rsid w:val="6B2A72D6"/>
    <w:rsid w:val="6B4910E3"/>
    <w:rsid w:val="6BDC5688"/>
    <w:rsid w:val="6C4802DF"/>
    <w:rsid w:val="6C596C09"/>
    <w:rsid w:val="6C5C3A74"/>
    <w:rsid w:val="6CB40A57"/>
    <w:rsid w:val="6CD92C55"/>
    <w:rsid w:val="6CDA16C8"/>
    <w:rsid w:val="6D645594"/>
    <w:rsid w:val="6E9C4BF8"/>
    <w:rsid w:val="6ECB2946"/>
    <w:rsid w:val="6EDA06B0"/>
    <w:rsid w:val="6F123E7B"/>
    <w:rsid w:val="6FFB3154"/>
    <w:rsid w:val="7020726E"/>
    <w:rsid w:val="72105548"/>
    <w:rsid w:val="72600092"/>
    <w:rsid w:val="729C2770"/>
    <w:rsid w:val="72B31E05"/>
    <w:rsid w:val="72F35314"/>
    <w:rsid w:val="72F56745"/>
    <w:rsid w:val="747E4DA7"/>
    <w:rsid w:val="748D29FB"/>
    <w:rsid w:val="75100E0D"/>
    <w:rsid w:val="756D205E"/>
    <w:rsid w:val="757141E7"/>
    <w:rsid w:val="76D40430"/>
    <w:rsid w:val="76D87754"/>
    <w:rsid w:val="76E16845"/>
    <w:rsid w:val="77437C6E"/>
    <w:rsid w:val="77D970A7"/>
    <w:rsid w:val="784746B4"/>
    <w:rsid w:val="78900971"/>
    <w:rsid w:val="78EE01F2"/>
    <w:rsid w:val="7945726B"/>
    <w:rsid w:val="796719DB"/>
    <w:rsid w:val="79AB1AC3"/>
    <w:rsid w:val="7A0719CD"/>
    <w:rsid w:val="7A3B7662"/>
    <w:rsid w:val="7AC6040A"/>
    <w:rsid w:val="7B236655"/>
    <w:rsid w:val="7B2E7D72"/>
    <w:rsid w:val="7BD26EDB"/>
    <w:rsid w:val="7BF630C7"/>
    <w:rsid w:val="7C905749"/>
    <w:rsid w:val="7C9C0DBC"/>
    <w:rsid w:val="7CB82A52"/>
    <w:rsid w:val="7D2079FE"/>
    <w:rsid w:val="7DB41137"/>
    <w:rsid w:val="7DE52A3C"/>
    <w:rsid w:val="7E9F25DC"/>
    <w:rsid w:val="7EB87961"/>
    <w:rsid w:val="7EFC6C92"/>
    <w:rsid w:val="7F532CD2"/>
    <w:rsid w:val="7F67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7"/>
    <w:qFormat/>
    <w:uiPriority w:val="0"/>
    <w:pPr>
      <w:keepNext/>
      <w:keepLines/>
      <w:numPr>
        <w:ilvl w:val="2"/>
        <w:numId w:val="1"/>
      </w:numPr>
      <w:spacing w:before="93" w:beforeLines="30" w:after="62" w:afterLines="20" w:line="500" w:lineRule="exact"/>
      <w:ind w:left="0" w:firstLine="560" w:firstLineChars="200"/>
      <w:outlineLvl w:val="2"/>
    </w:pPr>
    <w:rPr>
      <w:b/>
      <w:bCs/>
      <w:sz w:val="32"/>
      <w:szCs w:val="32"/>
    </w:rPr>
  </w:style>
  <w:style w:type="paragraph" w:styleId="6">
    <w:name w:val="heading 4"/>
    <w:basedOn w:val="1"/>
    <w:next w:val="1"/>
    <w:qFormat/>
    <w:uiPriority w:val="0"/>
    <w:pPr>
      <w:keepNext/>
      <w:keepLines/>
      <w:numPr>
        <w:ilvl w:val="3"/>
        <w:numId w:val="1"/>
      </w:numPr>
      <w:tabs>
        <w:tab w:val="left" w:pos="0"/>
      </w:tabs>
      <w:spacing w:beforeLines="20" w:afterLines="10" w:line="500" w:lineRule="exact"/>
      <w:ind w:firstLine="0"/>
      <w:outlineLvl w:val="3"/>
    </w:pPr>
    <w:rPr>
      <w:b/>
      <w:bCs/>
    </w:rPr>
  </w:style>
  <w:style w:type="character" w:default="1" w:styleId="21">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内容"/>
    <w:basedOn w:val="1"/>
    <w:qFormat/>
    <w:uiPriority w:val="0"/>
    <w:pPr>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styleId="7">
    <w:name w:val="toc 7"/>
    <w:basedOn w:val="1"/>
    <w:next w:val="1"/>
    <w:unhideWhenUsed/>
    <w:qFormat/>
    <w:uiPriority w:val="39"/>
    <w:pPr>
      <w:ind w:left="2520" w:leftChars="1200"/>
    </w:pPr>
    <w:rPr>
      <w:szCs w:val="22"/>
    </w:rPr>
  </w:style>
  <w:style w:type="paragraph" w:styleId="8">
    <w:name w:val="Body Text"/>
    <w:basedOn w:val="1"/>
    <w:qFormat/>
    <w:uiPriority w:val="1"/>
    <w:pPr>
      <w:ind w:left="438"/>
    </w:pPr>
    <w:rPr>
      <w:rFonts w:ascii="方正仿宋_GBK" w:hAnsi="方正仿宋_GBK" w:eastAsia="方正仿宋_GBK" w:cs="方正仿宋_GBK"/>
      <w:sz w:val="32"/>
      <w:szCs w:val="32"/>
      <w:lang w:val="zh-CN" w:bidi="zh-CN"/>
    </w:rPr>
  </w:style>
  <w:style w:type="paragraph" w:styleId="9">
    <w:name w:val="toc 5"/>
    <w:basedOn w:val="1"/>
    <w:next w:val="1"/>
    <w:unhideWhenUsed/>
    <w:qFormat/>
    <w:uiPriority w:val="39"/>
    <w:pPr>
      <w:ind w:left="1680" w:leftChars="800"/>
    </w:pPr>
    <w:rPr>
      <w:szCs w:val="22"/>
    </w:rPr>
  </w:style>
  <w:style w:type="paragraph" w:styleId="10">
    <w:name w:val="toc 3"/>
    <w:basedOn w:val="1"/>
    <w:next w:val="1"/>
    <w:unhideWhenUsed/>
    <w:qFormat/>
    <w:uiPriority w:val="39"/>
    <w:pPr>
      <w:widowControl/>
      <w:spacing w:after="100" w:line="276" w:lineRule="auto"/>
      <w:ind w:left="440"/>
      <w:jc w:val="left"/>
    </w:pPr>
    <w:rPr>
      <w:kern w:val="0"/>
      <w:sz w:val="22"/>
      <w:szCs w:val="22"/>
    </w:rPr>
  </w:style>
  <w:style w:type="paragraph" w:styleId="11">
    <w:name w:val="toc 8"/>
    <w:basedOn w:val="1"/>
    <w:next w:val="1"/>
    <w:unhideWhenUsed/>
    <w:qFormat/>
    <w:uiPriority w:val="39"/>
    <w:pPr>
      <w:ind w:left="2940" w:leftChars="1400"/>
    </w:pPr>
    <w:rPr>
      <w:szCs w:val="22"/>
    </w:rPr>
  </w:style>
  <w:style w:type="paragraph" w:styleId="12">
    <w:name w:val="Balloon Text"/>
    <w:basedOn w:val="1"/>
    <w:link w:val="32"/>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single" w:color="auto" w:sz="2" w:space="1"/>
        <w:right w:val="none" w:color="auto" w:sz="0" w:space="4"/>
      </w:pBdr>
      <w:tabs>
        <w:tab w:val="center" w:pos="4153"/>
        <w:tab w:val="right" w:pos="8306"/>
      </w:tabs>
      <w:snapToGrid w:val="0"/>
      <w:jc w:val="right"/>
    </w:pPr>
    <w:rPr>
      <w:rFonts w:eastAsia="楷体"/>
      <w:szCs w:val="21"/>
    </w:rPr>
  </w:style>
  <w:style w:type="paragraph" w:styleId="15">
    <w:name w:val="toc 1"/>
    <w:basedOn w:val="1"/>
    <w:next w:val="1"/>
    <w:unhideWhenUsed/>
    <w:qFormat/>
    <w:uiPriority w:val="39"/>
    <w:pPr>
      <w:widowControl/>
      <w:spacing w:after="100" w:line="276" w:lineRule="auto"/>
      <w:jc w:val="left"/>
    </w:pPr>
    <w:rPr>
      <w:kern w:val="0"/>
      <w:sz w:val="22"/>
      <w:szCs w:val="22"/>
    </w:rPr>
  </w:style>
  <w:style w:type="paragraph" w:styleId="16">
    <w:name w:val="toc 4"/>
    <w:basedOn w:val="1"/>
    <w:next w:val="1"/>
    <w:unhideWhenUsed/>
    <w:qFormat/>
    <w:uiPriority w:val="39"/>
    <w:pPr>
      <w:ind w:left="1260" w:leftChars="600"/>
    </w:pPr>
    <w:rPr>
      <w:szCs w:val="22"/>
    </w:rPr>
  </w:style>
  <w:style w:type="paragraph" w:styleId="17">
    <w:name w:val="toc 6"/>
    <w:basedOn w:val="1"/>
    <w:next w:val="1"/>
    <w:unhideWhenUsed/>
    <w:qFormat/>
    <w:uiPriority w:val="39"/>
    <w:pPr>
      <w:ind w:left="2100" w:leftChars="1000"/>
    </w:pPr>
    <w:rPr>
      <w:szCs w:val="22"/>
    </w:rPr>
  </w:style>
  <w:style w:type="paragraph" w:styleId="18">
    <w:name w:val="toc 2"/>
    <w:basedOn w:val="1"/>
    <w:next w:val="1"/>
    <w:unhideWhenUsed/>
    <w:qFormat/>
    <w:uiPriority w:val="39"/>
    <w:pPr>
      <w:widowControl/>
      <w:spacing w:after="100" w:line="276" w:lineRule="auto"/>
      <w:ind w:left="220"/>
      <w:jc w:val="left"/>
    </w:pPr>
    <w:rPr>
      <w:kern w:val="0"/>
      <w:sz w:val="22"/>
      <w:szCs w:val="22"/>
    </w:rPr>
  </w:style>
  <w:style w:type="paragraph" w:styleId="19">
    <w:name w:val="toc 9"/>
    <w:basedOn w:val="1"/>
    <w:next w:val="1"/>
    <w:unhideWhenUsed/>
    <w:qFormat/>
    <w:uiPriority w:val="39"/>
    <w:pPr>
      <w:ind w:left="3360" w:leftChars="1600"/>
    </w:pPr>
    <w:rPr>
      <w:szCs w:val="22"/>
    </w:rPr>
  </w:style>
  <w:style w:type="paragraph" w:styleId="20">
    <w:name w:val="Normal (Web)"/>
    <w:basedOn w:val="1"/>
    <w:qFormat/>
    <w:uiPriority w:val="0"/>
    <w:pPr>
      <w:spacing w:beforeAutospacing="1" w:afterAutospacing="1"/>
      <w:jc w:val="left"/>
    </w:pPr>
    <w:rPr>
      <w:rFonts w:cs="Times New Roman"/>
      <w:kern w:val="0"/>
      <w:sz w:val="24"/>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paragraph" w:customStyle="1" w:styleId="24">
    <w:name w:val="Normal Indent1"/>
    <w:basedOn w:val="1"/>
    <w:qFormat/>
    <w:uiPriority w:val="0"/>
    <w:pPr>
      <w:ind w:firstLine="420" w:firstLineChars="200"/>
    </w:pPr>
    <w:rPr>
      <w:rFonts w:ascii="Times New Roman" w:hAnsi="Times New Roman" w:eastAsia="宋体" w:cs="Times New Roman"/>
    </w:rPr>
  </w:style>
  <w:style w:type="paragraph" w:customStyle="1" w:styleId="25">
    <w:name w:val="正文缩进1"/>
    <w:basedOn w:val="1"/>
    <w:qFormat/>
    <w:uiPriority w:val="0"/>
    <w:pPr>
      <w:ind w:firstLine="420" w:firstLineChars="200"/>
    </w:pPr>
  </w:style>
  <w:style w:type="character" w:customStyle="1" w:styleId="26">
    <w:name w:val="font61"/>
    <w:basedOn w:val="21"/>
    <w:qFormat/>
    <w:uiPriority w:val="0"/>
    <w:rPr>
      <w:rFonts w:hint="eastAsia" w:ascii="宋体" w:hAnsi="宋体" w:eastAsia="宋体" w:cs="宋体"/>
      <w:color w:val="000000"/>
      <w:sz w:val="16"/>
      <w:szCs w:val="16"/>
      <w:u w:val="none"/>
    </w:rPr>
  </w:style>
  <w:style w:type="character" w:customStyle="1" w:styleId="27">
    <w:name w:val="font11"/>
    <w:basedOn w:val="21"/>
    <w:qFormat/>
    <w:uiPriority w:val="0"/>
    <w:rPr>
      <w:rFonts w:hint="eastAsia" w:ascii="宋体" w:hAnsi="宋体" w:eastAsia="宋体" w:cs="宋体"/>
      <w:b/>
      <w:color w:val="FF0000"/>
      <w:sz w:val="16"/>
      <w:szCs w:val="16"/>
      <w:u w:val="none"/>
    </w:rPr>
  </w:style>
  <w:style w:type="paragraph" w:customStyle="1" w:styleId="28">
    <w:name w:val="表标题"/>
    <w:basedOn w:val="1"/>
    <w:next w:val="1"/>
    <w:qFormat/>
    <w:uiPriority w:val="0"/>
    <w:pPr>
      <w:numPr>
        <w:ilvl w:val="0"/>
        <w:numId w:val="2"/>
      </w:numPr>
      <w:spacing w:before="156" w:beforeLines="50" w:line="480" w:lineRule="exact"/>
      <w:ind w:firstLine="0"/>
      <w:jc w:val="center"/>
      <w:outlineLvl w:val="4"/>
    </w:pPr>
    <w:rPr>
      <w:rFonts w:eastAsia="楷体"/>
      <w:b/>
    </w:rPr>
  </w:style>
  <w:style w:type="paragraph" w:styleId="29">
    <w:name w:val="List Paragraph"/>
    <w:basedOn w:val="1"/>
    <w:qFormat/>
    <w:uiPriority w:val="1"/>
    <w:pPr>
      <w:ind w:left="438" w:firstLine="640"/>
    </w:pPr>
    <w:rPr>
      <w:rFonts w:ascii="方正仿宋_GBK" w:hAnsi="方正仿宋_GBK" w:eastAsia="方正仿宋_GBK" w:cs="方正仿宋_GBK"/>
      <w:lang w:val="zh-CN" w:bidi="zh-CN"/>
    </w:rPr>
  </w:style>
  <w:style w:type="paragraph" w:customStyle="1" w:styleId="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标题0506"/>
    <w:basedOn w:val="4"/>
    <w:qFormat/>
    <w:uiPriority w:val="0"/>
    <w:pPr>
      <w:numPr>
        <w:ilvl w:val="0"/>
        <w:numId w:val="3"/>
      </w:numPr>
    </w:pPr>
  </w:style>
  <w:style w:type="character" w:customStyle="1" w:styleId="32">
    <w:name w:val="批注框文本 Char"/>
    <w:basedOn w:val="21"/>
    <w:link w:val="12"/>
    <w:qFormat/>
    <w:uiPriority w:val="0"/>
    <w:rPr>
      <w:rFonts w:asciiTheme="minorHAnsi" w:hAnsiTheme="minorHAnsi" w:eastAsiaTheme="minorEastAsia" w:cstheme="minorBidi"/>
      <w:kern w:val="2"/>
      <w:sz w:val="18"/>
      <w:szCs w:val="18"/>
    </w:rPr>
  </w:style>
  <w:style w:type="character" w:customStyle="1" w:styleId="33">
    <w:name w:val="font51"/>
    <w:basedOn w:val="21"/>
    <w:qFormat/>
    <w:uiPriority w:val="0"/>
    <w:rPr>
      <w:rFonts w:hint="eastAsia" w:ascii="仿宋" w:hAnsi="仿宋" w:eastAsia="仿宋" w:cs="仿宋"/>
      <w:b/>
      <w:color w:val="000000"/>
      <w:sz w:val="24"/>
      <w:szCs w:val="24"/>
      <w:u w:val="none"/>
    </w:rPr>
  </w:style>
  <w:style w:type="character" w:customStyle="1" w:styleId="34">
    <w:name w:val="font21"/>
    <w:basedOn w:val="21"/>
    <w:qFormat/>
    <w:uiPriority w:val="0"/>
    <w:rPr>
      <w:rFonts w:hint="eastAsia" w:ascii="仿宋" w:hAnsi="仿宋" w:eastAsia="仿宋" w:cs="仿宋"/>
      <w:color w:val="000000"/>
      <w:sz w:val="24"/>
      <w:szCs w:val="24"/>
      <w:u w:val="none"/>
    </w:rPr>
  </w:style>
  <w:style w:type="character" w:customStyle="1" w:styleId="35">
    <w:name w:val="font41"/>
    <w:basedOn w:val="21"/>
    <w:qFormat/>
    <w:uiPriority w:val="0"/>
    <w:rPr>
      <w:rFonts w:hint="eastAsia" w:ascii="方正仿宋_GBK" w:hAnsi="方正仿宋_GBK" w:eastAsia="方正仿宋_GBK" w:cs="方正仿宋_GBK"/>
      <w:color w:val="000000"/>
      <w:sz w:val="24"/>
      <w:szCs w:val="24"/>
      <w:u w:val="none"/>
      <w:vertAlign w:val="superscript"/>
    </w:rPr>
  </w:style>
  <w:style w:type="character" w:customStyle="1" w:styleId="36">
    <w:name w:val="font01"/>
    <w:basedOn w:val="21"/>
    <w:qFormat/>
    <w:uiPriority w:val="0"/>
    <w:rPr>
      <w:rFonts w:hint="eastAsia" w:ascii="仿宋" w:hAnsi="仿宋" w:eastAsia="仿宋" w:cs="仿宋"/>
      <w:b/>
      <w:color w:val="000000"/>
      <w:sz w:val="24"/>
      <w:szCs w:val="24"/>
      <w:u w:val="none"/>
    </w:rPr>
  </w:style>
  <w:style w:type="character" w:customStyle="1" w:styleId="37">
    <w:name w:val="标题 3 Char"/>
    <w:link w:val="5"/>
    <w:qFormat/>
    <w:uiPriority w:val="0"/>
    <w:rPr>
      <w:b/>
      <w:bCs/>
      <w:sz w:val="32"/>
      <w:szCs w:val="32"/>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font31"/>
    <w:basedOn w:val="21"/>
    <w:qFormat/>
    <w:uiPriority w:val="0"/>
    <w:rPr>
      <w:rFonts w:hint="default" w:ascii="Times New Roman" w:hAnsi="Times New Roman" w:cs="Times New Roman"/>
      <w:color w:val="000000"/>
      <w:sz w:val="18"/>
      <w:szCs w:val="18"/>
      <w:u w:val="none"/>
    </w:rPr>
  </w:style>
  <w:style w:type="paragraph" w:customStyle="1" w:styleId="41">
    <w:name w:val="表格"/>
    <w:basedOn w:val="1"/>
    <w:next w:val="1"/>
    <w:qFormat/>
    <w:uiPriority w:val="0"/>
    <w:pPr>
      <w:jc w:val="center"/>
    </w:pPr>
    <w:rPr>
      <w:sz w:val="24"/>
    </w:rPr>
  </w:style>
  <w:style w:type="paragraph" w:customStyle="1" w:styleId="42">
    <w:name w:val="段"/>
    <w:unhideWhenUsed/>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注×："/>
    <w:unhideWhenUsed/>
    <w:qFormat/>
    <w:uiPriority w:val="99"/>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4">
    <w:name w:val="正文表标题"/>
    <w:next w:val="42"/>
    <w:qFormat/>
    <w:uiPriority w:val="0"/>
    <w:pPr>
      <w:ind w:left="3828"/>
      <w:jc w:val="center"/>
    </w:pPr>
    <w:rPr>
      <w:rFonts w:ascii="黑体" w:hAnsi="Times New Roman" w:eastAsia="黑体" w:cs="Times New Roman"/>
      <w:sz w:val="21"/>
      <w:lang w:val="en-US" w:eastAsia="zh-CN" w:bidi="ar-SA"/>
    </w:rPr>
  </w:style>
  <w:style w:type="paragraph" w:customStyle="1" w:styleId="45">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584246-fae4-4401-8823-af4854ad6d9b}"/>
        <w:style w:val=""/>
        <w:category>
          <w:name w:val="常规"/>
          <w:gallery w:val="placeholder"/>
        </w:category>
        <w:types>
          <w:type w:val="bbPlcHdr"/>
        </w:types>
        <w:behaviors>
          <w:behavior w:val="content"/>
        </w:behaviors>
        <w:description w:val=""/>
        <w:guid w:val="{34584246-fae4-4401-8823-af4854ad6d9b}"/>
      </w:docPartPr>
      <w:docPartBody>
        <w:p>
          <w:r>
            <w:rPr>
              <w:color w:val="808080"/>
            </w:rPr>
            <w:t>单击此处输入文字。</w:t>
          </w:r>
        </w:p>
      </w:docPartBody>
    </w:docPart>
    <w:docPart>
      <w:docPartPr>
        <w:name w:val="{cf07420d-faa4-4d1f-9e16-253f53127afe}"/>
        <w:style w:val=""/>
        <w:category>
          <w:name w:val="常规"/>
          <w:gallery w:val="placeholder"/>
        </w:category>
        <w:types>
          <w:type w:val="bbPlcHdr"/>
        </w:types>
        <w:behaviors>
          <w:behavior w:val="content"/>
        </w:behaviors>
        <w:description w:val=""/>
        <w:guid w:val="{cf07420d-faa4-4d1f-9e16-253f53127afe}"/>
      </w:docPartPr>
      <w:docPartBody>
        <w:p>
          <w:r>
            <w:rPr>
              <w:color w:val="808080"/>
            </w:rPr>
            <w:t>单击此处输入文字。</w:t>
          </w:r>
        </w:p>
      </w:docPartBody>
    </w:docPart>
    <w:docPart>
      <w:docPartPr>
        <w:name w:val="{1e2ee818-f3c5-42a4-8bf8-c291a7f187d4}"/>
        <w:style w:val=""/>
        <w:category>
          <w:name w:val="常规"/>
          <w:gallery w:val="placeholder"/>
        </w:category>
        <w:types>
          <w:type w:val="bbPlcHdr"/>
        </w:types>
        <w:behaviors>
          <w:behavior w:val="content"/>
        </w:behaviors>
        <w:description w:val=""/>
        <w:guid w:val="{1e2ee818-f3c5-42a4-8bf8-c291a7f187d4}"/>
      </w:docPartPr>
      <w:docPartBody>
        <w:p>
          <w:r>
            <w:rPr>
              <w:color w:val="808080"/>
            </w:rPr>
            <w:t>单击此处输入文字。</w:t>
          </w:r>
        </w:p>
      </w:docPartBody>
    </w:docPart>
    <w:docPart>
      <w:docPartPr>
        <w:name w:val="{fe2575fe-06f6-4fec-8e0d-b8cc9a2bb897}"/>
        <w:style w:val=""/>
        <w:category>
          <w:name w:val="常规"/>
          <w:gallery w:val="placeholder"/>
        </w:category>
        <w:types>
          <w:type w:val="bbPlcHdr"/>
        </w:types>
        <w:behaviors>
          <w:behavior w:val="content"/>
        </w:behaviors>
        <w:description w:val=""/>
        <w:guid w:val="{fe2575fe-06f6-4fec-8e0d-b8cc9a2bb897}"/>
      </w:docPartPr>
      <w:docPartBody>
        <w:p>
          <w:r>
            <w:rPr>
              <w:color w:val="808080"/>
            </w:rPr>
            <w:t>单击此处输入文字。</w:t>
          </w:r>
        </w:p>
      </w:docPartBody>
    </w:docPart>
    <w:docPart>
      <w:docPartPr>
        <w:name w:val="{67b1519a-f1b0-4590-a819-82f34d457af5}"/>
        <w:style w:val=""/>
        <w:category>
          <w:name w:val="常规"/>
          <w:gallery w:val="placeholder"/>
        </w:category>
        <w:types>
          <w:type w:val="bbPlcHdr"/>
        </w:types>
        <w:behaviors>
          <w:behavior w:val="content"/>
        </w:behaviors>
        <w:description w:val=""/>
        <w:guid w:val="{67b1519a-f1b0-4590-a819-82f34d457af5}"/>
      </w:docPartPr>
      <w:docPartBody>
        <w:p>
          <w:r>
            <w:rPr>
              <w:color w:val="808080"/>
            </w:rPr>
            <w:t>单击此处输入文字。</w:t>
          </w:r>
        </w:p>
      </w:docPartBody>
    </w:docPart>
    <w:docPart>
      <w:docPartPr>
        <w:name w:val="{d48f61e0-9b6d-4547-9663-bec30f1b42d5}"/>
        <w:style w:val=""/>
        <w:category>
          <w:name w:val="常规"/>
          <w:gallery w:val="placeholder"/>
        </w:category>
        <w:types>
          <w:type w:val="bbPlcHdr"/>
        </w:types>
        <w:behaviors>
          <w:behavior w:val="content"/>
        </w:behaviors>
        <w:description w:val=""/>
        <w:guid w:val="{d48f61e0-9b6d-4547-9663-bec30f1b42d5}"/>
      </w:docPartPr>
      <w:docPartBody>
        <w:p>
          <w:r>
            <w:rPr>
              <w:color w:val="808080"/>
            </w:rPr>
            <w:t>单击此处输入文字。</w:t>
          </w:r>
        </w:p>
      </w:docPartBody>
    </w:docPart>
    <w:docPart>
      <w:docPartPr>
        <w:name w:val="{cf89fd2e-1c8d-4fa9-bca1-d7f516a0cdf7}"/>
        <w:style w:val=""/>
        <w:category>
          <w:name w:val="常规"/>
          <w:gallery w:val="placeholder"/>
        </w:category>
        <w:types>
          <w:type w:val="bbPlcHdr"/>
        </w:types>
        <w:behaviors>
          <w:behavior w:val="content"/>
        </w:behaviors>
        <w:description w:val=""/>
        <w:guid w:val="{cf89fd2e-1c8d-4fa9-bca1-d7f516a0cdf7}"/>
      </w:docPartPr>
      <w:docPartBody>
        <w:p>
          <w:r>
            <w:rPr>
              <w:color w:val="808080"/>
            </w:rPr>
            <w:t>单击此处输入文字。</w:t>
          </w:r>
        </w:p>
      </w:docPartBody>
    </w:docPart>
    <w:docPart>
      <w:docPartPr>
        <w:name w:val="{a05ef490-b91e-4dc2-9750-b8be0a65faba}"/>
        <w:style w:val=""/>
        <w:category>
          <w:name w:val="常规"/>
          <w:gallery w:val="placeholder"/>
        </w:category>
        <w:types>
          <w:type w:val="bbPlcHdr"/>
        </w:types>
        <w:behaviors>
          <w:behavior w:val="content"/>
        </w:behaviors>
        <w:description w:val=""/>
        <w:guid w:val="{a05ef490-b91e-4dc2-9750-b8be0a65faba}"/>
      </w:docPartPr>
      <w:docPartBody>
        <w:p>
          <w:r>
            <w:rPr>
              <w:color w:val="808080"/>
            </w:rPr>
            <w:t>单击此处输入文字。</w:t>
          </w:r>
        </w:p>
      </w:docPartBody>
    </w:docPart>
    <w:docPart>
      <w:docPartPr>
        <w:name w:val="{132c47bb-9b43-400a-a4e6-a3d5648954f5}"/>
        <w:style w:val=""/>
        <w:category>
          <w:name w:val="常规"/>
          <w:gallery w:val="placeholder"/>
        </w:category>
        <w:types>
          <w:type w:val="bbPlcHdr"/>
        </w:types>
        <w:behaviors>
          <w:behavior w:val="content"/>
        </w:behaviors>
        <w:description w:val=""/>
        <w:guid w:val="{132c47bb-9b43-400a-a4e6-a3d5648954f5}"/>
      </w:docPartPr>
      <w:docPartBody>
        <w:p>
          <w:r>
            <w:rPr>
              <w:color w:val="808080"/>
            </w:rPr>
            <w:t>单击此处输入文字。</w:t>
          </w:r>
        </w:p>
      </w:docPartBody>
    </w:docPart>
    <w:docPart>
      <w:docPartPr>
        <w:name w:val="{97967078-d2c2-44a6-9d53-620fc8d33059}"/>
        <w:style w:val=""/>
        <w:category>
          <w:name w:val="常规"/>
          <w:gallery w:val="placeholder"/>
        </w:category>
        <w:types>
          <w:type w:val="bbPlcHdr"/>
        </w:types>
        <w:behaviors>
          <w:behavior w:val="content"/>
        </w:behaviors>
        <w:description w:val=""/>
        <w:guid w:val="{97967078-d2c2-44a6-9d53-620fc8d33059}"/>
      </w:docPartPr>
      <w:docPartBody>
        <w:p>
          <w:r>
            <w:rPr>
              <w:color w:val="808080"/>
            </w:rPr>
            <w:t>单击此处输入文字。</w:t>
          </w:r>
        </w:p>
      </w:docPartBody>
    </w:docPart>
    <w:docPart>
      <w:docPartPr>
        <w:name w:val="{4d3e9ab6-9bcf-415f-8c75-13e5dc26f948}"/>
        <w:style w:val=""/>
        <w:category>
          <w:name w:val="常规"/>
          <w:gallery w:val="placeholder"/>
        </w:category>
        <w:types>
          <w:type w:val="bbPlcHdr"/>
        </w:types>
        <w:behaviors>
          <w:behavior w:val="content"/>
        </w:behaviors>
        <w:description w:val=""/>
        <w:guid w:val="{4d3e9ab6-9bcf-415f-8c75-13e5dc26f948}"/>
      </w:docPartPr>
      <w:docPartBody>
        <w:p>
          <w:r>
            <w:rPr>
              <w:color w:val="808080"/>
            </w:rPr>
            <w:t>单击此处输入文字。</w:t>
          </w:r>
        </w:p>
      </w:docPartBody>
    </w:docPart>
    <w:docPart>
      <w:docPartPr>
        <w:name w:val="{eda9238d-6c23-48f3-adee-52b6a86e6d2e}"/>
        <w:style w:val=""/>
        <w:category>
          <w:name w:val="常规"/>
          <w:gallery w:val="placeholder"/>
        </w:category>
        <w:types>
          <w:type w:val="bbPlcHdr"/>
        </w:types>
        <w:behaviors>
          <w:behavior w:val="content"/>
        </w:behaviors>
        <w:description w:val=""/>
        <w:guid w:val="{eda9238d-6c23-48f3-adee-52b6a86e6d2e}"/>
      </w:docPartPr>
      <w:docPartBody>
        <w:p>
          <w:r>
            <w:rPr>
              <w:color w:val="808080"/>
            </w:rPr>
            <w:t>单击此处输入文字。</w:t>
          </w:r>
        </w:p>
      </w:docPartBody>
    </w:docPart>
    <w:docPart>
      <w:docPartPr>
        <w:name w:val="{59ce5c2a-0aef-4fbd-8bb7-e0af84dc27e2}"/>
        <w:style w:val=""/>
        <w:category>
          <w:name w:val="常规"/>
          <w:gallery w:val="placeholder"/>
        </w:category>
        <w:types>
          <w:type w:val="bbPlcHdr"/>
        </w:types>
        <w:behaviors>
          <w:behavior w:val="content"/>
        </w:behaviors>
        <w:description w:val=""/>
        <w:guid w:val="{59ce5c2a-0aef-4fbd-8bb7-e0af84dc27e2}"/>
      </w:docPartPr>
      <w:docPartBody>
        <w:p>
          <w:r>
            <w:rPr>
              <w:color w:val="808080"/>
            </w:rPr>
            <w:t>单击此处输入文字。</w:t>
          </w:r>
        </w:p>
      </w:docPartBody>
    </w:docPart>
    <w:docPart>
      <w:docPartPr>
        <w:name w:val="{fea14813-2c37-47f5-9b3c-52d9a7c461a2}"/>
        <w:style w:val=""/>
        <w:category>
          <w:name w:val="常规"/>
          <w:gallery w:val="placeholder"/>
        </w:category>
        <w:types>
          <w:type w:val="bbPlcHdr"/>
        </w:types>
        <w:behaviors>
          <w:behavior w:val="content"/>
        </w:behaviors>
        <w:description w:val=""/>
        <w:guid w:val="{fea14813-2c37-47f5-9b3c-52d9a7c461a2}"/>
      </w:docPartPr>
      <w:docPartBody>
        <w:p>
          <w:r>
            <w:rPr>
              <w:color w:val="808080"/>
            </w:rPr>
            <w:t>单击此处输入文字。</w:t>
          </w:r>
        </w:p>
      </w:docPartBody>
    </w:docPart>
    <w:docPart>
      <w:docPartPr>
        <w:name w:val="{4026a724-77a2-426f-81e3-b36b931bec9b}"/>
        <w:style w:val=""/>
        <w:category>
          <w:name w:val="常规"/>
          <w:gallery w:val="placeholder"/>
        </w:category>
        <w:types>
          <w:type w:val="bbPlcHdr"/>
        </w:types>
        <w:behaviors>
          <w:behavior w:val="content"/>
        </w:behaviors>
        <w:description w:val=""/>
        <w:guid w:val="{4026a724-77a2-426f-81e3-b36b931bec9b}"/>
      </w:docPartPr>
      <w:docPartBody>
        <w:p>
          <w:r>
            <w:rPr>
              <w:color w:val="808080"/>
            </w:rPr>
            <w:t>单击此处输入文字。</w:t>
          </w:r>
        </w:p>
      </w:docPartBody>
    </w:docPart>
    <w:docPart>
      <w:docPartPr>
        <w:name w:val="{4956cd3d-d7ba-476c-a6d2-2c5ad3ec8ed7}"/>
        <w:style w:val=""/>
        <w:category>
          <w:name w:val="常规"/>
          <w:gallery w:val="placeholder"/>
        </w:category>
        <w:types>
          <w:type w:val="bbPlcHdr"/>
        </w:types>
        <w:behaviors>
          <w:behavior w:val="content"/>
        </w:behaviors>
        <w:description w:val=""/>
        <w:guid w:val="{4956cd3d-d7ba-476c-a6d2-2c5ad3ec8ed7}"/>
      </w:docPartPr>
      <w:docPartBody>
        <w:p>
          <w:r>
            <w:rPr>
              <w:color w:val="808080"/>
            </w:rPr>
            <w:t>单击此处输入文字。</w:t>
          </w:r>
        </w:p>
      </w:docPartBody>
    </w:docPart>
    <w:docPart>
      <w:docPartPr>
        <w:name w:val="{bf257795-f93c-42e7-99bf-c0682c2033d5}"/>
        <w:style w:val=""/>
        <w:category>
          <w:name w:val="常规"/>
          <w:gallery w:val="placeholder"/>
        </w:category>
        <w:types>
          <w:type w:val="bbPlcHdr"/>
        </w:types>
        <w:behaviors>
          <w:behavior w:val="content"/>
        </w:behaviors>
        <w:description w:val=""/>
        <w:guid w:val="{bf257795-f93c-42e7-99bf-c0682c2033d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4130F-1D18-4F3A-AC68-299083B364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7250</Words>
  <Characters>41330</Characters>
  <Lines>344</Lines>
  <Paragraphs>96</Paragraphs>
  <TotalTime>12</TotalTime>
  <ScaleCrop>false</ScaleCrop>
  <LinksUpToDate>false</LinksUpToDate>
  <CharactersWithSpaces>48484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2021-08-27T01:50:00Z</dcterms:created>
  <dc:creator>Administrator</dc:creator>
  <cp:lastModifiedBy>Administrator</cp:lastModifiedBy>
  <dcterms:modified xsi:type="dcterms:W3CDTF">2021-11-10T07:19:14Z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