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仿宋_GB2312" w:eastAsia="方正小标宋简体" w:cs="仿宋_GB2312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嵩明县20</w:t>
      </w:r>
      <w:r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  <w:t>20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年</w:t>
      </w:r>
      <w:r>
        <w:rPr>
          <w:rFonts w:hint="eastAsia" w:ascii="方正小标宋简体" w:hAnsi="仿宋_GB2312" w:eastAsia="方正小标宋简体" w:cs="仿宋_GB2312"/>
          <w:sz w:val="44"/>
          <w:szCs w:val="44"/>
          <w:lang w:eastAsia="zh-CN"/>
        </w:rPr>
        <w:t>举借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政府债务</w:t>
      </w:r>
      <w:r>
        <w:rPr>
          <w:rFonts w:hint="eastAsia" w:ascii="方正小标宋简体" w:hAnsi="仿宋_GB2312" w:eastAsia="方正小标宋简体" w:cs="仿宋_GB2312"/>
          <w:sz w:val="44"/>
          <w:szCs w:val="44"/>
          <w:lang w:eastAsia="zh-CN"/>
        </w:rPr>
        <w:t>情况说明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昆明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市委、市政府同意，并报十四届人大常务委员会第三十次会议审查批准，核定嵩明县2020年地方政府债务限额为82.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亿元，其中一般债务48.48亿元，专项债务34.3亿元。经十六届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嵩明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县政府第54次常务会议审议通过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嵩明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县十六届人大常委会第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二十八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次会议审议批准，嵩明县20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年地方政府债务限额为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82.78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亿元，其中：一般债务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48.48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亿元，专项债务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34.3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亿元。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2020年度嵩明县新增专项债券额度6.1亿元，专项用于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嵩明杨林工业园区基础设施建设项目、嵩明县第三污水处理厂及配套管网工程、嵩明县城片区供水管网建设工程项目建设。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892270"/>
    <w:rsid w:val="7A89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昆明市嵩明县党政机关单位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2021-02-02T09:04:00Z</dcterms:created>
  <dc:creator>lenovo</dc:creator>
  <cp:lastModifiedBy>lenovo</cp:lastModifiedBy>
  <dcterms:modified xsi:type="dcterms:W3CDTF">2021-02-02T09:05:09Z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