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3D0" w:rsidRDefault="000153D0" w:rsidP="000153D0">
      <w:pPr>
        <w:spacing w:line="600" w:lineRule="exact"/>
        <w:jc w:val="left"/>
        <w:rPr>
          <w:rFonts w:eastAsia="仿宋_GB2312"/>
          <w:sz w:val="32"/>
          <w:szCs w:val="32"/>
        </w:rPr>
      </w:pPr>
      <w:r>
        <w:rPr>
          <w:rFonts w:eastAsia="方正小标宋简体" w:hint="eastAsia"/>
          <w:sz w:val="30"/>
          <w:szCs w:val="30"/>
        </w:rPr>
        <w:t>附件：</w:t>
      </w:r>
    </w:p>
    <w:p w:rsidR="000153D0" w:rsidRDefault="000153D0" w:rsidP="000153D0">
      <w:pPr>
        <w:spacing w:line="600" w:lineRule="exact"/>
        <w:jc w:val="center"/>
        <w:rPr>
          <w:rFonts w:eastAsia="方正小标宋简体"/>
          <w:sz w:val="44"/>
          <w:szCs w:val="44"/>
        </w:rPr>
      </w:pPr>
      <w:r>
        <w:rPr>
          <w:rFonts w:eastAsia="方正小标宋简体"/>
          <w:sz w:val="44"/>
          <w:szCs w:val="44"/>
        </w:rPr>
        <w:t>2018</w:t>
      </w:r>
      <w:r>
        <w:rPr>
          <w:rFonts w:eastAsia="方正小标宋简体" w:hint="eastAsia"/>
          <w:sz w:val="44"/>
          <w:szCs w:val="44"/>
        </w:rPr>
        <w:t>年度嵩明县</w:t>
      </w:r>
      <w:r w:rsidR="0063582A">
        <w:rPr>
          <w:rFonts w:eastAsia="方正小标宋简体" w:hint="eastAsia"/>
          <w:sz w:val="44"/>
          <w:szCs w:val="44"/>
        </w:rPr>
        <w:t>(</w:t>
      </w:r>
      <w:r w:rsidR="0063582A">
        <w:rPr>
          <w:rFonts w:eastAsia="方正小标宋简体" w:hint="eastAsia"/>
          <w:sz w:val="44"/>
          <w:szCs w:val="44"/>
        </w:rPr>
        <w:t>本级</w:t>
      </w:r>
      <w:r w:rsidR="0063582A">
        <w:rPr>
          <w:rFonts w:eastAsia="方正小标宋简体" w:hint="eastAsia"/>
          <w:sz w:val="44"/>
          <w:szCs w:val="44"/>
        </w:rPr>
        <w:t>)</w:t>
      </w:r>
      <w:r>
        <w:rPr>
          <w:rFonts w:eastAsia="方正小标宋简体"/>
          <w:sz w:val="44"/>
          <w:szCs w:val="44"/>
        </w:rPr>
        <w:t xml:space="preserve"> “</w:t>
      </w:r>
      <w:r>
        <w:rPr>
          <w:rFonts w:eastAsia="方正小标宋简体" w:hint="eastAsia"/>
          <w:sz w:val="44"/>
          <w:szCs w:val="44"/>
        </w:rPr>
        <w:t>三公</w:t>
      </w:r>
      <w:r>
        <w:rPr>
          <w:rFonts w:eastAsia="方正小标宋简体"/>
          <w:sz w:val="44"/>
          <w:szCs w:val="44"/>
        </w:rPr>
        <w:t>”</w:t>
      </w:r>
      <w:r>
        <w:rPr>
          <w:rFonts w:eastAsia="方正小标宋简体" w:hint="eastAsia"/>
          <w:sz w:val="44"/>
          <w:szCs w:val="44"/>
        </w:rPr>
        <w:t>经费决算</w:t>
      </w:r>
    </w:p>
    <w:p w:rsidR="000153D0" w:rsidRDefault="000153D0" w:rsidP="000153D0">
      <w:pPr>
        <w:spacing w:line="600" w:lineRule="exact"/>
        <w:jc w:val="center"/>
        <w:rPr>
          <w:rFonts w:eastAsia="方正小标宋简体"/>
          <w:sz w:val="44"/>
          <w:szCs w:val="44"/>
        </w:rPr>
      </w:pPr>
      <w:r>
        <w:rPr>
          <w:rFonts w:eastAsia="方正小标宋简体" w:hint="eastAsia"/>
          <w:sz w:val="44"/>
          <w:szCs w:val="44"/>
        </w:rPr>
        <w:t>汇总数情况说明</w:t>
      </w:r>
    </w:p>
    <w:p w:rsidR="000153D0" w:rsidRDefault="000153D0" w:rsidP="000153D0">
      <w:pPr>
        <w:spacing w:line="600" w:lineRule="exact"/>
        <w:rPr>
          <w:rFonts w:eastAsia="仿宋_GB2312"/>
          <w:sz w:val="32"/>
          <w:szCs w:val="32"/>
        </w:rPr>
      </w:pPr>
    </w:p>
    <w:p w:rsidR="000153D0" w:rsidRDefault="000153D0" w:rsidP="000153D0">
      <w:pPr>
        <w:spacing w:line="600" w:lineRule="exact"/>
        <w:ind w:firstLineChars="200" w:firstLine="640"/>
        <w:rPr>
          <w:rFonts w:eastAsia="仿宋_GB2312"/>
          <w:sz w:val="32"/>
          <w:szCs w:val="32"/>
        </w:rPr>
      </w:pPr>
      <w:r>
        <w:rPr>
          <w:rFonts w:eastAsia="仿宋_GB2312" w:hint="eastAsia"/>
          <w:sz w:val="32"/>
          <w:szCs w:val="32"/>
        </w:rPr>
        <w:t>根据国务院关于推进政府预算信息公开的决策部署和嵩明县政府工作安排，经嵩明县财政局汇总，嵩明县人民政府审定，现将嵩明县各部门和预算单位（包括本级</w:t>
      </w:r>
      <w:r>
        <w:rPr>
          <w:rFonts w:eastAsia="仿宋_GB2312"/>
          <w:sz w:val="32"/>
          <w:szCs w:val="32"/>
        </w:rPr>
        <w:t>/</w:t>
      </w:r>
      <w:r>
        <w:rPr>
          <w:rFonts w:eastAsia="仿宋_GB2312" w:hint="eastAsia"/>
          <w:sz w:val="32"/>
          <w:szCs w:val="32"/>
        </w:rPr>
        <w:t>全县行政单位、事业单位以及其他使用一般公共预算财政拨款安排</w:t>
      </w:r>
      <w:r>
        <w:rPr>
          <w:rFonts w:eastAsia="仿宋_GB2312"/>
          <w:sz w:val="32"/>
          <w:szCs w:val="32"/>
        </w:rPr>
        <w:t>“</w:t>
      </w:r>
      <w:r>
        <w:rPr>
          <w:rFonts w:eastAsia="仿宋_GB2312" w:hint="eastAsia"/>
          <w:sz w:val="32"/>
          <w:szCs w:val="32"/>
        </w:rPr>
        <w:t>三公</w:t>
      </w:r>
      <w:r>
        <w:rPr>
          <w:rFonts w:eastAsia="仿宋_GB2312"/>
          <w:sz w:val="32"/>
          <w:szCs w:val="32"/>
        </w:rPr>
        <w:t>”</w:t>
      </w:r>
      <w:r>
        <w:rPr>
          <w:rFonts w:eastAsia="仿宋_GB2312" w:hint="eastAsia"/>
          <w:sz w:val="32"/>
          <w:szCs w:val="32"/>
        </w:rPr>
        <w:t>经费单位），</w:t>
      </w:r>
      <w:r>
        <w:rPr>
          <w:rFonts w:eastAsia="仿宋_GB2312"/>
          <w:sz w:val="32"/>
          <w:szCs w:val="32"/>
        </w:rPr>
        <w:t>2018</w:t>
      </w:r>
      <w:r>
        <w:rPr>
          <w:rFonts w:eastAsia="仿宋_GB2312" w:hint="eastAsia"/>
          <w:sz w:val="32"/>
          <w:szCs w:val="32"/>
        </w:rPr>
        <w:t>年</w:t>
      </w:r>
      <w:r>
        <w:rPr>
          <w:rFonts w:eastAsia="仿宋_GB2312"/>
          <w:sz w:val="32"/>
          <w:szCs w:val="32"/>
        </w:rPr>
        <w:t>“</w:t>
      </w:r>
      <w:r>
        <w:rPr>
          <w:rFonts w:eastAsia="仿宋_GB2312" w:hint="eastAsia"/>
          <w:sz w:val="32"/>
          <w:szCs w:val="32"/>
        </w:rPr>
        <w:t>三公</w:t>
      </w:r>
      <w:r>
        <w:rPr>
          <w:rFonts w:eastAsia="仿宋_GB2312"/>
          <w:sz w:val="32"/>
          <w:szCs w:val="32"/>
        </w:rPr>
        <w:t>”</w:t>
      </w:r>
      <w:r>
        <w:rPr>
          <w:rFonts w:eastAsia="仿宋_GB2312" w:hint="eastAsia"/>
          <w:sz w:val="32"/>
          <w:szCs w:val="32"/>
        </w:rPr>
        <w:t>经费决算汇总数情况公开如下：</w:t>
      </w:r>
    </w:p>
    <w:p w:rsidR="000153D0" w:rsidRDefault="000153D0" w:rsidP="000153D0">
      <w:pPr>
        <w:spacing w:line="600" w:lineRule="exact"/>
        <w:ind w:firstLineChars="200" w:firstLine="640"/>
        <w:rPr>
          <w:rFonts w:eastAsia="仿宋_GB2312"/>
          <w:sz w:val="32"/>
          <w:szCs w:val="32"/>
        </w:rPr>
      </w:pPr>
      <w:r>
        <w:rPr>
          <w:rFonts w:eastAsia="仿宋_GB2312"/>
          <w:sz w:val="32"/>
          <w:szCs w:val="32"/>
        </w:rPr>
        <w:t>2018</w:t>
      </w:r>
      <w:r>
        <w:rPr>
          <w:rFonts w:eastAsia="仿宋_GB2312" w:hint="eastAsia"/>
          <w:sz w:val="32"/>
          <w:szCs w:val="32"/>
        </w:rPr>
        <w:t>年度嵩明县各部门和预算单位一般公共预算财政拨款</w:t>
      </w:r>
      <w:r>
        <w:rPr>
          <w:rFonts w:eastAsia="仿宋_GB2312"/>
          <w:sz w:val="32"/>
          <w:szCs w:val="32"/>
        </w:rPr>
        <w:t>“</w:t>
      </w:r>
      <w:r>
        <w:rPr>
          <w:rFonts w:eastAsia="仿宋_GB2312" w:hint="eastAsia"/>
          <w:sz w:val="32"/>
          <w:szCs w:val="32"/>
        </w:rPr>
        <w:t>三公</w:t>
      </w:r>
      <w:r>
        <w:rPr>
          <w:rFonts w:eastAsia="仿宋_GB2312"/>
          <w:sz w:val="32"/>
          <w:szCs w:val="32"/>
        </w:rPr>
        <w:t>”</w:t>
      </w:r>
      <w:r>
        <w:rPr>
          <w:rFonts w:eastAsia="仿宋_GB2312" w:hint="eastAsia"/>
          <w:sz w:val="32"/>
          <w:szCs w:val="32"/>
        </w:rPr>
        <w:t>经费支出决算汇总数为</w:t>
      </w:r>
      <w:r>
        <w:rPr>
          <w:rFonts w:eastAsia="仿宋_GB2312"/>
          <w:sz w:val="32"/>
          <w:szCs w:val="32"/>
        </w:rPr>
        <w:t>746.74</w:t>
      </w:r>
      <w:r>
        <w:rPr>
          <w:rFonts w:eastAsia="仿宋_GB2312" w:hint="eastAsia"/>
          <w:sz w:val="32"/>
          <w:szCs w:val="32"/>
        </w:rPr>
        <w:t>万元，较上年增加</w:t>
      </w:r>
      <w:r>
        <w:rPr>
          <w:rFonts w:eastAsia="仿宋_GB2312"/>
          <w:sz w:val="32"/>
          <w:szCs w:val="32"/>
        </w:rPr>
        <w:t>71.58</w:t>
      </w:r>
      <w:r>
        <w:rPr>
          <w:rFonts w:eastAsia="仿宋_GB2312" w:hint="eastAsia"/>
          <w:sz w:val="32"/>
          <w:szCs w:val="32"/>
        </w:rPr>
        <w:t>万元，增长</w:t>
      </w:r>
      <w:r>
        <w:rPr>
          <w:rFonts w:eastAsia="仿宋_GB2312"/>
          <w:sz w:val="32"/>
          <w:szCs w:val="32"/>
        </w:rPr>
        <w:t>11%</w:t>
      </w:r>
      <w:r>
        <w:rPr>
          <w:rFonts w:eastAsia="仿宋_GB2312" w:hint="eastAsia"/>
          <w:sz w:val="32"/>
          <w:szCs w:val="32"/>
        </w:rPr>
        <w:t>。其中：因公出国（境）费为</w:t>
      </w:r>
      <w:r>
        <w:rPr>
          <w:rFonts w:eastAsia="仿宋_GB2312"/>
          <w:sz w:val="32"/>
          <w:szCs w:val="32"/>
        </w:rPr>
        <w:t>42.43</w:t>
      </w:r>
      <w:r>
        <w:rPr>
          <w:rFonts w:eastAsia="仿宋_GB2312" w:hint="eastAsia"/>
          <w:sz w:val="32"/>
          <w:szCs w:val="32"/>
        </w:rPr>
        <w:t>万元，较上年增加</w:t>
      </w:r>
      <w:r>
        <w:rPr>
          <w:rFonts w:eastAsia="仿宋_GB2312"/>
          <w:sz w:val="32"/>
          <w:szCs w:val="32"/>
        </w:rPr>
        <w:t>22.82</w:t>
      </w:r>
      <w:r>
        <w:rPr>
          <w:rFonts w:eastAsia="仿宋_GB2312" w:hint="eastAsia"/>
          <w:sz w:val="32"/>
          <w:szCs w:val="32"/>
        </w:rPr>
        <w:t>万元，增长</w:t>
      </w:r>
      <w:r>
        <w:rPr>
          <w:rFonts w:eastAsia="仿宋_GB2312"/>
          <w:sz w:val="32"/>
          <w:szCs w:val="32"/>
        </w:rPr>
        <w:t>116%</w:t>
      </w:r>
      <w:r>
        <w:rPr>
          <w:rFonts w:eastAsia="仿宋_GB2312" w:hint="eastAsia"/>
          <w:sz w:val="32"/>
          <w:szCs w:val="32"/>
        </w:rPr>
        <w:t>，共计安排因公出国（境）团组</w:t>
      </w:r>
      <w:r>
        <w:rPr>
          <w:rFonts w:eastAsia="仿宋_GB2312"/>
          <w:sz w:val="32"/>
          <w:szCs w:val="32"/>
        </w:rPr>
        <w:t>2</w:t>
      </w:r>
      <w:r>
        <w:rPr>
          <w:rFonts w:eastAsia="仿宋_GB2312" w:hint="eastAsia"/>
          <w:sz w:val="32"/>
          <w:szCs w:val="32"/>
        </w:rPr>
        <w:t>个，因公出国（境）</w:t>
      </w:r>
      <w:r>
        <w:rPr>
          <w:rFonts w:eastAsia="仿宋_GB2312"/>
          <w:sz w:val="32"/>
          <w:szCs w:val="32"/>
        </w:rPr>
        <w:t>12</w:t>
      </w:r>
      <w:r>
        <w:rPr>
          <w:rFonts w:eastAsia="仿宋_GB2312" w:hint="eastAsia"/>
          <w:sz w:val="32"/>
          <w:szCs w:val="32"/>
        </w:rPr>
        <w:t>人次。公务接待费为</w:t>
      </w:r>
      <w:r>
        <w:rPr>
          <w:rFonts w:eastAsia="仿宋_GB2312"/>
          <w:sz w:val="32"/>
          <w:szCs w:val="32"/>
        </w:rPr>
        <w:t>278.72</w:t>
      </w:r>
      <w:r>
        <w:rPr>
          <w:rFonts w:eastAsia="仿宋_GB2312" w:hint="eastAsia"/>
          <w:sz w:val="32"/>
          <w:szCs w:val="32"/>
        </w:rPr>
        <w:t>万元，较上年减少</w:t>
      </w:r>
      <w:r>
        <w:rPr>
          <w:rFonts w:eastAsia="仿宋_GB2312"/>
          <w:sz w:val="32"/>
          <w:szCs w:val="32"/>
        </w:rPr>
        <w:t>74.08</w:t>
      </w:r>
      <w:r>
        <w:rPr>
          <w:rFonts w:eastAsia="仿宋_GB2312" w:hint="eastAsia"/>
          <w:sz w:val="32"/>
          <w:szCs w:val="32"/>
        </w:rPr>
        <w:t>万元，下降</w:t>
      </w:r>
      <w:r>
        <w:rPr>
          <w:rFonts w:eastAsia="仿宋_GB2312"/>
          <w:sz w:val="32"/>
          <w:szCs w:val="32"/>
        </w:rPr>
        <w:t>21%</w:t>
      </w:r>
      <w:r>
        <w:rPr>
          <w:rFonts w:eastAsia="仿宋_GB2312" w:hint="eastAsia"/>
          <w:sz w:val="32"/>
          <w:szCs w:val="32"/>
        </w:rPr>
        <w:t>，国内公务接待批次为</w:t>
      </w:r>
      <w:r>
        <w:rPr>
          <w:rFonts w:eastAsia="仿宋_GB2312"/>
          <w:sz w:val="32"/>
          <w:szCs w:val="32"/>
        </w:rPr>
        <w:t>5567</w:t>
      </w:r>
      <w:r>
        <w:rPr>
          <w:rFonts w:eastAsia="仿宋_GB2312" w:hint="eastAsia"/>
          <w:sz w:val="32"/>
          <w:szCs w:val="32"/>
        </w:rPr>
        <w:t>次，共计接待</w:t>
      </w:r>
      <w:r>
        <w:rPr>
          <w:rFonts w:eastAsia="仿宋_GB2312"/>
          <w:sz w:val="32"/>
          <w:szCs w:val="32"/>
        </w:rPr>
        <w:t>56100</w:t>
      </w:r>
      <w:r>
        <w:rPr>
          <w:rFonts w:eastAsia="仿宋_GB2312" w:hint="eastAsia"/>
          <w:sz w:val="32"/>
          <w:szCs w:val="32"/>
        </w:rPr>
        <w:t>人次。公务用车购置及运行维护费为</w:t>
      </w:r>
      <w:r>
        <w:rPr>
          <w:rFonts w:eastAsia="仿宋_GB2312"/>
          <w:sz w:val="32"/>
          <w:szCs w:val="32"/>
        </w:rPr>
        <w:t>425.59</w:t>
      </w:r>
      <w:r>
        <w:rPr>
          <w:rFonts w:eastAsia="仿宋_GB2312" w:hint="eastAsia"/>
          <w:sz w:val="32"/>
          <w:szCs w:val="32"/>
        </w:rPr>
        <w:t>万元，较上年增加</w:t>
      </w:r>
      <w:r>
        <w:rPr>
          <w:rFonts w:eastAsia="仿宋_GB2312"/>
          <w:sz w:val="32"/>
          <w:szCs w:val="32"/>
        </w:rPr>
        <w:t>122.84</w:t>
      </w:r>
      <w:r>
        <w:rPr>
          <w:rFonts w:eastAsia="仿宋_GB2312" w:hint="eastAsia"/>
          <w:sz w:val="32"/>
          <w:szCs w:val="32"/>
        </w:rPr>
        <w:t>万元，增长</w:t>
      </w:r>
      <w:r>
        <w:rPr>
          <w:rFonts w:eastAsia="仿宋_GB2312"/>
          <w:sz w:val="32"/>
          <w:szCs w:val="32"/>
        </w:rPr>
        <w:t>41%</w:t>
      </w:r>
      <w:r>
        <w:rPr>
          <w:rFonts w:eastAsia="仿宋_GB2312" w:hint="eastAsia"/>
          <w:sz w:val="32"/>
          <w:szCs w:val="32"/>
        </w:rPr>
        <w:t>。其中：公务用车购置费</w:t>
      </w:r>
      <w:r>
        <w:rPr>
          <w:rFonts w:eastAsia="仿宋_GB2312"/>
          <w:sz w:val="32"/>
          <w:szCs w:val="32"/>
        </w:rPr>
        <w:t>0</w:t>
      </w:r>
      <w:r>
        <w:rPr>
          <w:rFonts w:eastAsia="仿宋_GB2312" w:hint="eastAsia"/>
          <w:sz w:val="32"/>
          <w:szCs w:val="32"/>
        </w:rPr>
        <w:t>万元，较上年减少</w:t>
      </w:r>
      <w:r>
        <w:rPr>
          <w:rFonts w:eastAsia="仿宋_GB2312"/>
          <w:sz w:val="32"/>
          <w:szCs w:val="32"/>
        </w:rPr>
        <w:t>27.77</w:t>
      </w:r>
      <w:r>
        <w:rPr>
          <w:rFonts w:eastAsia="仿宋_GB2312" w:hint="eastAsia"/>
          <w:sz w:val="32"/>
          <w:szCs w:val="32"/>
        </w:rPr>
        <w:t>万元，下降</w:t>
      </w:r>
      <w:r>
        <w:rPr>
          <w:rFonts w:eastAsia="仿宋_GB2312"/>
          <w:sz w:val="32"/>
          <w:szCs w:val="32"/>
        </w:rPr>
        <w:t>100%</w:t>
      </w:r>
      <w:r>
        <w:rPr>
          <w:rFonts w:eastAsia="仿宋_GB2312" w:hint="eastAsia"/>
          <w:sz w:val="32"/>
          <w:szCs w:val="32"/>
        </w:rPr>
        <w:t>；公务用车运行维护费</w:t>
      </w:r>
      <w:r>
        <w:rPr>
          <w:rFonts w:eastAsia="仿宋_GB2312"/>
          <w:sz w:val="32"/>
          <w:szCs w:val="32"/>
        </w:rPr>
        <w:t>425.59</w:t>
      </w:r>
      <w:r>
        <w:rPr>
          <w:rFonts w:eastAsia="仿宋_GB2312" w:hint="eastAsia"/>
          <w:sz w:val="32"/>
          <w:szCs w:val="32"/>
        </w:rPr>
        <w:t>万元，较上年增加</w:t>
      </w:r>
      <w:r>
        <w:rPr>
          <w:rFonts w:eastAsia="仿宋_GB2312"/>
          <w:sz w:val="32"/>
          <w:szCs w:val="32"/>
        </w:rPr>
        <w:t>150.60</w:t>
      </w:r>
      <w:r>
        <w:rPr>
          <w:rFonts w:eastAsia="仿宋_GB2312" w:hint="eastAsia"/>
          <w:sz w:val="32"/>
          <w:szCs w:val="32"/>
        </w:rPr>
        <w:t>万元，增长</w:t>
      </w:r>
      <w:r>
        <w:rPr>
          <w:rFonts w:eastAsia="仿宋_GB2312"/>
          <w:sz w:val="32"/>
          <w:szCs w:val="32"/>
        </w:rPr>
        <w:t>55%</w:t>
      </w:r>
      <w:r>
        <w:rPr>
          <w:rFonts w:eastAsia="仿宋_GB2312" w:hint="eastAsia"/>
          <w:sz w:val="32"/>
          <w:szCs w:val="32"/>
        </w:rPr>
        <w:t>。共计购置公务用车</w:t>
      </w:r>
      <w:r>
        <w:rPr>
          <w:rFonts w:eastAsia="仿宋_GB2312"/>
          <w:sz w:val="32"/>
          <w:szCs w:val="32"/>
        </w:rPr>
        <w:t>0</w:t>
      </w:r>
      <w:r>
        <w:rPr>
          <w:rFonts w:eastAsia="仿宋_GB2312" w:hint="eastAsia"/>
          <w:sz w:val="32"/>
          <w:szCs w:val="32"/>
        </w:rPr>
        <w:t>辆，年末公务用车保有量为</w:t>
      </w:r>
      <w:r>
        <w:rPr>
          <w:rFonts w:eastAsia="仿宋_GB2312"/>
          <w:sz w:val="32"/>
          <w:szCs w:val="32"/>
        </w:rPr>
        <w:t>231</w:t>
      </w:r>
      <w:r>
        <w:rPr>
          <w:rFonts w:eastAsia="仿宋_GB2312" w:hint="eastAsia"/>
          <w:sz w:val="32"/>
          <w:szCs w:val="32"/>
        </w:rPr>
        <w:t>辆。</w:t>
      </w:r>
    </w:p>
    <w:p w:rsidR="000153D0" w:rsidRDefault="000153D0" w:rsidP="000153D0">
      <w:pPr>
        <w:snapToGrid w:val="0"/>
        <w:spacing w:line="580" w:lineRule="exact"/>
        <w:ind w:firstLineChars="200" w:firstLine="640"/>
        <w:rPr>
          <w:rFonts w:eastAsia="仿宋"/>
          <w:sz w:val="32"/>
          <w:szCs w:val="32"/>
        </w:rPr>
      </w:pPr>
      <w:r>
        <w:rPr>
          <w:rFonts w:eastAsia="仿宋"/>
          <w:sz w:val="32"/>
          <w:szCs w:val="32"/>
        </w:rPr>
        <w:t>2018</w:t>
      </w:r>
      <w:r>
        <w:rPr>
          <w:rFonts w:eastAsia="仿宋" w:hAnsi="仿宋" w:hint="eastAsia"/>
          <w:sz w:val="32"/>
          <w:szCs w:val="32"/>
        </w:rPr>
        <w:t>年我县认真执行八项规定，严格控制</w:t>
      </w:r>
      <w:r>
        <w:rPr>
          <w:rFonts w:eastAsia="仿宋"/>
          <w:sz w:val="32"/>
          <w:szCs w:val="32"/>
        </w:rPr>
        <w:t>“</w:t>
      </w:r>
      <w:r>
        <w:rPr>
          <w:rFonts w:eastAsia="仿宋" w:hAnsi="仿宋" w:hint="eastAsia"/>
          <w:sz w:val="32"/>
          <w:szCs w:val="32"/>
        </w:rPr>
        <w:t>三公</w:t>
      </w:r>
      <w:r>
        <w:rPr>
          <w:rFonts w:eastAsia="仿宋"/>
          <w:sz w:val="32"/>
          <w:szCs w:val="32"/>
        </w:rPr>
        <w:t>”</w:t>
      </w:r>
      <w:r>
        <w:rPr>
          <w:rFonts w:eastAsia="仿宋" w:hAnsi="仿宋" w:hint="eastAsia"/>
          <w:sz w:val="32"/>
          <w:szCs w:val="32"/>
        </w:rPr>
        <w:t>经费支出，增减变化原因从下表看</w:t>
      </w:r>
      <w:r>
        <w:rPr>
          <w:rFonts w:eastAsia="仿宋"/>
          <w:sz w:val="32"/>
          <w:szCs w:val="32"/>
        </w:rPr>
        <w:t>“</w:t>
      </w:r>
      <w:r>
        <w:rPr>
          <w:rFonts w:eastAsia="仿宋" w:hAnsi="仿宋" w:hint="eastAsia"/>
          <w:sz w:val="32"/>
          <w:szCs w:val="32"/>
        </w:rPr>
        <w:t>三公</w:t>
      </w:r>
      <w:r>
        <w:rPr>
          <w:rFonts w:eastAsia="仿宋"/>
          <w:sz w:val="32"/>
          <w:szCs w:val="32"/>
        </w:rPr>
        <w:t>”</w:t>
      </w:r>
      <w:r>
        <w:rPr>
          <w:rFonts w:eastAsia="仿宋" w:hAnsi="仿宋" w:hint="eastAsia"/>
          <w:sz w:val="32"/>
          <w:szCs w:val="32"/>
        </w:rPr>
        <w:t>经费增长原因</w:t>
      </w:r>
      <w:r>
        <w:rPr>
          <w:rFonts w:eastAsia="仿宋"/>
          <w:sz w:val="32"/>
          <w:szCs w:val="32"/>
        </w:rPr>
        <w:t>:</w:t>
      </w:r>
      <w:r>
        <w:rPr>
          <w:rFonts w:eastAsia="仿宋" w:hAnsi="仿宋" w:hint="eastAsia"/>
          <w:sz w:val="32"/>
          <w:szCs w:val="32"/>
        </w:rPr>
        <w:t>一是因公出</w:t>
      </w:r>
      <w:r>
        <w:rPr>
          <w:rFonts w:eastAsia="仿宋" w:hAnsi="仿宋" w:hint="eastAsia"/>
          <w:sz w:val="32"/>
          <w:szCs w:val="32"/>
        </w:rPr>
        <w:lastRenderedPageBreak/>
        <w:t>国</w:t>
      </w:r>
      <w:r>
        <w:rPr>
          <w:rFonts w:eastAsia="仿宋"/>
          <w:sz w:val="32"/>
          <w:szCs w:val="32"/>
        </w:rPr>
        <w:t>(</w:t>
      </w:r>
      <w:r>
        <w:rPr>
          <w:rFonts w:eastAsia="仿宋" w:hAnsi="仿宋" w:hint="eastAsia"/>
          <w:sz w:val="32"/>
          <w:szCs w:val="32"/>
        </w:rPr>
        <w:t>境</w:t>
      </w:r>
      <w:r>
        <w:rPr>
          <w:rFonts w:eastAsia="仿宋"/>
          <w:sz w:val="32"/>
          <w:szCs w:val="32"/>
        </w:rPr>
        <w:t xml:space="preserve">) </w:t>
      </w:r>
      <w:r>
        <w:rPr>
          <w:rFonts w:eastAsia="仿宋" w:hAnsi="仿宋" w:hint="eastAsia"/>
          <w:sz w:val="32"/>
          <w:szCs w:val="32"/>
        </w:rPr>
        <w:t>因公出国（境）团组数和人次较上年增加，经费相应增加</w:t>
      </w:r>
      <w:r>
        <w:rPr>
          <w:rFonts w:eastAsia="仿宋"/>
          <w:sz w:val="32"/>
          <w:szCs w:val="32"/>
        </w:rPr>
        <w:t>;</w:t>
      </w:r>
      <w:r>
        <w:rPr>
          <w:rFonts w:eastAsia="仿宋" w:hAnsi="仿宋" w:hint="eastAsia"/>
          <w:sz w:val="32"/>
          <w:szCs w:val="32"/>
        </w:rPr>
        <w:t>二是公务用车运行维护费较上年增加。</w:t>
      </w:r>
      <w:r>
        <w:rPr>
          <w:rFonts w:eastAsia="仿宋"/>
          <w:sz w:val="32"/>
          <w:szCs w:val="32"/>
        </w:rPr>
        <w:t>“</w:t>
      </w:r>
      <w:r>
        <w:rPr>
          <w:rFonts w:eastAsia="仿宋" w:hAnsi="仿宋" w:hint="eastAsia"/>
          <w:sz w:val="32"/>
          <w:szCs w:val="32"/>
        </w:rPr>
        <w:t>三公</w:t>
      </w:r>
      <w:r>
        <w:rPr>
          <w:rFonts w:eastAsia="仿宋"/>
          <w:sz w:val="32"/>
          <w:szCs w:val="32"/>
        </w:rPr>
        <w:t>”</w:t>
      </w:r>
      <w:r>
        <w:rPr>
          <w:rFonts w:eastAsia="仿宋" w:hAnsi="仿宋" w:hint="eastAsia"/>
          <w:sz w:val="32"/>
          <w:szCs w:val="32"/>
        </w:rPr>
        <w:t>经费减少原因：一是单位严格执行八项规定，全县公务</w:t>
      </w:r>
      <w:proofErr w:type="gramStart"/>
      <w:r>
        <w:rPr>
          <w:rFonts w:eastAsia="仿宋" w:hAnsi="仿宋" w:hint="eastAsia"/>
          <w:sz w:val="32"/>
          <w:szCs w:val="32"/>
        </w:rPr>
        <w:t>接待费较上年</w:t>
      </w:r>
      <w:proofErr w:type="gramEnd"/>
      <w:r>
        <w:rPr>
          <w:rFonts w:eastAsia="仿宋" w:hAnsi="仿宋" w:hint="eastAsia"/>
          <w:sz w:val="32"/>
          <w:szCs w:val="32"/>
        </w:rPr>
        <w:t>减少；二是没有购置公务用车，公务用车</w:t>
      </w:r>
      <w:proofErr w:type="gramStart"/>
      <w:r>
        <w:rPr>
          <w:rFonts w:eastAsia="仿宋" w:hAnsi="仿宋" w:hint="eastAsia"/>
          <w:sz w:val="32"/>
          <w:szCs w:val="32"/>
        </w:rPr>
        <w:t>购置费较上年</w:t>
      </w:r>
      <w:proofErr w:type="gramEnd"/>
      <w:r>
        <w:rPr>
          <w:rFonts w:eastAsia="仿宋" w:hAnsi="仿宋" w:hint="eastAsia"/>
          <w:sz w:val="32"/>
          <w:szCs w:val="32"/>
        </w:rPr>
        <w:t>减少。</w:t>
      </w:r>
    </w:p>
    <w:p w:rsidR="000153D0" w:rsidRDefault="000153D0" w:rsidP="000153D0">
      <w:pPr>
        <w:snapToGrid w:val="0"/>
        <w:spacing w:line="580" w:lineRule="exact"/>
        <w:rPr>
          <w:rFonts w:eastAsia="仿宋"/>
          <w:sz w:val="32"/>
          <w:szCs w:val="32"/>
        </w:rPr>
      </w:pPr>
      <w:r>
        <w:rPr>
          <w:rFonts w:eastAsia="仿宋"/>
          <w:sz w:val="32"/>
          <w:szCs w:val="32"/>
        </w:rPr>
        <w:t xml:space="preserve"> </w:t>
      </w:r>
    </w:p>
    <w:p w:rsidR="000153D0" w:rsidRDefault="000153D0" w:rsidP="000153D0">
      <w:pPr>
        <w:spacing w:line="600" w:lineRule="exact"/>
        <w:jc w:val="center"/>
        <w:rPr>
          <w:rFonts w:eastAsia="黑体" w:hAnsi="黑体"/>
          <w:sz w:val="32"/>
          <w:szCs w:val="32"/>
        </w:rPr>
      </w:pPr>
      <w:r>
        <w:rPr>
          <w:rFonts w:eastAsia="黑体"/>
          <w:sz w:val="32"/>
          <w:szCs w:val="32"/>
        </w:rPr>
        <w:t>2018</w:t>
      </w:r>
      <w:r>
        <w:rPr>
          <w:rFonts w:eastAsia="黑体" w:hAnsi="黑体" w:hint="eastAsia"/>
          <w:sz w:val="32"/>
          <w:szCs w:val="32"/>
        </w:rPr>
        <w:t>年度嵩明县</w:t>
      </w:r>
      <w:r>
        <w:rPr>
          <w:rFonts w:eastAsia="黑体"/>
          <w:sz w:val="32"/>
          <w:szCs w:val="32"/>
        </w:rPr>
        <w:t xml:space="preserve"> “</w:t>
      </w:r>
      <w:r>
        <w:rPr>
          <w:rFonts w:eastAsia="黑体" w:hAnsi="黑体" w:hint="eastAsia"/>
          <w:sz w:val="32"/>
          <w:szCs w:val="32"/>
        </w:rPr>
        <w:t>三公</w:t>
      </w:r>
      <w:r>
        <w:rPr>
          <w:rFonts w:eastAsia="黑体"/>
          <w:sz w:val="32"/>
          <w:szCs w:val="32"/>
        </w:rPr>
        <w:t>”</w:t>
      </w:r>
      <w:r>
        <w:rPr>
          <w:rFonts w:eastAsia="黑体" w:hAnsi="黑体" w:hint="eastAsia"/>
          <w:sz w:val="32"/>
          <w:szCs w:val="32"/>
        </w:rPr>
        <w:t>经费决算汇总数</w:t>
      </w:r>
    </w:p>
    <w:p w:rsidR="000153D0" w:rsidRDefault="000153D0" w:rsidP="000153D0">
      <w:pPr>
        <w:spacing w:line="600" w:lineRule="exact"/>
        <w:jc w:val="center"/>
        <w:rPr>
          <w:rFonts w:eastAsia="黑体"/>
          <w:sz w:val="32"/>
          <w:szCs w:val="32"/>
        </w:rPr>
      </w:pPr>
      <w:r>
        <w:rPr>
          <w:rFonts w:eastAsia="黑体" w:hAnsi="黑体" w:hint="eastAsia"/>
          <w:sz w:val="32"/>
          <w:szCs w:val="32"/>
        </w:rPr>
        <w:t>对比情况表</w:t>
      </w:r>
    </w:p>
    <w:p w:rsidR="000153D0" w:rsidRDefault="000153D0" w:rsidP="000153D0">
      <w:pPr>
        <w:spacing w:line="600" w:lineRule="exact"/>
        <w:rPr>
          <w:sz w:val="20"/>
          <w:szCs w:val="20"/>
        </w:rPr>
      </w:pPr>
      <w:r>
        <w:rPr>
          <w:sz w:val="20"/>
          <w:szCs w:val="20"/>
        </w:rPr>
        <w:t xml:space="preserve">                                                                        </w:t>
      </w:r>
      <w:r>
        <w:rPr>
          <w:rFonts w:hAnsi="宋体" w:hint="eastAsia"/>
          <w:sz w:val="20"/>
          <w:szCs w:val="20"/>
        </w:rPr>
        <w:t>单位：万元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91"/>
        <w:gridCol w:w="1435"/>
        <w:gridCol w:w="1560"/>
        <w:gridCol w:w="1572"/>
        <w:gridCol w:w="1482"/>
      </w:tblGrid>
      <w:tr w:rsidR="000153D0" w:rsidTr="000153D0">
        <w:tc>
          <w:tcPr>
            <w:tcW w:w="2591" w:type="dxa"/>
            <w:vMerge w:val="restart"/>
            <w:tcBorders>
              <w:top w:val="single" w:sz="4" w:space="0" w:color="000000"/>
              <w:left w:val="single" w:sz="4" w:space="0" w:color="000000"/>
              <w:bottom w:val="single" w:sz="4" w:space="0" w:color="000000"/>
              <w:right w:val="single" w:sz="4" w:space="0" w:color="000000"/>
            </w:tcBorders>
            <w:vAlign w:val="center"/>
            <w:hideMark/>
          </w:tcPr>
          <w:p w:rsidR="000153D0" w:rsidRDefault="000153D0">
            <w:pPr>
              <w:spacing w:line="600" w:lineRule="exact"/>
              <w:jc w:val="center"/>
              <w:rPr>
                <w:sz w:val="20"/>
                <w:szCs w:val="20"/>
              </w:rPr>
            </w:pPr>
            <w:r>
              <w:rPr>
                <w:rFonts w:hAnsi="宋体" w:hint="eastAsia"/>
                <w:sz w:val="20"/>
                <w:szCs w:val="20"/>
              </w:rPr>
              <w:t>项</w:t>
            </w:r>
            <w:r>
              <w:rPr>
                <w:sz w:val="20"/>
                <w:szCs w:val="20"/>
              </w:rPr>
              <w:t xml:space="preserve">  </w:t>
            </w:r>
            <w:r>
              <w:rPr>
                <w:rFonts w:hAnsi="宋体" w:hint="eastAsia"/>
                <w:sz w:val="20"/>
                <w:szCs w:val="20"/>
              </w:rPr>
              <w:t>目</w:t>
            </w:r>
          </w:p>
        </w:tc>
        <w:tc>
          <w:tcPr>
            <w:tcW w:w="1435" w:type="dxa"/>
            <w:vMerge w:val="restart"/>
            <w:tcBorders>
              <w:top w:val="single" w:sz="4" w:space="0" w:color="000000"/>
              <w:left w:val="single" w:sz="4" w:space="0" w:color="000000"/>
              <w:bottom w:val="single" w:sz="4" w:space="0" w:color="000000"/>
              <w:right w:val="single" w:sz="4" w:space="0" w:color="000000"/>
            </w:tcBorders>
            <w:vAlign w:val="center"/>
            <w:hideMark/>
          </w:tcPr>
          <w:p w:rsidR="000153D0" w:rsidRDefault="000153D0">
            <w:pPr>
              <w:spacing w:line="600" w:lineRule="exact"/>
              <w:jc w:val="center"/>
              <w:rPr>
                <w:sz w:val="20"/>
                <w:szCs w:val="20"/>
              </w:rPr>
            </w:pPr>
            <w:r>
              <w:rPr>
                <w:rFonts w:hAnsi="宋体" w:hint="eastAsia"/>
                <w:sz w:val="20"/>
                <w:szCs w:val="20"/>
              </w:rPr>
              <w:t>上年决算数</w:t>
            </w:r>
          </w:p>
        </w:tc>
        <w:tc>
          <w:tcPr>
            <w:tcW w:w="1560" w:type="dxa"/>
            <w:vMerge w:val="restart"/>
            <w:tcBorders>
              <w:top w:val="single" w:sz="4" w:space="0" w:color="000000"/>
              <w:left w:val="single" w:sz="4" w:space="0" w:color="000000"/>
              <w:bottom w:val="single" w:sz="4" w:space="0" w:color="000000"/>
              <w:right w:val="single" w:sz="4" w:space="0" w:color="000000"/>
            </w:tcBorders>
            <w:vAlign w:val="center"/>
            <w:hideMark/>
          </w:tcPr>
          <w:p w:rsidR="000153D0" w:rsidRDefault="000153D0">
            <w:pPr>
              <w:spacing w:line="600" w:lineRule="exact"/>
              <w:jc w:val="center"/>
              <w:rPr>
                <w:sz w:val="20"/>
                <w:szCs w:val="20"/>
              </w:rPr>
            </w:pPr>
            <w:r>
              <w:rPr>
                <w:rFonts w:hAnsi="宋体" w:hint="eastAsia"/>
                <w:sz w:val="20"/>
                <w:szCs w:val="20"/>
              </w:rPr>
              <w:t>本年决算数</w:t>
            </w:r>
          </w:p>
        </w:tc>
        <w:tc>
          <w:tcPr>
            <w:tcW w:w="3054" w:type="dxa"/>
            <w:gridSpan w:val="2"/>
            <w:tcBorders>
              <w:top w:val="single" w:sz="4" w:space="0" w:color="000000"/>
              <w:left w:val="single" w:sz="4" w:space="0" w:color="000000"/>
              <w:bottom w:val="single" w:sz="4" w:space="0" w:color="000000"/>
              <w:right w:val="single" w:sz="4" w:space="0" w:color="000000"/>
            </w:tcBorders>
            <w:hideMark/>
          </w:tcPr>
          <w:p w:rsidR="000153D0" w:rsidRDefault="000153D0">
            <w:pPr>
              <w:spacing w:line="600" w:lineRule="exact"/>
              <w:jc w:val="center"/>
              <w:rPr>
                <w:sz w:val="20"/>
                <w:szCs w:val="20"/>
              </w:rPr>
            </w:pPr>
            <w:r>
              <w:rPr>
                <w:rFonts w:hAnsi="宋体" w:hint="eastAsia"/>
                <w:sz w:val="20"/>
                <w:szCs w:val="20"/>
              </w:rPr>
              <w:t>较上年增减情况</w:t>
            </w:r>
          </w:p>
        </w:tc>
      </w:tr>
      <w:tr w:rsidR="000153D0" w:rsidTr="000153D0">
        <w:tc>
          <w:tcPr>
            <w:tcW w:w="2591" w:type="dxa"/>
            <w:vMerge/>
            <w:tcBorders>
              <w:top w:val="single" w:sz="4" w:space="0" w:color="000000"/>
              <w:left w:val="single" w:sz="4" w:space="0" w:color="000000"/>
              <w:bottom w:val="single" w:sz="4" w:space="0" w:color="000000"/>
              <w:right w:val="single" w:sz="4" w:space="0" w:color="000000"/>
            </w:tcBorders>
            <w:vAlign w:val="center"/>
            <w:hideMark/>
          </w:tcPr>
          <w:p w:rsidR="000153D0" w:rsidRDefault="000153D0">
            <w:pPr>
              <w:widowControl/>
              <w:jc w:val="left"/>
              <w:rPr>
                <w:sz w:val="20"/>
                <w:szCs w:val="20"/>
              </w:rPr>
            </w:pPr>
          </w:p>
        </w:tc>
        <w:tc>
          <w:tcPr>
            <w:tcW w:w="1435" w:type="dxa"/>
            <w:vMerge/>
            <w:tcBorders>
              <w:top w:val="single" w:sz="4" w:space="0" w:color="000000"/>
              <w:left w:val="single" w:sz="4" w:space="0" w:color="000000"/>
              <w:bottom w:val="single" w:sz="4" w:space="0" w:color="000000"/>
              <w:right w:val="single" w:sz="4" w:space="0" w:color="000000"/>
            </w:tcBorders>
            <w:vAlign w:val="center"/>
            <w:hideMark/>
          </w:tcPr>
          <w:p w:rsidR="000153D0" w:rsidRDefault="000153D0">
            <w:pPr>
              <w:widowControl/>
              <w:jc w:val="left"/>
              <w:rPr>
                <w:sz w:val="20"/>
                <w:szCs w:val="20"/>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0153D0" w:rsidRDefault="000153D0">
            <w:pPr>
              <w:widowControl/>
              <w:jc w:val="left"/>
              <w:rPr>
                <w:sz w:val="20"/>
                <w:szCs w:val="20"/>
              </w:rPr>
            </w:pPr>
          </w:p>
        </w:tc>
        <w:tc>
          <w:tcPr>
            <w:tcW w:w="1572" w:type="dxa"/>
            <w:tcBorders>
              <w:top w:val="single" w:sz="4" w:space="0" w:color="000000"/>
              <w:left w:val="single" w:sz="4" w:space="0" w:color="000000"/>
              <w:bottom w:val="single" w:sz="4" w:space="0" w:color="000000"/>
              <w:right w:val="single" w:sz="4" w:space="0" w:color="000000"/>
            </w:tcBorders>
            <w:vAlign w:val="center"/>
            <w:hideMark/>
          </w:tcPr>
          <w:p w:rsidR="000153D0" w:rsidRDefault="000153D0">
            <w:pPr>
              <w:spacing w:line="600" w:lineRule="exact"/>
              <w:jc w:val="center"/>
              <w:rPr>
                <w:sz w:val="20"/>
                <w:szCs w:val="20"/>
              </w:rPr>
            </w:pPr>
            <w:r>
              <w:rPr>
                <w:rFonts w:hAnsi="宋体" w:hint="eastAsia"/>
                <w:sz w:val="20"/>
                <w:szCs w:val="20"/>
              </w:rPr>
              <w:t>增、减额</w:t>
            </w:r>
          </w:p>
        </w:tc>
        <w:tc>
          <w:tcPr>
            <w:tcW w:w="1482" w:type="dxa"/>
            <w:tcBorders>
              <w:top w:val="single" w:sz="4" w:space="0" w:color="000000"/>
              <w:left w:val="single" w:sz="4" w:space="0" w:color="000000"/>
              <w:bottom w:val="single" w:sz="4" w:space="0" w:color="000000"/>
              <w:right w:val="single" w:sz="4" w:space="0" w:color="000000"/>
            </w:tcBorders>
            <w:vAlign w:val="center"/>
            <w:hideMark/>
          </w:tcPr>
          <w:p w:rsidR="000153D0" w:rsidRDefault="000153D0">
            <w:pPr>
              <w:spacing w:line="600" w:lineRule="exact"/>
              <w:jc w:val="center"/>
              <w:rPr>
                <w:sz w:val="20"/>
                <w:szCs w:val="20"/>
              </w:rPr>
            </w:pPr>
            <w:r>
              <w:rPr>
                <w:rFonts w:hAnsi="宋体" w:hint="eastAsia"/>
                <w:sz w:val="20"/>
                <w:szCs w:val="20"/>
              </w:rPr>
              <w:t>增、减幅度</w:t>
            </w:r>
          </w:p>
        </w:tc>
      </w:tr>
      <w:tr w:rsidR="000153D0" w:rsidTr="000153D0">
        <w:tc>
          <w:tcPr>
            <w:tcW w:w="2591" w:type="dxa"/>
            <w:tcBorders>
              <w:top w:val="single" w:sz="4" w:space="0" w:color="000000"/>
              <w:left w:val="single" w:sz="4" w:space="0" w:color="000000"/>
              <w:bottom w:val="single" w:sz="4" w:space="0" w:color="000000"/>
              <w:right w:val="single" w:sz="4" w:space="0" w:color="000000"/>
            </w:tcBorders>
            <w:hideMark/>
          </w:tcPr>
          <w:p w:rsidR="000153D0" w:rsidRDefault="000153D0">
            <w:pPr>
              <w:spacing w:line="600" w:lineRule="exact"/>
              <w:rPr>
                <w:sz w:val="20"/>
                <w:szCs w:val="20"/>
              </w:rPr>
            </w:pPr>
            <w:r>
              <w:rPr>
                <w:rFonts w:hAnsi="宋体" w:hint="eastAsia"/>
                <w:sz w:val="20"/>
                <w:szCs w:val="20"/>
              </w:rPr>
              <w:t>合计</w:t>
            </w:r>
          </w:p>
        </w:tc>
        <w:tc>
          <w:tcPr>
            <w:tcW w:w="1435" w:type="dxa"/>
            <w:tcBorders>
              <w:top w:val="single" w:sz="4" w:space="0" w:color="000000"/>
              <w:left w:val="single" w:sz="4" w:space="0" w:color="000000"/>
              <w:bottom w:val="single" w:sz="4" w:space="0" w:color="000000"/>
              <w:right w:val="single" w:sz="4" w:space="0" w:color="000000"/>
            </w:tcBorders>
            <w:vAlign w:val="center"/>
            <w:hideMark/>
          </w:tcPr>
          <w:p w:rsidR="000153D0" w:rsidRDefault="000153D0">
            <w:pPr>
              <w:spacing w:line="600" w:lineRule="exact"/>
              <w:jc w:val="right"/>
              <w:rPr>
                <w:sz w:val="20"/>
                <w:szCs w:val="20"/>
              </w:rPr>
            </w:pPr>
            <w:r>
              <w:rPr>
                <w:sz w:val="20"/>
                <w:szCs w:val="20"/>
              </w:rPr>
              <w:t>675</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0153D0" w:rsidRDefault="000153D0">
            <w:pPr>
              <w:spacing w:line="600" w:lineRule="exact"/>
              <w:jc w:val="right"/>
              <w:rPr>
                <w:sz w:val="20"/>
                <w:szCs w:val="20"/>
              </w:rPr>
            </w:pPr>
            <w:r>
              <w:rPr>
                <w:sz w:val="20"/>
                <w:szCs w:val="20"/>
              </w:rPr>
              <w:t>747</w:t>
            </w:r>
          </w:p>
        </w:tc>
        <w:tc>
          <w:tcPr>
            <w:tcW w:w="1572" w:type="dxa"/>
            <w:tcBorders>
              <w:top w:val="single" w:sz="4" w:space="0" w:color="000000"/>
              <w:left w:val="single" w:sz="4" w:space="0" w:color="000000"/>
              <w:bottom w:val="single" w:sz="4" w:space="0" w:color="000000"/>
              <w:right w:val="single" w:sz="4" w:space="0" w:color="000000"/>
            </w:tcBorders>
            <w:vAlign w:val="center"/>
            <w:hideMark/>
          </w:tcPr>
          <w:p w:rsidR="000153D0" w:rsidRDefault="000153D0">
            <w:pPr>
              <w:spacing w:line="600" w:lineRule="exact"/>
              <w:ind w:right="100"/>
              <w:jc w:val="right"/>
              <w:rPr>
                <w:sz w:val="20"/>
                <w:szCs w:val="20"/>
              </w:rPr>
            </w:pPr>
            <w:r>
              <w:rPr>
                <w:sz w:val="20"/>
                <w:szCs w:val="20"/>
              </w:rPr>
              <w:t>72</w:t>
            </w:r>
          </w:p>
        </w:tc>
        <w:tc>
          <w:tcPr>
            <w:tcW w:w="1482" w:type="dxa"/>
            <w:tcBorders>
              <w:top w:val="single" w:sz="4" w:space="0" w:color="000000"/>
              <w:left w:val="single" w:sz="4" w:space="0" w:color="000000"/>
              <w:bottom w:val="single" w:sz="4" w:space="0" w:color="000000"/>
              <w:right w:val="single" w:sz="4" w:space="0" w:color="000000"/>
            </w:tcBorders>
            <w:vAlign w:val="center"/>
            <w:hideMark/>
          </w:tcPr>
          <w:p w:rsidR="000153D0" w:rsidRDefault="000153D0">
            <w:pPr>
              <w:spacing w:line="600" w:lineRule="exact"/>
              <w:jc w:val="right"/>
              <w:rPr>
                <w:sz w:val="20"/>
                <w:szCs w:val="20"/>
              </w:rPr>
            </w:pPr>
            <w:r>
              <w:rPr>
                <w:sz w:val="20"/>
                <w:szCs w:val="20"/>
              </w:rPr>
              <w:t>11%</w:t>
            </w:r>
          </w:p>
        </w:tc>
      </w:tr>
      <w:tr w:rsidR="000153D0" w:rsidTr="000153D0">
        <w:tc>
          <w:tcPr>
            <w:tcW w:w="2591" w:type="dxa"/>
            <w:tcBorders>
              <w:top w:val="single" w:sz="4" w:space="0" w:color="000000"/>
              <w:left w:val="single" w:sz="4" w:space="0" w:color="000000"/>
              <w:bottom w:val="single" w:sz="4" w:space="0" w:color="000000"/>
              <w:right w:val="single" w:sz="4" w:space="0" w:color="000000"/>
            </w:tcBorders>
            <w:hideMark/>
          </w:tcPr>
          <w:p w:rsidR="000153D0" w:rsidRDefault="000153D0">
            <w:pPr>
              <w:spacing w:line="600" w:lineRule="exact"/>
              <w:rPr>
                <w:sz w:val="20"/>
                <w:szCs w:val="20"/>
              </w:rPr>
            </w:pPr>
            <w:r>
              <w:rPr>
                <w:sz w:val="20"/>
                <w:szCs w:val="20"/>
              </w:rPr>
              <w:t>1</w:t>
            </w:r>
            <w:r>
              <w:rPr>
                <w:rFonts w:hAnsi="宋体" w:hint="eastAsia"/>
                <w:sz w:val="20"/>
                <w:szCs w:val="20"/>
              </w:rPr>
              <w:t>、因公出国（境）费</w:t>
            </w:r>
          </w:p>
        </w:tc>
        <w:tc>
          <w:tcPr>
            <w:tcW w:w="1435" w:type="dxa"/>
            <w:tcBorders>
              <w:top w:val="single" w:sz="4" w:space="0" w:color="000000"/>
              <w:left w:val="single" w:sz="4" w:space="0" w:color="000000"/>
              <w:bottom w:val="single" w:sz="4" w:space="0" w:color="000000"/>
              <w:right w:val="single" w:sz="4" w:space="0" w:color="000000"/>
            </w:tcBorders>
            <w:vAlign w:val="center"/>
            <w:hideMark/>
          </w:tcPr>
          <w:p w:rsidR="000153D0" w:rsidRDefault="000153D0">
            <w:pPr>
              <w:spacing w:line="600" w:lineRule="exact"/>
              <w:jc w:val="right"/>
              <w:rPr>
                <w:sz w:val="20"/>
                <w:szCs w:val="20"/>
              </w:rPr>
            </w:pPr>
            <w:r>
              <w:rPr>
                <w:sz w:val="20"/>
                <w:szCs w:val="20"/>
              </w:rPr>
              <w:t>20</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0153D0" w:rsidRDefault="000153D0">
            <w:pPr>
              <w:spacing w:line="600" w:lineRule="exact"/>
              <w:jc w:val="right"/>
              <w:rPr>
                <w:sz w:val="20"/>
                <w:szCs w:val="20"/>
              </w:rPr>
            </w:pPr>
            <w:r>
              <w:rPr>
                <w:sz w:val="20"/>
                <w:szCs w:val="20"/>
              </w:rPr>
              <w:t>42</w:t>
            </w:r>
          </w:p>
        </w:tc>
        <w:tc>
          <w:tcPr>
            <w:tcW w:w="1572" w:type="dxa"/>
            <w:tcBorders>
              <w:top w:val="single" w:sz="4" w:space="0" w:color="000000"/>
              <w:left w:val="single" w:sz="4" w:space="0" w:color="000000"/>
              <w:bottom w:val="single" w:sz="4" w:space="0" w:color="000000"/>
              <w:right w:val="single" w:sz="4" w:space="0" w:color="000000"/>
            </w:tcBorders>
            <w:vAlign w:val="center"/>
            <w:hideMark/>
          </w:tcPr>
          <w:p w:rsidR="000153D0" w:rsidRDefault="000153D0">
            <w:pPr>
              <w:spacing w:line="600" w:lineRule="exact"/>
              <w:jc w:val="right"/>
              <w:rPr>
                <w:sz w:val="20"/>
                <w:szCs w:val="20"/>
              </w:rPr>
            </w:pPr>
            <w:r>
              <w:rPr>
                <w:sz w:val="20"/>
                <w:szCs w:val="20"/>
              </w:rPr>
              <w:t>23</w:t>
            </w:r>
          </w:p>
        </w:tc>
        <w:tc>
          <w:tcPr>
            <w:tcW w:w="1482" w:type="dxa"/>
            <w:tcBorders>
              <w:top w:val="single" w:sz="4" w:space="0" w:color="000000"/>
              <w:left w:val="single" w:sz="4" w:space="0" w:color="000000"/>
              <w:bottom w:val="single" w:sz="4" w:space="0" w:color="000000"/>
              <w:right w:val="single" w:sz="4" w:space="0" w:color="000000"/>
            </w:tcBorders>
            <w:vAlign w:val="center"/>
            <w:hideMark/>
          </w:tcPr>
          <w:p w:rsidR="000153D0" w:rsidRDefault="000153D0">
            <w:pPr>
              <w:spacing w:line="600" w:lineRule="exact"/>
              <w:jc w:val="right"/>
              <w:rPr>
                <w:sz w:val="20"/>
                <w:szCs w:val="20"/>
              </w:rPr>
            </w:pPr>
            <w:r>
              <w:rPr>
                <w:sz w:val="20"/>
                <w:szCs w:val="20"/>
              </w:rPr>
              <w:t>116%</w:t>
            </w:r>
          </w:p>
        </w:tc>
      </w:tr>
      <w:tr w:rsidR="000153D0" w:rsidTr="000153D0">
        <w:tc>
          <w:tcPr>
            <w:tcW w:w="2591" w:type="dxa"/>
            <w:tcBorders>
              <w:top w:val="single" w:sz="4" w:space="0" w:color="000000"/>
              <w:left w:val="single" w:sz="4" w:space="0" w:color="000000"/>
              <w:bottom w:val="single" w:sz="4" w:space="0" w:color="000000"/>
              <w:right w:val="single" w:sz="4" w:space="0" w:color="000000"/>
            </w:tcBorders>
            <w:hideMark/>
          </w:tcPr>
          <w:p w:rsidR="000153D0" w:rsidRDefault="000153D0">
            <w:pPr>
              <w:spacing w:line="600" w:lineRule="exact"/>
              <w:rPr>
                <w:sz w:val="20"/>
                <w:szCs w:val="20"/>
              </w:rPr>
            </w:pPr>
            <w:r>
              <w:rPr>
                <w:sz w:val="20"/>
                <w:szCs w:val="20"/>
              </w:rPr>
              <w:t>2</w:t>
            </w:r>
            <w:r>
              <w:rPr>
                <w:rFonts w:hAnsi="宋体" w:hint="eastAsia"/>
                <w:sz w:val="20"/>
                <w:szCs w:val="20"/>
              </w:rPr>
              <w:t>、公务接待费</w:t>
            </w:r>
          </w:p>
        </w:tc>
        <w:tc>
          <w:tcPr>
            <w:tcW w:w="1435" w:type="dxa"/>
            <w:tcBorders>
              <w:top w:val="single" w:sz="4" w:space="0" w:color="000000"/>
              <w:left w:val="single" w:sz="4" w:space="0" w:color="000000"/>
              <w:bottom w:val="single" w:sz="4" w:space="0" w:color="000000"/>
              <w:right w:val="single" w:sz="4" w:space="0" w:color="000000"/>
            </w:tcBorders>
            <w:vAlign w:val="center"/>
            <w:hideMark/>
          </w:tcPr>
          <w:p w:rsidR="000153D0" w:rsidRDefault="000153D0">
            <w:pPr>
              <w:spacing w:line="600" w:lineRule="exact"/>
              <w:jc w:val="right"/>
              <w:rPr>
                <w:sz w:val="20"/>
                <w:szCs w:val="20"/>
              </w:rPr>
            </w:pPr>
            <w:r>
              <w:rPr>
                <w:sz w:val="20"/>
                <w:szCs w:val="20"/>
              </w:rPr>
              <w:t>353</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0153D0" w:rsidRDefault="000153D0">
            <w:pPr>
              <w:spacing w:line="600" w:lineRule="exact"/>
              <w:jc w:val="right"/>
              <w:rPr>
                <w:sz w:val="20"/>
                <w:szCs w:val="20"/>
              </w:rPr>
            </w:pPr>
            <w:r>
              <w:rPr>
                <w:sz w:val="20"/>
                <w:szCs w:val="20"/>
              </w:rPr>
              <w:t>279</w:t>
            </w:r>
          </w:p>
        </w:tc>
        <w:tc>
          <w:tcPr>
            <w:tcW w:w="1572" w:type="dxa"/>
            <w:tcBorders>
              <w:top w:val="single" w:sz="4" w:space="0" w:color="000000"/>
              <w:left w:val="single" w:sz="4" w:space="0" w:color="000000"/>
              <w:bottom w:val="single" w:sz="4" w:space="0" w:color="000000"/>
              <w:right w:val="single" w:sz="4" w:space="0" w:color="000000"/>
            </w:tcBorders>
            <w:vAlign w:val="center"/>
            <w:hideMark/>
          </w:tcPr>
          <w:p w:rsidR="000153D0" w:rsidRDefault="000153D0">
            <w:pPr>
              <w:spacing w:line="600" w:lineRule="exact"/>
              <w:jc w:val="right"/>
              <w:rPr>
                <w:sz w:val="20"/>
                <w:szCs w:val="20"/>
              </w:rPr>
            </w:pPr>
            <w:r>
              <w:rPr>
                <w:sz w:val="20"/>
                <w:szCs w:val="20"/>
              </w:rPr>
              <w:t>-74</w:t>
            </w:r>
          </w:p>
        </w:tc>
        <w:tc>
          <w:tcPr>
            <w:tcW w:w="1482" w:type="dxa"/>
            <w:tcBorders>
              <w:top w:val="single" w:sz="4" w:space="0" w:color="000000"/>
              <w:left w:val="single" w:sz="4" w:space="0" w:color="000000"/>
              <w:bottom w:val="single" w:sz="4" w:space="0" w:color="000000"/>
              <w:right w:val="single" w:sz="4" w:space="0" w:color="000000"/>
            </w:tcBorders>
            <w:vAlign w:val="center"/>
            <w:hideMark/>
          </w:tcPr>
          <w:p w:rsidR="000153D0" w:rsidRDefault="000153D0">
            <w:pPr>
              <w:spacing w:line="600" w:lineRule="exact"/>
              <w:jc w:val="right"/>
              <w:rPr>
                <w:sz w:val="20"/>
                <w:szCs w:val="20"/>
              </w:rPr>
            </w:pPr>
            <w:r>
              <w:rPr>
                <w:sz w:val="20"/>
                <w:szCs w:val="20"/>
              </w:rPr>
              <w:t>-21%</w:t>
            </w:r>
          </w:p>
        </w:tc>
      </w:tr>
      <w:tr w:rsidR="000153D0" w:rsidTr="000153D0">
        <w:tc>
          <w:tcPr>
            <w:tcW w:w="2591" w:type="dxa"/>
            <w:tcBorders>
              <w:top w:val="single" w:sz="4" w:space="0" w:color="000000"/>
              <w:left w:val="single" w:sz="4" w:space="0" w:color="000000"/>
              <w:bottom w:val="single" w:sz="4" w:space="0" w:color="000000"/>
              <w:right w:val="single" w:sz="4" w:space="0" w:color="000000"/>
            </w:tcBorders>
            <w:hideMark/>
          </w:tcPr>
          <w:p w:rsidR="000153D0" w:rsidRDefault="000153D0">
            <w:pPr>
              <w:spacing w:line="600" w:lineRule="exact"/>
              <w:rPr>
                <w:sz w:val="20"/>
                <w:szCs w:val="20"/>
              </w:rPr>
            </w:pPr>
            <w:r>
              <w:rPr>
                <w:sz w:val="20"/>
                <w:szCs w:val="20"/>
              </w:rPr>
              <w:t>3</w:t>
            </w:r>
            <w:r>
              <w:rPr>
                <w:rFonts w:hAnsi="宋体" w:hint="eastAsia"/>
                <w:sz w:val="20"/>
                <w:szCs w:val="20"/>
              </w:rPr>
              <w:t>、公务用车费</w:t>
            </w:r>
          </w:p>
        </w:tc>
        <w:tc>
          <w:tcPr>
            <w:tcW w:w="1435" w:type="dxa"/>
            <w:tcBorders>
              <w:top w:val="single" w:sz="4" w:space="0" w:color="000000"/>
              <w:left w:val="single" w:sz="4" w:space="0" w:color="000000"/>
              <w:bottom w:val="single" w:sz="4" w:space="0" w:color="000000"/>
              <w:right w:val="single" w:sz="4" w:space="0" w:color="000000"/>
            </w:tcBorders>
            <w:vAlign w:val="center"/>
            <w:hideMark/>
          </w:tcPr>
          <w:p w:rsidR="000153D0" w:rsidRDefault="000153D0">
            <w:pPr>
              <w:spacing w:line="600" w:lineRule="exact"/>
              <w:jc w:val="right"/>
              <w:rPr>
                <w:sz w:val="20"/>
                <w:szCs w:val="20"/>
              </w:rPr>
            </w:pPr>
            <w:r>
              <w:rPr>
                <w:sz w:val="20"/>
                <w:szCs w:val="20"/>
              </w:rPr>
              <w:t>303</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0153D0" w:rsidRDefault="000153D0">
            <w:pPr>
              <w:spacing w:line="600" w:lineRule="exact"/>
              <w:jc w:val="right"/>
              <w:rPr>
                <w:sz w:val="20"/>
                <w:szCs w:val="20"/>
              </w:rPr>
            </w:pPr>
            <w:r>
              <w:rPr>
                <w:sz w:val="20"/>
                <w:szCs w:val="20"/>
              </w:rPr>
              <w:t>426</w:t>
            </w:r>
          </w:p>
        </w:tc>
        <w:tc>
          <w:tcPr>
            <w:tcW w:w="1572" w:type="dxa"/>
            <w:tcBorders>
              <w:top w:val="single" w:sz="4" w:space="0" w:color="000000"/>
              <w:left w:val="single" w:sz="4" w:space="0" w:color="000000"/>
              <w:bottom w:val="single" w:sz="4" w:space="0" w:color="000000"/>
              <w:right w:val="single" w:sz="4" w:space="0" w:color="000000"/>
            </w:tcBorders>
            <w:vAlign w:val="center"/>
            <w:hideMark/>
          </w:tcPr>
          <w:p w:rsidR="000153D0" w:rsidRDefault="000153D0">
            <w:pPr>
              <w:spacing w:line="600" w:lineRule="exact"/>
              <w:jc w:val="right"/>
              <w:rPr>
                <w:sz w:val="20"/>
                <w:szCs w:val="20"/>
              </w:rPr>
            </w:pPr>
            <w:r>
              <w:rPr>
                <w:sz w:val="20"/>
                <w:szCs w:val="20"/>
              </w:rPr>
              <w:t>123</w:t>
            </w:r>
          </w:p>
        </w:tc>
        <w:tc>
          <w:tcPr>
            <w:tcW w:w="1482" w:type="dxa"/>
            <w:tcBorders>
              <w:top w:val="single" w:sz="4" w:space="0" w:color="000000"/>
              <w:left w:val="single" w:sz="4" w:space="0" w:color="000000"/>
              <w:bottom w:val="single" w:sz="4" w:space="0" w:color="000000"/>
              <w:right w:val="single" w:sz="4" w:space="0" w:color="000000"/>
            </w:tcBorders>
            <w:vAlign w:val="center"/>
            <w:hideMark/>
          </w:tcPr>
          <w:p w:rsidR="000153D0" w:rsidRDefault="000153D0">
            <w:pPr>
              <w:spacing w:line="600" w:lineRule="exact"/>
              <w:jc w:val="right"/>
              <w:rPr>
                <w:sz w:val="20"/>
                <w:szCs w:val="20"/>
              </w:rPr>
            </w:pPr>
            <w:r>
              <w:rPr>
                <w:sz w:val="20"/>
                <w:szCs w:val="20"/>
              </w:rPr>
              <w:t>41%</w:t>
            </w:r>
          </w:p>
        </w:tc>
      </w:tr>
      <w:tr w:rsidR="000153D0" w:rsidTr="000153D0">
        <w:tc>
          <w:tcPr>
            <w:tcW w:w="2591" w:type="dxa"/>
            <w:tcBorders>
              <w:top w:val="single" w:sz="4" w:space="0" w:color="000000"/>
              <w:left w:val="single" w:sz="4" w:space="0" w:color="000000"/>
              <w:bottom w:val="single" w:sz="4" w:space="0" w:color="000000"/>
              <w:right w:val="single" w:sz="4" w:space="0" w:color="000000"/>
            </w:tcBorders>
            <w:hideMark/>
          </w:tcPr>
          <w:p w:rsidR="000153D0" w:rsidRDefault="000153D0">
            <w:pPr>
              <w:spacing w:line="600" w:lineRule="exact"/>
              <w:rPr>
                <w:sz w:val="20"/>
                <w:szCs w:val="20"/>
              </w:rPr>
            </w:pPr>
            <w:r>
              <w:rPr>
                <w:rFonts w:hAnsi="宋体" w:hint="eastAsia"/>
                <w:sz w:val="20"/>
                <w:szCs w:val="20"/>
              </w:rPr>
              <w:t>其中：（</w:t>
            </w:r>
            <w:r>
              <w:rPr>
                <w:sz w:val="20"/>
                <w:szCs w:val="20"/>
              </w:rPr>
              <w:t>1</w:t>
            </w:r>
            <w:r>
              <w:rPr>
                <w:rFonts w:hAnsi="宋体" w:hint="eastAsia"/>
                <w:sz w:val="20"/>
                <w:szCs w:val="20"/>
              </w:rPr>
              <w:t>）公务用车购置</w:t>
            </w:r>
          </w:p>
        </w:tc>
        <w:tc>
          <w:tcPr>
            <w:tcW w:w="1435" w:type="dxa"/>
            <w:tcBorders>
              <w:top w:val="single" w:sz="4" w:space="0" w:color="000000"/>
              <w:left w:val="single" w:sz="4" w:space="0" w:color="000000"/>
              <w:bottom w:val="single" w:sz="4" w:space="0" w:color="000000"/>
              <w:right w:val="single" w:sz="4" w:space="0" w:color="000000"/>
            </w:tcBorders>
            <w:vAlign w:val="center"/>
            <w:hideMark/>
          </w:tcPr>
          <w:p w:rsidR="000153D0" w:rsidRDefault="000153D0">
            <w:pPr>
              <w:spacing w:line="600" w:lineRule="exact"/>
              <w:jc w:val="right"/>
              <w:rPr>
                <w:sz w:val="20"/>
                <w:szCs w:val="20"/>
              </w:rPr>
            </w:pPr>
            <w:r>
              <w:rPr>
                <w:sz w:val="20"/>
                <w:szCs w:val="20"/>
              </w:rPr>
              <w:t>28</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0153D0" w:rsidRDefault="000153D0">
            <w:pPr>
              <w:spacing w:line="600" w:lineRule="exact"/>
              <w:jc w:val="right"/>
              <w:rPr>
                <w:sz w:val="20"/>
                <w:szCs w:val="20"/>
              </w:rPr>
            </w:pPr>
            <w:r>
              <w:rPr>
                <w:sz w:val="20"/>
                <w:szCs w:val="20"/>
              </w:rPr>
              <w:t>0</w:t>
            </w:r>
          </w:p>
        </w:tc>
        <w:tc>
          <w:tcPr>
            <w:tcW w:w="1572" w:type="dxa"/>
            <w:tcBorders>
              <w:top w:val="single" w:sz="4" w:space="0" w:color="000000"/>
              <w:left w:val="single" w:sz="4" w:space="0" w:color="000000"/>
              <w:bottom w:val="single" w:sz="4" w:space="0" w:color="000000"/>
              <w:right w:val="single" w:sz="4" w:space="0" w:color="000000"/>
            </w:tcBorders>
            <w:vAlign w:val="center"/>
            <w:hideMark/>
          </w:tcPr>
          <w:p w:rsidR="000153D0" w:rsidRDefault="000153D0">
            <w:pPr>
              <w:spacing w:line="600" w:lineRule="exact"/>
              <w:jc w:val="right"/>
              <w:rPr>
                <w:sz w:val="20"/>
                <w:szCs w:val="20"/>
              </w:rPr>
            </w:pPr>
            <w:r>
              <w:rPr>
                <w:sz w:val="20"/>
                <w:szCs w:val="20"/>
              </w:rPr>
              <w:t>-28</w:t>
            </w:r>
          </w:p>
        </w:tc>
        <w:tc>
          <w:tcPr>
            <w:tcW w:w="1482" w:type="dxa"/>
            <w:tcBorders>
              <w:top w:val="single" w:sz="4" w:space="0" w:color="000000"/>
              <w:left w:val="single" w:sz="4" w:space="0" w:color="000000"/>
              <w:bottom w:val="single" w:sz="4" w:space="0" w:color="000000"/>
              <w:right w:val="single" w:sz="4" w:space="0" w:color="000000"/>
            </w:tcBorders>
            <w:vAlign w:val="center"/>
            <w:hideMark/>
          </w:tcPr>
          <w:p w:rsidR="000153D0" w:rsidRDefault="000153D0">
            <w:pPr>
              <w:spacing w:line="600" w:lineRule="exact"/>
              <w:jc w:val="right"/>
              <w:rPr>
                <w:sz w:val="20"/>
                <w:szCs w:val="20"/>
              </w:rPr>
            </w:pPr>
            <w:r>
              <w:rPr>
                <w:sz w:val="20"/>
                <w:szCs w:val="20"/>
              </w:rPr>
              <w:t>-100%</w:t>
            </w:r>
          </w:p>
        </w:tc>
      </w:tr>
      <w:tr w:rsidR="000153D0" w:rsidTr="000153D0">
        <w:trPr>
          <w:trHeight w:val="713"/>
        </w:trPr>
        <w:tc>
          <w:tcPr>
            <w:tcW w:w="2591" w:type="dxa"/>
            <w:tcBorders>
              <w:top w:val="single" w:sz="4" w:space="0" w:color="000000"/>
              <w:left w:val="single" w:sz="4" w:space="0" w:color="000000"/>
              <w:bottom w:val="single" w:sz="4" w:space="0" w:color="000000"/>
              <w:right w:val="single" w:sz="4" w:space="0" w:color="000000"/>
            </w:tcBorders>
            <w:hideMark/>
          </w:tcPr>
          <w:p w:rsidR="000153D0" w:rsidRDefault="000153D0">
            <w:pPr>
              <w:spacing w:line="340" w:lineRule="exact"/>
              <w:ind w:leftChars="239" w:left="602" w:hangingChars="50" w:hanging="100"/>
              <w:rPr>
                <w:sz w:val="20"/>
                <w:szCs w:val="20"/>
              </w:rPr>
            </w:pPr>
            <w:r>
              <w:rPr>
                <w:rFonts w:hAnsi="宋体" w:hint="eastAsia"/>
                <w:sz w:val="20"/>
                <w:szCs w:val="20"/>
              </w:rPr>
              <w:t>（</w:t>
            </w:r>
            <w:r>
              <w:rPr>
                <w:sz w:val="20"/>
                <w:szCs w:val="20"/>
              </w:rPr>
              <w:t>2</w:t>
            </w:r>
            <w:r>
              <w:rPr>
                <w:rFonts w:hAnsi="宋体" w:hint="eastAsia"/>
                <w:sz w:val="20"/>
                <w:szCs w:val="20"/>
              </w:rPr>
              <w:t>）公务用车运行维</w:t>
            </w:r>
          </w:p>
          <w:p w:rsidR="000153D0" w:rsidRDefault="000153D0">
            <w:pPr>
              <w:spacing w:line="340" w:lineRule="exact"/>
              <w:ind w:leftChars="239" w:left="602" w:hangingChars="50" w:hanging="100"/>
              <w:rPr>
                <w:sz w:val="20"/>
                <w:szCs w:val="20"/>
              </w:rPr>
            </w:pPr>
            <w:proofErr w:type="gramStart"/>
            <w:r>
              <w:rPr>
                <w:rFonts w:hAnsi="宋体" w:hint="eastAsia"/>
                <w:sz w:val="20"/>
                <w:szCs w:val="20"/>
              </w:rPr>
              <w:t>护费</w:t>
            </w:r>
            <w:proofErr w:type="gramEnd"/>
          </w:p>
        </w:tc>
        <w:tc>
          <w:tcPr>
            <w:tcW w:w="1435" w:type="dxa"/>
            <w:tcBorders>
              <w:top w:val="single" w:sz="4" w:space="0" w:color="000000"/>
              <w:left w:val="single" w:sz="4" w:space="0" w:color="000000"/>
              <w:bottom w:val="single" w:sz="4" w:space="0" w:color="000000"/>
              <w:right w:val="single" w:sz="4" w:space="0" w:color="000000"/>
            </w:tcBorders>
            <w:vAlign w:val="center"/>
            <w:hideMark/>
          </w:tcPr>
          <w:p w:rsidR="000153D0" w:rsidRDefault="000153D0">
            <w:pPr>
              <w:spacing w:line="600" w:lineRule="exact"/>
              <w:jc w:val="right"/>
              <w:rPr>
                <w:sz w:val="20"/>
                <w:szCs w:val="20"/>
              </w:rPr>
            </w:pPr>
            <w:r>
              <w:rPr>
                <w:sz w:val="20"/>
                <w:szCs w:val="20"/>
              </w:rPr>
              <w:t>275</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0153D0" w:rsidRDefault="000153D0">
            <w:pPr>
              <w:spacing w:line="600" w:lineRule="exact"/>
              <w:jc w:val="right"/>
              <w:rPr>
                <w:sz w:val="20"/>
                <w:szCs w:val="20"/>
              </w:rPr>
            </w:pPr>
            <w:r>
              <w:rPr>
                <w:sz w:val="20"/>
                <w:szCs w:val="20"/>
              </w:rPr>
              <w:t>426</w:t>
            </w:r>
          </w:p>
        </w:tc>
        <w:tc>
          <w:tcPr>
            <w:tcW w:w="1572" w:type="dxa"/>
            <w:tcBorders>
              <w:top w:val="single" w:sz="4" w:space="0" w:color="000000"/>
              <w:left w:val="single" w:sz="4" w:space="0" w:color="000000"/>
              <w:bottom w:val="single" w:sz="4" w:space="0" w:color="000000"/>
              <w:right w:val="single" w:sz="4" w:space="0" w:color="000000"/>
            </w:tcBorders>
            <w:vAlign w:val="center"/>
            <w:hideMark/>
          </w:tcPr>
          <w:p w:rsidR="000153D0" w:rsidRDefault="000153D0">
            <w:pPr>
              <w:spacing w:line="600" w:lineRule="exact"/>
              <w:jc w:val="right"/>
              <w:rPr>
                <w:sz w:val="20"/>
                <w:szCs w:val="20"/>
              </w:rPr>
            </w:pPr>
            <w:r>
              <w:rPr>
                <w:sz w:val="20"/>
                <w:szCs w:val="20"/>
              </w:rPr>
              <w:t>151</w:t>
            </w:r>
          </w:p>
        </w:tc>
        <w:tc>
          <w:tcPr>
            <w:tcW w:w="1482" w:type="dxa"/>
            <w:tcBorders>
              <w:top w:val="single" w:sz="4" w:space="0" w:color="000000"/>
              <w:left w:val="single" w:sz="4" w:space="0" w:color="000000"/>
              <w:bottom w:val="single" w:sz="4" w:space="0" w:color="000000"/>
              <w:right w:val="single" w:sz="4" w:space="0" w:color="000000"/>
            </w:tcBorders>
            <w:vAlign w:val="center"/>
            <w:hideMark/>
          </w:tcPr>
          <w:p w:rsidR="000153D0" w:rsidRDefault="000153D0">
            <w:pPr>
              <w:spacing w:line="600" w:lineRule="exact"/>
              <w:jc w:val="right"/>
              <w:rPr>
                <w:sz w:val="20"/>
                <w:szCs w:val="20"/>
              </w:rPr>
            </w:pPr>
            <w:r>
              <w:rPr>
                <w:sz w:val="20"/>
                <w:szCs w:val="20"/>
              </w:rPr>
              <w:t>55%</w:t>
            </w:r>
          </w:p>
        </w:tc>
      </w:tr>
    </w:tbl>
    <w:p w:rsidR="000153D0" w:rsidRDefault="000153D0" w:rsidP="000153D0">
      <w:pPr>
        <w:spacing w:line="600" w:lineRule="exact"/>
        <w:rPr>
          <w:sz w:val="20"/>
          <w:szCs w:val="20"/>
        </w:rPr>
      </w:pPr>
    </w:p>
    <w:p w:rsidR="000153D0" w:rsidRDefault="000153D0" w:rsidP="000153D0">
      <w:pPr>
        <w:spacing w:line="600" w:lineRule="exact"/>
        <w:rPr>
          <w:rFonts w:eastAsia="仿宋_GB2312"/>
          <w:sz w:val="32"/>
          <w:szCs w:val="32"/>
        </w:rPr>
      </w:pPr>
    </w:p>
    <w:p w:rsidR="000153D0" w:rsidRDefault="000153D0" w:rsidP="000153D0">
      <w:pPr>
        <w:spacing w:line="600" w:lineRule="exact"/>
        <w:rPr>
          <w:rFonts w:eastAsia="黑体"/>
          <w:sz w:val="32"/>
          <w:szCs w:val="32"/>
        </w:rPr>
      </w:pPr>
    </w:p>
    <w:p w:rsidR="004C732C" w:rsidRDefault="004C732C" w:rsidP="000153D0">
      <w:pPr>
        <w:spacing w:line="600" w:lineRule="exact"/>
        <w:jc w:val="center"/>
        <w:rPr>
          <w:rFonts w:eastAsia="黑体"/>
          <w:sz w:val="32"/>
          <w:szCs w:val="32"/>
        </w:rPr>
      </w:pPr>
    </w:p>
    <w:p w:rsidR="004C732C" w:rsidRDefault="004C732C" w:rsidP="000153D0">
      <w:pPr>
        <w:spacing w:line="600" w:lineRule="exact"/>
        <w:jc w:val="center"/>
        <w:rPr>
          <w:rFonts w:eastAsia="黑体"/>
          <w:sz w:val="32"/>
          <w:szCs w:val="32"/>
        </w:rPr>
      </w:pPr>
    </w:p>
    <w:p w:rsidR="004C732C" w:rsidRDefault="004C732C" w:rsidP="000153D0">
      <w:pPr>
        <w:spacing w:line="600" w:lineRule="exact"/>
        <w:jc w:val="center"/>
        <w:rPr>
          <w:rFonts w:eastAsia="黑体"/>
          <w:sz w:val="32"/>
          <w:szCs w:val="32"/>
        </w:rPr>
      </w:pPr>
    </w:p>
    <w:p w:rsidR="004C732C" w:rsidRDefault="004C732C" w:rsidP="000153D0">
      <w:pPr>
        <w:spacing w:line="600" w:lineRule="exact"/>
        <w:jc w:val="center"/>
        <w:rPr>
          <w:rFonts w:eastAsia="黑体"/>
          <w:sz w:val="32"/>
          <w:szCs w:val="32"/>
        </w:rPr>
      </w:pPr>
    </w:p>
    <w:p w:rsidR="000153D0" w:rsidRDefault="000153D0" w:rsidP="000153D0">
      <w:pPr>
        <w:spacing w:line="600" w:lineRule="exact"/>
        <w:jc w:val="center"/>
        <w:rPr>
          <w:rFonts w:eastAsia="黑体"/>
          <w:sz w:val="32"/>
          <w:szCs w:val="32"/>
        </w:rPr>
      </w:pPr>
      <w:r>
        <w:rPr>
          <w:rFonts w:eastAsia="黑体"/>
          <w:sz w:val="32"/>
          <w:szCs w:val="32"/>
        </w:rPr>
        <w:lastRenderedPageBreak/>
        <w:t>“</w:t>
      </w:r>
      <w:r>
        <w:rPr>
          <w:rFonts w:eastAsia="黑体" w:hAnsi="黑体" w:hint="eastAsia"/>
          <w:sz w:val="32"/>
          <w:szCs w:val="32"/>
        </w:rPr>
        <w:t>三公</w:t>
      </w:r>
      <w:r>
        <w:rPr>
          <w:rFonts w:eastAsia="黑体"/>
          <w:sz w:val="32"/>
          <w:szCs w:val="32"/>
        </w:rPr>
        <w:t>”</w:t>
      </w:r>
      <w:r>
        <w:rPr>
          <w:rFonts w:eastAsia="黑体" w:hAnsi="黑体" w:hint="eastAsia"/>
          <w:sz w:val="32"/>
          <w:szCs w:val="32"/>
        </w:rPr>
        <w:t>经费口径说明</w:t>
      </w:r>
    </w:p>
    <w:p w:rsidR="000153D0" w:rsidRDefault="000153D0" w:rsidP="000153D0">
      <w:pPr>
        <w:spacing w:line="600" w:lineRule="exact"/>
        <w:rPr>
          <w:rFonts w:eastAsia="仿宋_GB2312"/>
          <w:sz w:val="32"/>
          <w:szCs w:val="32"/>
        </w:rPr>
      </w:pPr>
    </w:p>
    <w:p w:rsidR="000153D0" w:rsidRDefault="000153D0" w:rsidP="000153D0">
      <w:pPr>
        <w:spacing w:line="600" w:lineRule="exact"/>
        <w:ind w:firstLineChars="200" w:firstLine="600"/>
        <w:rPr>
          <w:rFonts w:eastAsia="仿宋_GB2312"/>
          <w:sz w:val="30"/>
          <w:szCs w:val="30"/>
        </w:rPr>
      </w:pPr>
      <w:r>
        <w:rPr>
          <w:rFonts w:eastAsia="仿宋_GB2312" w:hint="eastAsia"/>
          <w:sz w:val="30"/>
          <w:szCs w:val="30"/>
        </w:rPr>
        <w:t>按照党中央、国务院有关文件及部门预算管理有关规定，</w:t>
      </w:r>
      <w:r>
        <w:rPr>
          <w:rFonts w:eastAsia="仿宋_GB2312"/>
          <w:sz w:val="30"/>
          <w:szCs w:val="30"/>
        </w:rPr>
        <w:t>“</w:t>
      </w:r>
      <w:r>
        <w:rPr>
          <w:rFonts w:eastAsia="仿宋_GB2312" w:hint="eastAsia"/>
          <w:sz w:val="30"/>
          <w:szCs w:val="30"/>
        </w:rPr>
        <w:t>三公</w:t>
      </w:r>
      <w:r>
        <w:rPr>
          <w:rFonts w:eastAsia="仿宋_GB2312"/>
          <w:sz w:val="30"/>
          <w:szCs w:val="30"/>
        </w:rPr>
        <w:t>”</w:t>
      </w:r>
      <w:r>
        <w:rPr>
          <w:rFonts w:eastAsia="仿宋_GB2312" w:hint="eastAsia"/>
          <w:sz w:val="30"/>
          <w:szCs w:val="30"/>
        </w:rPr>
        <w:t>经费包括因公出国（境）费、公务用车购置及运行维护费和公务</w:t>
      </w:r>
      <w:proofErr w:type="gramStart"/>
      <w:r>
        <w:rPr>
          <w:rFonts w:eastAsia="仿宋_GB2312" w:hint="eastAsia"/>
          <w:sz w:val="30"/>
          <w:szCs w:val="30"/>
        </w:rPr>
        <w:t>接侍</w:t>
      </w:r>
      <w:proofErr w:type="gramEnd"/>
      <w:r>
        <w:rPr>
          <w:rFonts w:eastAsia="仿宋_GB2312" w:hint="eastAsia"/>
          <w:sz w:val="30"/>
          <w:szCs w:val="30"/>
        </w:rPr>
        <w:t>费。</w:t>
      </w:r>
    </w:p>
    <w:p w:rsidR="000153D0" w:rsidRDefault="000153D0" w:rsidP="000153D0">
      <w:pPr>
        <w:spacing w:line="600" w:lineRule="exact"/>
        <w:ind w:firstLineChars="200" w:firstLine="600"/>
        <w:rPr>
          <w:rFonts w:eastAsia="仿宋_GB2312"/>
          <w:sz w:val="30"/>
          <w:szCs w:val="30"/>
        </w:rPr>
      </w:pPr>
      <w:r>
        <w:rPr>
          <w:rFonts w:eastAsia="仿宋_GB2312"/>
          <w:sz w:val="30"/>
          <w:szCs w:val="30"/>
        </w:rPr>
        <w:t>1</w:t>
      </w:r>
      <w:r>
        <w:rPr>
          <w:rFonts w:eastAsia="仿宋_GB2312" w:hint="eastAsia"/>
          <w:sz w:val="30"/>
          <w:szCs w:val="30"/>
        </w:rPr>
        <w:t>、因公出国（境）费，指单位公务出国（境）的国际旅费、国外城市间交通费、住宿费、伙食费、培训费、公杂费等支出。</w:t>
      </w:r>
      <w:r>
        <w:rPr>
          <w:rFonts w:eastAsia="仿宋_GB2312"/>
          <w:sz w:val="30"/>
          <w:szCs w:val="30"/>
        </w:rPr>
        <w:t xml:space="preserve">  </w:t>
      </w:r>
    </w:p>
    <w:p w:rsidR="000153D0" w:rsidRDefault="000153D0" w:rsidP="000153D0">
      <w:pPr>
        <w:spacing w:line="600" w:lineRule="exact"/>
        <w:ind w:firstLineChars="200" w:firstLine="600"/>
        <w:rPr>
          <w:rFonts w:eastAsia="仿宋_GB2312"/>
          <w:sz w:val="30"/>
          <w:szCs w:val="30"/>
        </w:rPr>
      </w:pPr>
      <w:r>
        <w:rPr>
          <w:rFonts w:eastAsia="仿宋_GB2312"/>
          <w:sz w:val="30"/>
          <w:szCs w:val="30"/>
        </w:rPr>
        <w:t>2</w:t>
      </w:r>
      <w:r>
        <w:rPr>
          <w:rFonts w:eastAsia="仿宋_GB2312" w:hint="eastAsia"/>
          <w:sz w:val="30"/>
          <w:szCs w:val="30"/>
        </w:rPr>
        <w:t>、公务用车购置费，指公务用车购置支出（</w:t>
      </w:r>
      <w:proofErr w:type="gramStart"/>
      <w:r>
        <w:rPr>
          <w:rFonts w:eastAsia="仿宋_GB2312" w:hint="eastAsia"/>
          <w:sz w:val="30"/>
          <w:szCs w:val="30"/>
        </w:rPr>
        <w:t>含车辆</w:t>
      </w:r>
      <w:proofErr w:type="gramEnd"/>
      <w:r>
        <w:rPr>
          <w:rFonts w:eastAsia="仿宋_GB2312" w:hint="eastAsia"/>
          <w:sz w:val="30"/>
          <w:szCs w:val="30"/>
        </w:rPr>
        <w:t>购置税、拍照费）；公务用车运行维护费，指单位按规定保留的公务用车燃料费、维修费、过路过桥费、保险费、安全奖励费用等支出。</w:t>
      </w:r>
      <w:r>
        <w:rPr>
          <w:rFonts w:eastAsia="仿宋_GB2312"/>
          <w:sz w:val="30"/>
          <w:szCs w:val="30"/>
        </w:rPr>
        <w:t xml:space="preserve"> </w:t>
      </w:r>
    </w:p>
    <w:p w:rsidR="000153D0" w:rsidRDefault="000153D0" w:rsidP="000153D0">
      <w:pPr>
        <w:spacing w:line="600" w:lineRule="exact"/>
        <w:ind w:firstLineChars="200" w:firstLine="600"/>
        <w:rPr>
          <w:rFonts w:eastAsia="仿宋_GB2312"/>
          <w:sz w:val="30"/>
          <w:szCs w:val="30"/>
        </w:rPr>
      </w:pPr>
      <w:r>
        <w:rPr>
          <w:rFonts w:eastAsia="仿宋_GB2312"/>
          <w:sz w:val="30"/>
          <w:szCs w:val="30"/>
        </w:rPr>
        <w:t>3</w:t>
      </w:r>
      <w:r>
        <w:rPr>
          <w:rFonts w:eastAsia="仿宋_GB2312" w:hint="eastAsia"/>
          <w:sz w:val="30"/>
          <w:szCs w:val="30"/>
        </w:rPr>
        <w:t>、公务</w:t>
      </w:r>
      <w:proofErr w:type="gramStart"/>
      <w:r>
        <w:rPr>
          <w:rFonts w:eastAsia="仿宋_GB2312" w:hint="eastAsia"/>
          <w:sz w:val="30"/>
          <w:szCs w:val="30"/>
        </w:rPr>
        <w:t>接侍</w:t>
      </w:r>
      <w:proofErr w:type="gramEnd"/>
      <w:r>
        <w:rPr>
          <w:rFonts w:eastAsia="仿宋_GB2312" w:hint="eastAsia"/>
          <w:sz w:val="30"/>
          <w:szCs w:val="30"/>
        </w:rPr>
        <w:t>费，指单位按规定开支的各类公务接待（含外宾接待）费用。</w:t>
      </w:r>
    </w:p>
    <w:p w:rsidR="000153D0" w:rsidRDefault="000153D0" w:rsidP="000153D0">
      <w:pPr>
        <w:spacing w:line="600" w:lineRule="exact"/>
        <w:ind w:firstLineChars="150" w:firstLine="450"/>
        <w:rPr>
          <w:rFonts w:eastAsia="仿宋_GB2312"/>
          <w:sz w:val="30"/>
          <w:szCs w:val="30"/>
        </w:rPr>
      </w:pPr>
      <w:r>
        <w:rPr>
          <w:rFonts w:eastAsia="仿宋_GB2312"/>
          <w:sz w:val="30"/>
          <w:szCs w:val="30"/>
        </w:rPr>
        <w:t>“</w:t>
      </w:r>
      <w:r>
        <w:rPr>
          <w:rFonts w:eastAsia="仿宋_GB2312" w:hint="eastAsia"/>
          <w:sz w:val="30"/>
          <w:szCs w:val="30"/>
        </w:rPr>
        <w:t>三公</w:t>
      </w:r>
      <w:r>
        <w:rPr>
          <w:rFonts w:eastAsia="仿宋_GB2312"/>
          <w:sz w:val="30"/>
          <w:szCs w:val="30"/>
        </w:rPr>
        <w:t>”</w:t>
      </w:r>
      <w:r>
        <w:rPr>
          <w:rFonts w:eastAsia="仿宋_GB2312" w:hint="eastAsia"/>
          <w:sz w:val="30"/>
          <w:szCs w:val="30"/>
        </w:rPr>
        <w:t>经费决算数：指各级各部门（含下属单位）用一般公共预算财政拨款（含上年结转结余和当年预算）安排的因公出国（境）费、公务用车购置及运行维护费和公务接待费支出数。</w:t>
      </w:r>
    </w:p>
    <w:p w:rsidR="000153D0" w:rsidRDefault="000153D0" w:rsidP="000153D0">
      <w:pPr>
        <w:spacing w:line="600" w:lineRule="exact"/>
        <w:rPr>
          <w:rFonts w:eastAsia="仿宋_GB2312"/>
          <w:sz w:val="30"/>
          <w:szCs w:val="30"/>
        </w:rPr>
      </w:pPr>
    </w:p>
    <w:p w:rsidR="005D651E" w:rsidRPr="000153D0" w:rsidRDefault="005D651E"/>
    <w:sectPr w:rsidR="005D651E" w:rsidRPr="000153D0" w:rsidSect="005D651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6F0D" w:rsidRDefault="005E6F0D" w:rsidP="00ED1C4C">
      <w:r>
        <w:separator/>
      </w:r>
    </w:p>
  </w:endnote>
  <w:endnote w:type="continuationSeparator" w:id="1">
    <w:p w:rsidR="005E6F0D" w:rsidRDefault="005E6F0D" w:rsidP="00ED1C4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6F0D" w:rsidRDefault="005E6F0D" w:rsidP="00ED1C4C">
      <w:r>
        <w:separator/>
      </w:r>
    </w:p>
  </w:footnote>
  <w:footnote w:type="continuationSeparator" w:id="1">
    <w:p w:rsidR="005E6F0D" w:rsidRDefault="005E6F0D" w:rsidP="00ED1C4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8193"/>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153D0"/>
    <w:rsid w:val="000153D0"/>
    <w:rsid w:val="000B58F4"/>
    <w:rsid w:val="004C732C"/>
    <w:rsid w:val="005D651E"/>
    <w:rsid w:val="005E6F0D"/>
    <w:rsid w:val="0063582A"/>
    <w:rsid w:val="006F6C5A"/>
    <w:rsid w:val="00B26FBA"/>
    <w:rsid w:val="00D84015"/>
    <w:rsid w:val="00ED1C4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53D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D1C4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D1C4C"/>
    <w:rPr>
      <w:rFonts w:ascii="Times New Roman" w:eastAsia="宋体" w:hAnsi="Times New Roman" w:cs="Times New Roman"/>
      <w:sz w:val="18"/>
      <w:szCs w:val="18"/>
    </w:rPr>
  </w:style>
  <w:style w:type="paragraph" w:styleId="a4">
    <w:name w:val="footer"/>
    <w:basedOn w:val="a"/>
    <w:link w:val="Char0"/>
    <w:uiPriority w:val="99"/>
    <w:semiHidden/>
    <w:unhideWhenUsed/>
    <w:rsid w:val="00ED1C4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D1C4C"/>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2122410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197</Words>
  <Characters>1126</Characters>
  <Application>Microsoft Office Word</Application>
  <DocSecurity>0</DocSecurity>
  <Lines>9</Lines>
  <Paragraphs>2</Paragraphs>
  <ScaleCrop>false</ScaleCrop>
  <Company>Microsoft</Company>
  <LinksUpToDate>false</LinksUpToDate>
  <CharactersWithSpaces>1321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xitongtiandi</cp:lastModifiedBy>
  <cp:revision>5</cp:revision>
  <dcterms:created xsi:type="dcterms:W3CDTF">2019-08-01T00:40:00Z</dcterms:created>
  <dcterms:modified xsi:type="dcterms:W3CDTF">2019-10-16T02:18:00Z</dcterms:modified>
</cp:coreProperties>
</file>