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1DDF" w:rsidRDefault="00341DDF" w:rsidP="00341DDF">
      <w:pPr>
        <w:spacing w:line="54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嵩明县环卫停车场项目支出绩效评价报告</w:t>
      </w:r>
    </w:p>
    <w:p w:rsidR="00341DDF" w:rsidRDefault="00341DDF" w:rsidP="00341DDF">
      <w:pPr>
        <w:spacing w:line="540" w:lineRule="exact"/>
        <w:ind w:firstLineChars="200" w:firstLine="632"/>
        <w:jc w:val="center"/>
        <w:rPr>
          <w:rFonts w:ascii="方正小标宋_GBK" w:eastAsia="方正小标宋_GBK" w:hAnsi="黑体"/>
          <w:szCs w:val="32"/>
        </w:rPr>
      </w:pPr>
    </w:p>
    <w:p w:rsidR="00341DDF" w:rsidRDefault="00341DDF" w:rsidP="00341DDF">
      <w:pPr>
        <w:spacing w:line="540" w:lineRule="exact"/>
        <w:ind w:firstLineChars="200" w:firstLine="632"/>
        <w:jc w:val="center"/>
        <w:rPr>
          <w:rFonts w:ascii="方正小标宋_GBK" w:eastAsia="方正小标宋_GBK" w:hAnsi="黑体"/>
          <w:szCs w:val="32"/>
        </w:rPr>
      </w:pPr>
      <w:r>
        <w:rPr>
          <w:rFonts w:ascii="方正小标宋_GBK" w:eastAsia="方正小标宋_GBK" w:hAnsi="黑体" w:hint="eastAsia"/>
          <w:szCs w:val="32"/>
        </w:rPr>
        <w:t>摘要</w:t>
      </w:r>
    </w:p>
    <w:p w:rsidR="00341DDF" w:rsidRDefault="00341DDF" w:rsidP="00341DDF">
      <w:pPr>
        <w:numPr>
          <w:ilvl w:val="0"/>
          <w:numId w:val="2"/>
        </w:numPr>
        <w:spacing w:line="540" w:lineRule="exact"/>
        <w:ind w:firstLineChars="200" w:firstLine="632"/>
        <w:jc w:val="left"/>
        <w:rPr>
          <w:rFonts w:ascii="黑体" w:eastAsia="黑体" w:hAnsi="黑体"/>
          <w:szCs w:val="32"/>
        </w:rPr>
      </w:pPr>
      <w:r>
        <w:rPr>
          <w:rFonts w:ascii="黑体" w:eastAsia="黑体" w:hAnsi="黑体" w:hint="eastAsia"/>
          <w:szCs w:val="32"/>
        </w:rPr>
        <w:t>项目概况</w:t>
      </w:r>
    </w:p>
    <w:p w:rsidR="00341DDF" w:rsidRDefault="00341DDF" w:rsidP="00341DDF">
      <w:pPr>
        <w:spacing w:line="540" w:lineRule="exact"/>
        <w:jc w:val="left"/>
        <w:rPr>
          <w:rFonts w:ascii="黑体" w:hAnsi="黑体"/>
          <w:color w:val="333333"/>
          <w:kern w:val="0"/>
          <w:szCs w:val="32"/>
        </w:rPr>
      </w:pPr>
      <w:r>
        <w:rPr>
          <w:rFonts w:ascii="黑体" w:eastAsia="黑体" w:hAnsi="黑体" w:hint="eastAsia"/>
          <w:szCs w:val="32"/>
        </w:rPr>
        <w:t xml:space="preserve">    </w:t>
      </w:r>
      <w:r>
        <w:rPr>
          <w:rFonts w:hint="eastAsia"/>
          <w:color w:val="333333"/>
          <w:kern w:val="0"/>
          <w:szCs w:val="32"/>
        </w:rPr>
        <w:t>嵩明县城区原环卫站车辆停车场位于县机关幼儿园旁（西街延长线），后因该土地用于西街延长线建设而无偿搬迁至水真路县武装部旁政府预留空地，</w:t>
      </w:r>
      <w:r>
        <w:rPr>
          <w:rFonts w:hint="eastAsia"/>
          <w:color w:val="333333"/>
          <w:kern w:val="0"/>
          <w:szCs w:val="32"/>
        </w:rPr>
        <w:t>2010</w:t>
      </w:r>
      <w:r>
        <w:rPr>
          <w:rFonts w:hint="eastAsia"/>
          <w:color w:val="333333"/>
          <w:kern w:val="0"/>
          <w:szCs w:val="32"/>
        </w:rPr>
        <w:t>年该预留用地挂牌拍卖，迁往现所在地（大江酒店对面政府预留地）。县政府</w:t>
      </w:r>
      <w:r>
        <w:rPr>
          <w:rFonts w:hint="eastAsia"/>
          <w:color w:val="333333"/>
          <w:kern w:val="0"/>
          <w:szCs w:val="32"/>
        </w:rPr>
        <w:t>2018</w:t>
      </w:r>
      <w:r>
        <w:rPr>
          <w:rFonts w:hint="eastAsia"/>
          <w:color w:val="333333"/>
          <w:kern w:val="0"/>
          <w:szCs w:val="32"/>
        </w:rPr>
        <w:t>年</w:t>
      </w:r>
      <w:r>
        <w:rPr>
          <w:rFonts w:hint="eastAsia"/>
          <w:color w:val="333333"/>
          <w:kern w:val="0"/>
          <w:szCs w:val="32"/>
        </w:rPr>
        <w:t>7</w:t>
      </w:r>
      <w:r>
        <w:rPr>
          <w:rFonts w:hint="eastAsia"/>
          <w:color w:val="333333"/>
          <w:kern w:val="0"/>
          <w:szCs w:val="32"/>
        </w:rPr>
        <w:t>月</w:t>
      </w:r>
      <w:r>
        <w:rPr>
          <w:rFonts w:hint="eastAsia"/>
          <w:color w:val="333333"/>
          <w:kern w:val="0"/>
          <w:szCs w:val="32"/>
        </w:rPr>
        <w:t>19</w:t>
      </w:r>
      <w:r>
        <w:rPr>
          <w:rFonts w:hint="eastAsia"/>
          <w:color w:val="333333"/>
          <w:kern w:val="0"/>
          <w:szCs w:val="32"/>
        </w:rPr>
        <w:t>日会议要求我单位</w:t>
      </w:r>
      <w:r>
        <w:rPr>
          <w:rFonts w:hint="eastAsia"/>
          <w:color w:val="333333"/>
          <w:kern w:val="0"/>
          <w:szCs w:val="32"/>
        </w:rPr>
        <w:t>9</w:t>
      </w:r>
      <w:r>
        <w:rPr>
          <w:rFonts w:hint="eastAsia"/>
          <w:color w:val="333333"/>
          <w:kern w:val="0"/>
          <w:szCs w:val="32"/>
        </w:rPr>
        <w:t>月</w:t>
      </w:r>
      <w:r>
        <w:rPr>
          <w:rFonts w:hint="eastAsia"/>
          <w:color w:val="333333"/>
          <w:kern w:val="0"/>
          <w:szCs w:val="32"/>
        </w:rPr>
        <w:t>10</w:t>
      </w:r>
      <w:r>
        <w:rPr>
          <w:rFonts w:hint="eastAsia"/>
          <w:color w:val="333333"/>
          <w:kern w:val="0"/>
          <w:szCs w:val="32"/>
        </w:rPr>
        <w:t>日前退出占用土地，环卫停车场重新进行土地选址，根据县政府安排，</w:t>
      </w:r>
      <w:r>
        <w:rPr>
          <w:rFonts w:hint="eastAsia"/>
          <w:color w:val="333333"/>
          <w:kern w:val="0"/>
          <w:szCs w:val="32"/>
        </w:rPr>
        <w:t>8</w:t>
      </w:r>
      <w:r>
        <w:rPr>
          <w:rFonts w:hint="eastAsia"/>
          <w:color w:val="333333"/>
          <w:kern w:val="0"/>
          <w:szCs w:val="32"/>
        </w:rPr>
        <w:t>月县综合执法局联合县国土、规划等部门在县城规划区内进行选址、实地踏勘。根据《关于县综合执法局环卫车辆停车场等项目选址协调会的会议纪要》，项目选址于嵩阳街道寺脚村委会新修兰茂大道旁，项目用地约</w:t>
      </w:r>
      <w:r>
        <w:rPr>
          <w:rFonts w:hint="eastAsia"/>
          <w:color w:val="333333"/>
          <w:kern w:val="0"/>
          <w:szCs w:val="32"/>
        </w:rPr>
        <w:t>20</w:t>
      </w:r>
      <w:r>
        <w:rPr>
          <w:rFonts w:hint="eastAsia"/>
          <w:color w:val="333333"/>
          <w:kern w:val="0"/>
          <w:szCs w:val="32"/>
        </w:rPr>
        <w:t>亩。</w:t>
      </w:r>
    </w:p>
    <w:p w:rsidR="00341DDF" w:rsidRDefault="00341DDF" w:rsidP="00341DDF">
      <w:pPr>
        <w:spacing w:line="540" w:lineRule="exact"/>
        <w:ind w:firstLineChars="200" w:firstLine="632"/>
        <w:jc w:val="left"/>
        <w:rPr>
          <w:rFonts w:ascii="黑体" w:eastAsia="黑体" w:hAnsi="黑体"/>
          <w:szCs w:val="32"/>
        </w:rPr>
      </w:pPr>
      <w:r>
        <w:rPr>
          <w:rFonts w:ascii="黑体" w:eastAsia="黑体" w:hAnsi="黑体" w:hint="eastAsia"/>
          <w:szCs w:val="32"/>
        </w:rPr>
        <w:t>二、评价结论</w:t>
      </w:r>
    </w:p>
    <w:p w:rsidR="00341DDF" w:rsidRDefault="00341DDF" w:rsidP="00341DDF">
      <w:pPr>
        <w:spacing w:line="560" w:lineRule="exact"/>
        <w:ind w:firstLineChars="200" w:firstLine="632"/>
        <w:jc w:val="left"/>
        <w:rPr>
          <w:rFonts w:ascii="仿宋_GB2312" w:hAnsi="仿宋_GB2312" w:cs="仿宋_GB2312"/>
          <w:szCs w:val="32"/>
        </w:rPr>
      </w:pPr>
      <w:r>
        <w:rPr>
          <w:rFonts w:ascii="仿宋_GB2312" w:hAnsi="仿宋_GB2312" w:cs="仿宋_GB2312" w:hint="eastAsia"/>
          <w:szCs w:val="32"/>
        </w:rPr>
        <w:t>本项目的实施,有利于</w:t>
      </w:r>
      <w:r>
        <w:rPr>
          <w:rFonts w:ascii="仿宋_GB2312" w:hAnsi="仿宋_GB2312" w:cs="仿宋_GB2312" w:hint="eastAsia"/>
          <w:color w:val="000000"/>
          <w:szCs w:val="32"/>
        </w:rPr>
        <w:t>完善嵩明县城乡生活垃圾的清运系统，逐步实现</w:t>
      </w:r>
      <w:r>
        <w:rPr>
          <w:rFonts w:ascii="仿宋_GB2312" w:hAnsi="仿宋_GB2312" w:cs="仿宋_GB2312" w:hint="eastAsia"/>
          <w:szCs w:val="32"/>
        </w:rPr>
        <w:t>实现城乡垃圾收集、运输、处理全覆盖</w:t>
      </w:r>
      <w:r>
        <w:rPr>
          <w:rFonts w:ascii="仿宋_GB2312" w:hAnsi="仿宋_GB2312" w:cs="仿宋_GB2312" w:hint="eastAsia"/>
          <w:color w:val="000000"/>
          <w:szCs w:val="32"/>
        </w:rPr>
        <w:t>的治理目标，对推动城乡面貌，改善生态环境有着重要意义。</w:t>
      </w:r>
      <w:r>
        <w:rPr>
          <w:rFonts w:ascii="仿宋_GB2312" w:hint="eastAsia"/>
          <w:szCs w:val="32"/>
        </w:rPr>
        <w:t>按照</w:t>
      </w:r>
      <w:r>
        <w:rPr>
          <w:rFonts w:ascii="仿宋_GB2312" w:hAnsi="仿宋_GB2312" w:cs="仿宋_GB2312" w:hint="eastAsia"/>
          <w:color w:val="000000"/>
          <w:szCs w:val="32"/>
        </w:rPr>
        <w:t>节能环保发展之路的总体要求，今后相当长时期内燃气汽车的发展方向都将是新能源汽车，充电桩、加气站的建设有利于加快我县新能源汽车产业发展。</w:t>
      </w:r>
    </w:p>
    <w:p w:rsidR="00341DDF" w:rsidRDefault="00341DDF" w:rsidP="00341DDF">
      <w:pPr>
        <w:spacing w:line="540" w:lineRule="exact"/>
        <w:ind w:firstLineChars="200" w:firstLine="632"/>
        <w:jc w:val="left"/>
        <w:rPr>
          <w:rFonts w:ascii="黑体" w:eastAsia="黑体" w:hAnsi="黑体"/>
          <w:szCs w:val="32"/>
        </w:rPr>
      </w:pPr>
      <w:r>
        <w:rPr>
          <w:rFonts w:ascii="黑体" w:eastAsia="黑体" w:hAnsi="黑体" w:hint="eastAsia"/>
          <w:szCs w:val="32"/>
        </w:rPr>
        <w:t>三、经验、问题和建议</w:t>
      </w:r>
    </w:p>
    <w:p w:rsidR="00341DDF" w:rsidRDefault="00341DDF" w:rsidP="00341DDF">
      <w:pPr>
        <w:topLinePunct/>
        <w:spacing w:line="540" w:lineRule="exact"/>
        <w:ind w:firstLineChars="250" w:firstLine="790"/>
        <w:rPr>
          <w:rFonts w:ascii="楷体_GB2312" w:eastAsia="楷体_GB2312" w:hAnsi="楷体_GB2312" w:cs="楷体_GB2312"/>
          <w:szCs w:val="32"/>
        </w:rPr>
      </w:pPr>
      <w:r>
        <w:rPr>
          <w:rFonts w:ascii="楷体_GB2312" w:eastAsia="楷体_GB2312" w:hAnsi="楷体_GB2312" w:cs="楷体_GB2312" w:hint="eastAsia"/>
          <w:szCs w:val="32"/>
        </w:rPr>
        <w:t>（一）主要经验及做法。</w:t>
      </w:r>
    </w:p>
    <w:p w:rsidR="00341DDF" w:rsidRDefault="00341DDF" w:rsidP="00341DDF">
      <w:pPr>
        <w:topLinePunct/>
        <w:spacing w:line="540" w:lineRule="exact"/>
        <w:ind w:firstLineChars="250" w:firstLine="793"/>
        <w:rPr>
          <w:rFonts w:ascii="仿宋_GB2312" w:hAnsi="仿宋_GB2312" w:cs="仿宋_GB2312"/>
          <w:szCs w:val="32"/>
        </w:rPr>
      </w:pPr>
      <w:r>
        <w:rPr>
          <w:rFonts w:ascii="楷体" w:eastAsia="楷体" w:hAnsi="楷体" w:hint="eastAsia"/>
          <w:b/>
          <w:bCs/>
          <w:szCs w:val="32"/>
        </w:rPr>
        <w:t xml:space="preserve"> 一是</w:t>
      </w:r>
      <w:r>
        <w:rPr>
          <w:rFonts w:ascii="仿宋_GB2312" w:hAnsi="仿宋_GB2312" w:cs="仿宋_GB2312" w:hint="eastAsia"/>
          <w:szCs w:val="32"/>
        </w:rPr>
        <w:t>遵守规划，严格落实城区电动汽车充电桩布局和建设</w:t>
      </w:r>
      <w:r>
        <w:rPr>
          <w:rFonts w:ascii="仿宋_GB2312" w:hAnsi="仿宋_GB2312" w:cs="仿宋_GB2312" w:hint="eastAsia"/>
          <w:szCs w:val="32"/>
        </w:rPr>
        <w:lastRenderedPageBreak/>
        <w:t>规划，与加油站和加气站结合、充电桩与停车场结合。</w:t>
      </w:r>
      <w:r>
        <w:rPr>
          <w:rFonts w:ascii="仿宋_GB2312" w:hAnsi="仿宋_GB2312" w:cs="仿宋_GB2312" w:hint="eastAsia"/>
          <w:b/>
          <w:bCs/>
          <w:szCs w:val="32"/>
        </w:rPr>
        <w:t>二是</w:t>
      </w:r>
      <w:r>
        <w:rPr>
          <w:rFonts w:ascii="仿宋_GB2312" w:hAnsi="仿宋_GB2312" w:cs="仿宋_GB2312" w:hint="eastAsia"/>
          <w:szCs w:val="32"/>
        </w:rPr>
        <w:t>政府主导，计划公私合营。将来政府主导建设与管理，建设完成后由建设单位考察比较后交由优秀的企业进行管理。</w:t>
      </w:r>
    </w:p>
    <w:p w:rsidR="00341DDF" w:rsidRDefault="00341DDF" w:rsidP="00341DDF">
      <w:pPr>
        <w:numPr>
          <w:ilvl w:val="0"/>
          <w:numId w:val="1"/>
        </w:numPr>
        <w:topLinePunct/>
        <w:spacing w:line="540" w:lineRule="exact"/>
        <w:ind w:firstLineChars="250" w:firstLine="790"/>
        <w:rPr>
          <w:rFonts w:ascii="楷体_GB2312" w:eastAsia="楷体_GB2312" w:hAnsi="楷体_GB2312" w:cs="楷体_GB2312"/>
          <w:szCs w:val="32"/>
        </w:rPr>
      </w:pPr>
      <w:r>
        <w:rPr>
          <w:rFonts w:ascii="楷体_GB2312" w:eastAsia="楷体_GB2312" w:hAnsi="楷体_GB2312" w:cs="楷体_GB2312" w:hint="eastAsia"/>
          <w:szCs w:val="32"/>
        </w:rPr>
        <w:t>存在的问题。</w:t>
      </w:r>
    </w:p>
    <w:p w:rsidR="00341DDF" w:rsidRDefault="00341DDF" w:rsidP="00341DDF">
      <w:pPr>
        <w:topLinePunct/>
        <w:spacing w:line="540" w:lineRule="exact"/>
        <w:ind w:firstLineChars="300" w:firstLine="951"/>
        <w:rPr>
          <w:rFonts w:ascii="仿宋_GB2312" w:hAnsi="仿宋_GB2312" w:cs="仿宋_GB2312"/>
          <w:szCs w:val="32"/>
        </w:rPr>
      </w:pPr>
      <w:r>
        <w:rPr>
          <w:rFonts w:ascii="仿宋_GB2312" w:hAnsi="仿宋_GB2312" w:cs="仿宋_GB2312" w:hint="eastAsia"/>
          <w:b/>
          <w:bCs/>
          <w:szCs w:val="32"/>
        </w:rPr>
        <w:t>一是</w:t>
      </w:r>
      <w:r>
        <w:rPr>
          <w:rFonts w:ascii="仿宋_GB2312" w:hAnsi="仿宋_GB2312" w:cs="仿宋_GB2312" w:hint="eastAsia"/>
          <w:szCs w:val="32"/>
        </w:rPr>
        <w:t xml:space="preserve">电动汽车应用规模较小，充电站建设成本较大，仅依靠上级补助资金建设，投资回报率低，盈利预期不高； </w:t>
      </w:r>
      <w:r>
        <w:rPr>
          <w:rFonts w:ascii="仿宋_GB2312" w:hAnsi="仿宋_GB2312" w:cs="仿宋_GB2312" w:hint="eastAsia"/>
          <w:b/>
          <w:bCs/>
          <w:szCs w:val="32"/>
        </w:rPr>
        <w:t>二是</w:t>
      </w:r>
      <w:r>
        <w:rPr>
          <w:rFonts w:ascii="仿宋_GB2312" w:hAnsi="仿宋_GB2312" w:cs="仿宋_GB2312" w:hint="eastAsia"/>
          <w:szCs w:val="32"/>
        </w:rPr>
        <w:t>充电桩建设模式尚不明朗。只有找准和创新适合我市的建设运营模式，才能促进可持续发展；</w:t>
      </w:r>
      <w:r>
        <w:rPr>
          <w:rFonts w:ascii="仿宋_GB2312" w:hAnsi="仿宋_GB2312" w:cs="仿宋_GB2312" w:hint="eastAsia"/>
          <w:b/>
          <w:bCs/>
          <w:szCs w:val="32"/>
        </w:rPr>
        <w:t>三是</w:t>
      </w:r>
      <w:r>
        <w:rPr>
          <w:rFonts w:ascii="仿宋_GB2312" w:hAnsi="仿宋_GB2312" w:cs="仿宋_GB2312" w:hint="eastAsia"/>
          <w:szCs w:val="32"/>
        </w:rPr>
        <w:t>充电基础设施的长期用地政策、充电服务费政策有待进一步明确和细化，充电基础设施财税支持政策与电动汽车支持政策不匹配。</w:t>
      </w:r>
    </w:p>
    <w:p w:rsidR="00341DDF" w:rsidRDefault="00341DDF" w:rsidP="00341DDF">
      <w:pPr>
        <w:numPr>
          <w:ilvl w:val="0"/>
          <w:numId w:val="1"/>
        </w:numPr>
        <w:topLinePunct/>
        <w:spacing w:line="540" w:lineRule="exact"/>
        <w:ind w:firstLineChars="250" w:firstLine="790"/>
        <w:rPr>
          <w:rFonts w:ascii="楷体_GB2312" w:eastAsia="楷体_GB2312" w:hAnsi="楷体_GB2312" w:cs="楷体_GB2312"/>
          <w:szCs w:val="32"/>
        </w:rPr>
      </w:pPr>
      <w:r>
        <w:rPr>
          <w:rFonts w:ascii="楷体_GB2312" w:eastAsia="楷体_GB2312" w:hAnsi="楷体_GB2312" w:cs="楷体_GB2312" w:hint="eastAsia"/>
          <w:szCs w:val="32"/>
        </w:rPr>
        <w:t>建议和改进措施。</w:t>
      </w:r>
    </w:p>
    <w:p w:rsidR="00341DDF" w:rsidRDefault="00341DDF" w:rsidP="00341DDF">
      <w:pPr>
        <w:topLinePunct/>
        <w:spacing w:line="540" w:lineRule="exact"/>
        <w:ind w:firstLineChars="300" w:firstLine="951"/>
        <w:rPr>
          <w:rFonts w:ascii="仿宋_GB2312" w:hAnsi="仿宋_GB2312" w:cs="仿宋_GB2312"/>
          <w:szCs w:val="32"/>
        </w:rPr>
      </w:pPr>
      <w:r>
        <w:rPr>
          <w:rFonts w:ascii="仿宋_GB2312" w:hAnsi="仿宋_GB2312" w:cs="仿宋_GB2312" w:hint="eastAsia"/>
          <w:b/>
          <w:bCs/>
          <w:szCs w:val="32"/>
        </w:rPr>
        <w:t>一是</w:t>
      </w:r>
      <w:r>
        <w:rPr>
          <w:rFonts w:ascii="仿宋_GB2312" w:hAnsi="仿宋_GB2312" w:cs="仿宋_GB2312" w:hint="eastAsia"/>
          <w:bCs/>
          <w:color w:val="000000"/>
          <w:szCs w:val="32"/>
        </w:rPr>
        <w:t>加快场地平整工作和充电桩建设，争取2019年底完成场地平整工作和充电桩建设，同时积极向上级申请补助资金，待资金落实后积极开展项目其他建设内容，争取到2021年全面完成项目建设；</w:t>
      </w:r>
      <w:r>
        <w:rPr>
          <w:rFonts w:ascii="仿宋_GB2312" w:hAnsi="仿宋_GB2312" w:cs="仿宋_GB2312" w:hint="eastAsia"/>
          <w:b/>
          <w:bCs/>
          <w:szCs w:val="32"/>
        </w:rPr>
        <w:t>二是</w:t>
      </w:r>
      <w:r>
        <w:rPr>
          <w:rFonts w:ascii="仿宋_GB2312" w:hAnsi="仿宋_GB2312" w:cs="仿宋_GB2312" w:hint="eastAsia"/>
          <w:szCs w:val="32"/>
        </w:rPr>
        <w:t>请相关部门加大对该项目资金投入；</w:t>
      </w:r>
      <w:r>
        <w:rPr>
          <w:rFonts w:ascii="仿宋_GB2312" w:hAnsi="仿宋_GB2312" w:cs="仿宋_GB2312" w:hint="eastAsia"/>
          <w:b/>
          <w:bCs/>
          <w:szCs w:val="32"/>
        </w:rPr>
        <w:t>三是</w:t>
      </w:r>
      <w:r>
        <w:rPr>
          <w:rFonts w:ascii="仿宋_GB2312" w:hAnsi="仿宋_GB2312" w:cs="仿宋_GB2312" w:hint="eastAsia"/>
          <w:szCs w:val="32"/>
        </w:rPr>
        <w:t>结合实际，积极采用生态、环保、省地、节能、节水的新技术、新设备、新材料，有效解决环卫停车场建设管理存在的问题，实现环卫车辆向功能性、舒适性和生态性转变。</w:t>
      </w:r>
    </w:p>
    <w:p w:rsidR="00620DB5" w:rsidRDefault="00620DB5">
      <w:pPr>
        <w:spacing w:line="580" w:lineRule="exact"/>
        <w:rPr>
          <w:rFonts w:ascii="黑体" w:eastAsia="黑体"/>
          <w:szCs w:val="32"/>
        </w:rPr>
      </w:pPr>
    </w:p>
    <w:p w:rsidR="00341DDF" w:rsidRDefault="00341DDF">
      <w:pPr>
        <w:spacing w:line="540" w:lineRule="exact"/>
        <w:jc w:val="center"/>
        <w:rPr>
          <w:rFonts w:ascii="方正小标宋简体" w:eastAsia="方正小标宋简体" w:hAnsi="方正小标宋简体" w:cs="方正小标宋简体"/>
          <w:sz w:val="44"/>
          <w:szCs w:val="44"/>
        </w:rPr>
        <w:sectPr w:rsidR="00341DDF" w:rsidSect="00620DB5">
          <w:footerReference w:type="even" r:id="rId8"/>
          <w:footerReference w:type="default" r:id="rId9"/>
          <w:pgSz w:w="11907" w:h="16840"/>
          <w:pgMar w:top="2041" w:right="1531" w:bottom="1871" w:left="1531" w:header="851" w:footer="1304" w:gutter="0"/>
          <w:cols w:space="720"/>
          <w:docGrid w:type="linesAndChars" w:linePitch="587" w:charSpace="-842"/>
        </w:sectPr>
      </w:pPr>
    </w:p>
    <w:p w:rsidR="00620DB5" w:rsidRDefault="000A7E1B">
      <w:pPr>
        <w:spacing w:line="54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lastRenderedPageBreak/>
        <w:t>嵩明县环卫停车场项目支出绩效评价报告</w:t>
      </w:r>
    </w:p>
    <w:p w:rsidR="00620DB5" w:rsidRDefault="00620DB5">
      <w:pPr>
        <w:topLinePunct/>
        <w:spacing w:line="540" w:lineRule="exact"/>
        <w:rPr>
          <w:rFonts w:ascii="黑体" w:eastAsia="黑体"/>
          <w:szCs w:val="32"/>
        </w:rPr>
      </w:pPr>
    </w:p>
    <w:p w:rsidR="00620DB5" w:rsidRDefault="000A7E1B">
      <w:pPr>
        <w:topLinePunct/>
        <w:spacing w:line="540" w:lineRule="exact"/>
        <w:ind w:firstLineChars="250" w:firstLine="790"/>
        <w:rPr>
          <w:rFonts w:ascii="黑体" w:eastAsia="黑体"/>
          <w:szCs w:val="32"/>
        </w:rPr>
      </w:pPr>
      <w:r>
        <w:rPr>
          <w:rFonts w:ascii="黑体" w:eastAsia="黑体" w:hint="eastAsia"/>
          <w:szCs w:val="32"/>
        </w:rPr>
        <w:t>一、项目基本情况</w:t>
      </w:r>
    </w:p>
    <w:p w:rsidR="00620DB5" w:rsidRDefault="000A7E1B">
      <w:pPr>
        <w:topLinePunct/>
        <w:spacing w:line="540" w:lineRule="exact"/>
        <w:ind w:firstLineChars="250" w:firstLine="790"/>
        <w:rPr>
          <w:rFonts w:ascii="楷体" w:eastAsia="楷体" w:hAnsi="楷体"/>
          <w:szCs w:val="32"/>
        </w:rPr>
      </w:pPr>
      <w:r>
        <w:rPr>
          <w:rFonts w:ascii="楷体" w:eastAsia="楷体" w:hAnsi="楷体" w:hint="eastAsia"/>
          <w:szCs w:val="32"/>
        </w:rPr>
        <w:t>（一）项目概况。</w:t>
      </w:r>
    </w:p>
    <w:p w:rsidR="00620DB5" w:rsidRDefault="000A7E1B">
      <w:pPr>
        <w:spacing w:line="500" w:lineRule="exact"/>
        <w:ind w:firstLineChars="200" w:firstLine="632"/>
        <w:rPr>
          <w:rFonts w:ascii="仿宋_GB2312" w:hAnsi="仿宋_GB2312" w:cs="仿宋_GB2312"/>
          <w:szCs w:val="32"/>
        </w:rPr>
      </w:pPr>
      <w:r>
        <w:rPr>
          <w:rFonts w:ascii="仿宋_GB2312" w:hAnsi="仿宋_GB2312" w:cs="仿宋_GB2312" w:hint="eastAsia"/>
          <w:szCs w:val="32"/>
        </w:rPr>
        <w:t>1、项目名称：嵩明县环卫停车场项目</w:t>
      </w:r>
    </w:p>
    <w:p w:rsidR="00620DB5" w:rsidRDefault="000A7E1B">
      <w:pPr>
        <w:spacing w:line="500" w:lineRule="exact"/>
        <w:ind w:firstLineChars="200" w:firstLine="632"/>
        <w:rPr>
          <w:rFonts w:ascii="仿宋_GB2312" w:hAnsi="仿宋_GB2312" w:cs="仿宋_GB2312"/>
          <w:szCs w:val="32"/>
        </w:rPr>
      </w:pPr>
      <w:r>
        <w:rPr>
          <w:rFonts w:ascii="仿宋_GB2312" w:hAnsi="仿宋_GB2312" w:cs="仿宋_GB2312" w:hint="eastAsia"/>
          <w:szCs w:val="32"/>
        </w:rPr>
        <w:t>2、建设规模：在嵩明兰茂大道北段新建一处包含日处理为120吨的中转站、拥有10个充电桩的充电站、拥有4-5个加气枪的加气站的综合性服务的环卫停车场。</w:t>
      </w:r>
    </w:p>
    <w:p w:rsidR="00620DB5" w:rsidRDefault="000A7E1B">
      <w:pPr>
        <w:spacing w:line="500" w:lineRule="exact"/>
        <w:ind w:firstLineChars="200" w:firstLine="632"/>
        <w:rPr>
          <w:rFonts w:ascii="仿宋_GB2312" w:hAnsi="仿宋_GB2312" w:cs="仿宋_GB2312"/>
          <w:szCs w:val="32"/>
        </w:rPr>
      </w:pPr>
      <w:r>
        <w:rPr>
          <w:rFonts w:ascii="仿宋_GB2312" w:hAnsi="仿宋_GB2312" w:cs="仿宋_GB2312" w:hint="eastAsia"/>
          <w:szCs w:val="32"/>
        </w:rPr>
        <w:t>3、项目建设单位：嵩明县城市管理综合行政执法局。</w:t>
      </w:r>
    </w:p>
    <w:p w:rsidR="00620DB5" w:rsidRDefault="000A7E1B">
      <w:pPr>
        <w:spacing w:line="500" w:lineRule="exact"/>
        <w:ind w:firstLineChars="200" w:firstLine="632"/>
        <w:rPr>
          <w:rFonts w:ascii="仿宋_GB2312" w:hAnsi="仿宋_GB2312" w:cs="仿宋_GB2312"/>
          <w:szCs w:val="32"/>
        </w:rPr>
      </w:pPr>
      <w:r>
        <w:rPr>
          <w:rFonts w:ascii="仿宋_GB2312" w:hAnsi="仿宋_GB2312" w:cs="仿宋_GB2312" w:hint="eastAsia"/>
          <w:szCs w:val="32"/>
        </w:rPr>
        <w:t>4、投资规模：约1380万元。</w:t>
      </w:r>
    </w:p>
    <w:p w:rsidR="00620DB5" w:rsidRDefault="000A7E1B">
      <w:pPr>
        <w:spacing w:line="480" w:lineRule="exact"/>
        <w:ind w:firstLineChars="200" w:firstLine="632"/>
        <w:rPr>
          <w:rFonts w:ascii="仿宋_GB2312" w:hAnsi="仿宋_GB2312" w:cs="仿宋_GB2312"/>
          <w:szCs w:val="32"/>
        </w:rPr>
      </w:pPr>
      <w:r>
        <w:rPr>
          <w:rFonts w:ascii="仿宋_GB2312" w:hAnsi="仿宋_GB2312" w:cs="仿宋_GB2312" w:hint="eastAsia"/>
          <w:szCs w:val="32"/>
        </w:rPr>
        <w:t>5、资金来源：积极争取市级补助资金92万元，县级配套资金92万元，项目单位自筹等渠道筹集资金1196万元。</w:t>
      </w:r>
    </w:p>
    <w:p w:rsidR="00620DB5" w:rsidRDefault="000A7E1B">
      <w:pPr>
        <w:spacing w:line="480" w:lineRule="exact"/>
        <w:ind w:firstLineChars="200" w:firstLine="632"/>
        <w:rPr>
          <w:rFonts w:ascii="仿宋_GB2312" w:hAnsi="仿宋_GB2312" w:cs="仿宋_GB2312"/>
          <w:szCs w:val="32"/>
        </w:rPr>
      </w:pPr>
      <w:r>
        <w:rPr>
          <w:rFonts w:ascii="仿宋_GB2312" w:hAnsi="仿宋_GB2312" w:cs="仿宋_GB2312" w:hint="eastAsia"/>
          <w:szCs w:val="32"/>
        </w:rPr>
        <w:t>6、项目周期：3年。</w:t>
      </w:r>
    </w:p>
    <w:p w:rsidR="00620DB5" w:rsidRDefault="000A7E1B">
      <w:pPr>
        <w:spacing w:line="480" w:lineRule="exact"/>
        <w:ind w:firstLineChars="100" w:firstLine="316"/>
        <w:rPr>
          <w:rFonts w:ascii="仿宋_GB2312" w:hAnsi="仿宋_GB2312" w:cs="仿宋_GB2312"/>
          <w:szCs w:val="32"/>
        </w:rPr>
      </w:pPr>
      <w:r>
        <w:rPr>
          <w:rFonts w:ascii="仿宋_GB2312" w:hAnsi="仿宋_GB2312" w:cs="仿宋_GB2312" w:hint="eastAsia"/>
          <w:szCs w:val="32"/>
        </w:rPr>
        <w:t xml:space="preserve">  7、项目地点：</w:t>
      </w:r>
      <w:r>
        <w:rPr>
          <w:rFonts w:ascii="仿宋_GB2312" w:hAnsi="仿宋_GB2312" w:cs="仿宋_GB2312" w:hint="eastAsia"/>
          <w:color w:val="000000"/>
          <w:szCs w:val="32"/>
        </w:rPr>
        <w:t>嵩阳街道寺脚村委会新建兰茂大道旁</w:t>
      </w:r>
    </w:p>
    <w:p w:rsidR="00620DB5" w:rsidRDefault="000A7E1B">
      <w:pPr>
        <w:spacing w:line="480" w:lineRule="exact"/>
        <w:ind w:firstLineChars="200" w:firstLine="632"/>
        <w:rPr>
          <w:rFonts w:ascii="仿宋_GB2312" w:hAnsi="仿宋_GB2312" w:cs="仿宋_GB2312"/>
          <w:szCs w:val="32"/>
        </w:rPr>
      </w:pPr>
      <w:r>
        <w:rPr>
          <w:rFonts w:ascii="仿宋_GB2312" w:hAnsi="仿宋_GB2312" w:cs="仿宋_GB2312" w:hint="eastAsia"/>
          <w:szCs w:val="32"/>
        </w:rPr>
        <w:t>8、用地情况：项目占用林地2370.82平方米，建设用地9859.96平方米，共计12230.78平方米。经实地选址踏勘，县国土局、县规划局、县土储中心、嵩阳街道及相关村（组）均无选址意见。</w:t>
      </w:r>
    </w:p>
    <w:p w:rsidR="00620DB5" w:rsidRDefault="000A7E1B">
      <w:pPr>
        <w:topLinePunct/>
        <w:spacing w:line="540" w:lineRule="exact"/>
        <w:ind w:firstLineChars="250" w:firstLine="790"/>
        <w:rPr>
          <w:rFonts w:ascii="楷体" w:eastAsia="楷体" w:hAnsi="楷体"/>
          <w:szCs w:val="32"/>
        </w:rPr>
      </w:pPr>
      <w:r>
        <w:rPr>
          <w:rFonts w:ascii="楷体" w:eastAsia="楷体" w:hAnsi="楷体" w:hint="eastAsia"/>
          <w:szCs w:val="32"/>
        </w:rPr>
        <w:t>（二）绩效目标。</w:t>
      </w:r>
    </w:p>
    <w:p w:rsidR="00620DB5" w:rsidRDefault="000A7E1B">
      <w:pPr>
        <w:topLinePunct/>
        <w:spacing w:line="540" w:lineRule="exact"/>
        <w:ind w:firstLineChars="250" w:firstLine="790"/>
        <w:rPr>
          <w:rFonts w:ascii="仿宋_GB2312" w:hAnsi="楷体"/>
          <w:szCs w:val="32"/>
        </w:rPr>
      </w:pPr>
      <w:r>
        <w:rPr>
          <w:rFonts w:ascii="仿宋_GB2312" w:hAnsi="楷体" w:hint="eastAsia"/>
          <w:szCs w:val="32"/>
        </w:rPr>
        <w:t>1、总目标。</w:t>
      </w:r>
    </w:p>
    <w:p w:rsidR="00620DB5" w:rsidRDefault="000A7E1B">
      <w:pPr>
        <w:topLinePunct/>
        <w:spacing w:line="540" w:lineRule="exact"/>
        <w:ind w:firstLineChars="300" w:firstLine="948"/>
        <w:rPr>
          <w:rFonts w:ascii="仿宋_GB2312" w:hAnsi="仿宋_GB2312" w:cs="仿宋_GB2312"/>
          <w:color w:val="000000"/>
          <w:szCs w:val="32"/>
        </w:rPr>
      </w:pPr>
      <w:r>
        <w:rPr>
          <w:rFonts w:ascii="仿宋_GB2312" w:hAnsi="仿宋_GB2312" w:cs="仿宋_GB2312" w:hint="eastAsia"/>
          <w:color w:val="000000"/>
          <w:szCs w:val="32"/>
        </w:rPr>
        <w:t>为进一步规范我县环卫车辆管理，促进环卫事业发展，提升我县城市形象及品质。</w:t>
      </w:r>
    </w:p>
    <w:p w:rsidR="00620DB5" w:rsidRDefault="000A7E1B">
      <w:pPr>
        <w:topLinePunct/>
        <w:spacing w:line="540" w:lineRule="exact"/>
        <w:ind w:firstLineChars="300" w:firstLine="948"/>
        <w:rPr>
          <w:rFonts w:ascii="仿宋_GB2312" w:hAnsi="楷体"/>
          <w:szCs w:val="32"/>
        </w:rPr>
      </w:pPr>
      <w:r>
        <w:rPr>
          <w:rFonts w:ascii="仿宋_GB2312" w:hAnsi="楷体" w:hint="eastAsia"/>
          <w:szCs w:val="32"/>
        </w:rPr>
        <w:t>2、年度目标。</w:t>
      </w:r>
    </w:p>
    <w:p w:rsidR="00620DB5" w:rsidRDefault="000A7E1B">
      <w:pPr>
        <w:topLinePunct/>
        <w:spacing w:line="540" w:lineRule="exact"/>
        <w:ind w:firstLineChars="250" w:firstLine="790"/>
        <w:rPr>
          <w:rFonts w:ascii="仿宋_GB2312" w:hAnsi="仿宋_GB2312" w:cs="仿宋_GB2312"/>
          <w:color w:val="000000"/>
          <w:szCs w:val="32"/>
        </w:rPr>
      </w:pPr>
      <w:r>
        <w:rPr>
          <w:rFonts w:ascii="仿宋_GB2312" w:eastAsia="黑体" w:hAnsi="楷体" w:hint="eastAsia"/>
          <w:szCs w:val="32"/>
        </w:rPr>
        <w:t>2018-201</w:t>
      </w:r>
      <w:r>
        <w:rPr>
          <w:rFonts w:ascii="仿宋_GB2312" w:hAnsi="仿宋_GB2312" w:cs="仿宋_GB2312" w:hint="eastAsia"/>
          <w:color w:val="000000"/>
          <w:szCs w:val="32"/>
        </w:rPr>
        <w:t>9年完成场地平整和充电站建设的工作。</w:t>
      </w:r>
    </w:p>
    <w:p w:rsidR="00620DB5" w:rsidRDefault="000A7E1B">
      <w:pPr>
        <w:topLinePunct/>
        <w:spacing w:line="540" w:lineRule="exact"/>
        <w:ind w:firstLineChars="250" w:firstLine="790"/>
        <w:rPr>
          <w:rFonts w:ascii="黑体" w:eastAsia="黑体" w:hAnsi="黑体"/>
          <w:szCs w:val="32"/>
        </w:rPr>
      </w:pPr>
      <w:r>
        <w:rPr>
          <w:rFonts w:ascii="黑体" w:eastAsia="黑体" w:hAnsi="黑体" w:hint="eastAsia"/>
          <w:szCs w:val="32"/>
        </w:rPr>
        <w:t>二、绩效评价工作情况</w:t>
      </w:r>
    </w:p>
    <w:p w:rsidR="00620DB5" w:rsidRDefault="000A7E1B">
      <w:pPr>
        <w:topLinePunct/>
        <w:spacing w:line="540" w:lineRule="exact"/>
        <w:ind w:firstLineChars="250" w:firstLine="790"/>
        <w:rPr>
          <w:rFonts w:ascii="楷体" w:eastAsia="楷体" w:hAnsi="楷体"/>
          <w:szCs w:val="32"/>
        </w:rPr>
      </w:pPr>
      <w:r>
        <w:rPr>
          <w:rFonts w:ascii="仿宋_GB2312" w:hAnsi="仿宋_GB2312" w:cs="仿宋_GB2312" w:hint="eastAsia"/>
          <w:color w:val="000000"/>
          <w:szCs w:val="32"/>
        </w:rPr>
        <w:lastRenderedPageBreak/>
        <w:t>本工程中转站的建成和运营，将承担嵩明县城区、嵩阳街道的生活垃圾的收集、运转，合理且较为经济地解决城镇垃圾污染与资源回收问题；</w:t>
      </w:r>
      <w:r>
        <w:rPr>
          <w:rFonts w:ascii="仿宋_GB2312" w:hint="eastAsia"/>
          <w:szCs w:val="32"/>
        </w:rPr>
        <w:t>按照</w:t>
      </w:r>
      <w:r>
        <w:rPr>
          <w:rFonts w:ascii="仿宋_GB2312" w:hAnsi="仿宋_GB2312" w:cs="仿宋_GB2312" w:hint="eastAsia"/>
          <w:color w:val="000000"/>
          <w:szCs w:val="32"/>
        </w:rPr>
        <w:t>节能环保发展之路的总体要求，今后相当长时期内燃气汽车的发展方向都将是新能源汽车，充电桩、加气站的建设有利于加快我县新能源汽车产业发展。</w:t>
      </w:r>
    </w:p>
    <w:p w:rsidR="00620DB5" w:rsidRDefault="000A7E1B">
      <w:pPr>
        <w:topLinePunct/>
        <w:spacing w:line="540" w:lineRule="exact"/>
        <w:ind w:firstLineChars="250" w:firstLine="790"/>
        <w:rPr>
          <w:rFonts w:ascii="黑体" w:eastAsia="黑体" w:hAnsi="黑体"/>
          <w:szCs w:val="32"/>
        </w:rPr>
      </w:pPr>
      <w:r>
        <w:rPr>
          <w:rFonts w:ascii="黑体" w:eastAsia="黑体" w:hAnsi="黑体" w:hint="eastAsia"/>
          <w:szCs w:val="32"/>
        </w:rPr>
        <w:t>三、评价结论和绩效分析</w:t>
      </w:r>
    </w:p>
    <w:p w:rsidR="00620DB5" w:rsidRDefault="000A7E1B">
      <w:pPr>
        <w:topLinePunct/>
        <w:spacing w:line="540" w:lineRule="exact"/>
        <w:ind w:firstLineChars="250" w:firstLine="790"/>
        <w:rPr>
          <w:rFonts w:ascii="楷体" w:eastAsia="楷体" w:hAnsi="楷体"/>
          <w:szCs w:val="32"/>
        </w:rPr>
      </w:pPr>
      <w:r>
        <w:rPr>
          <w:rFonts w:ascii="楷体" w:eastAsia="楷体" w:hAnsi="楷体" w:hint="eastAsia"/>
          <w:szCs w:val="32"/>
        </w:rPr>
        <w:t>（一）评价结论。</w:t>
      </w:r>
    </w:p>
    <w:p w:rsidR="00620DB5" w:rsidRDefault="000A7E1B">
      <w:pPr>
        <w:topLinePunct/>
        <w:spacing w:line="540" w:lineRule="exact"/>
        <w:ind w:firstLineChars="200" w:firstLine="632"/>
        <w:rPr>
          <w:rFonts w:ascii="仿宋_GB2312"/>
          <w:color w:val="000000"/>
          <w:szCs w:val="32"/>
        </w:rPr>
      </w:pPr>
      <w:r>
        <w:rPr>
          <w:rFonts w:ascii="仿宋_GB2312" w:hAnsi="仿宋_GB2312" w:cs="仿宋_GB2312" w:hint="eastAsia"/>
          <w:color w:val="000000"/>
          <w:szCs w:val="32"/>
        </w:rPr>
        <w:t>更好地规范我县环卫车辆管理，进一步完善嵩明县城乡生活垃圾的清运系统，加快嵩明县新能源行业的发展，</w:t>
      </w:r>
      <w:r>
        <w:rPr>
          <w:rFonts w:ascii="仿宋_GB2312" w:hAnsi="仿宋_GB2312" w:cs="仿宋_GB2312" w:hint="eastAsia"/>
          <w:szCs w:val="32"/>
        </w:rPr>
        <w:t>嵩明县环卫停车场项目</w:t>
      </w:r>
      <w:r>
        <w:rPr>
          <w:rFonts w:ascii="仿宋_GB2312" w:hAnsi="仿宋_GB2312" w:cs="仿宋_GB2312" w:hint="eastAsia"/>
          <w:color w:val="000000"/>
          <w:szCs w:val="32"/>
        </w:rPr>
        <w:t>的建设对改善</w:t>
      </w:r>
      <w:r>
        <w:rPr>
          <w:rFonts w:ascii="仿宋_GB2312" w:hint="eastAsia"/>
          <w:color w:val="000000"/>
          <w:szCs w:val="32"/>
        </w:rPr>
        <w:t>城乡环境卫生面貌，加快城市发展都有着重大的现实意义。</w:t>
      </w:r>
    </w:p>
    <w:p w:rsidR="00620DB5" w:rsidRDefault="000A7E1B">
      <w:pPr>
        <w:topLinePunct/>
        <w:spacing w:line="540" w:lineRule="exact"/>
        <w:ind w:firstLineChars="200" w:firstLine="632"/>
        <w:rPr>
          <w:rFonts w:ascii="仿宋_GB2312" w:hAnsi="仿宋"/>
        </w:rPr>
      </w:pPr>
      <w:r>
        <w:rPr>
          <w:rFonts w:ascii="黑体" w:eastAsia="黑体" w:hAnsi="黑体" w:hint="eastAsia"/>
          <w:szCs w:val="32"/>
        </w:rPr>
        <w:t>四、成本效益分析。</w:t>
      </w:r>
      <w:r>
        <w:rPr>
          <w:rFonts w:ascii="仿宋_GB2312" w:hAnsi="仿宋" w:hint="eastAsia"/>
        </w:rPr>
        <w:t>对资金使用方向、资金收入和支出结构；项目和资金管理情况；资金的节约性、资金使用效果；变化趋势等进行分析评价。</w:t>
      </w:r>
    </w:p>
    <w:p w:rsidR="00620DB5" w:rsidRDefault="000A7E1B">
      <w:pPr>
        <w:topLinePunct/>
        <w:spacing w:line="540" w:lineRule="exact"/>
        <w:ind w:firstLineChars="200" w:firstLine="632"/>
        <w:rPr>
          <w:rFonts w:ascii="仿宋_GB2312" w:hAnsi="仿宋_GB2312" w:cs="仿宋_GB2312"/>
          <w:szCs w:val="32"/>
        </w:rPr>
      </w:pPr>
      <w:r>
        <w:rPr>
          <w:rFonts w:ascii="仿宋_GB2312" w:hAnsi="仿宋" w:hint="eastAsia"/>
        </w:rPr>
        <w:t>根据市政府对《关于督促新能源环卫车充电站项目实施及资金交付进度》的批示和《关于对新能源环卫车及充电站项目实施及资金交付进度进行立项督查的通知》（昆城管通〔2018〕90号）的相关要求,嵩明县新建1座充电站（含40KW交流电25个桩群）建设经费（含增扩容和场地改建)约184万元/座。按照《昆明市环卫基础设施建设补助资金管理办法》（昆财城〔2010〕58号）中充电站建设经费市、县各半原则，嵩明县级应承担92万元，县级承担资金部分经县人民政府同意拨付至市城管局。</w:t>
      </w:r>
    </w:p>
    <w:p w:rsidR="00620DB5" w:rsidRDefault="000A7E1B">
      <w:pPr>
        <w:topLinePunct/>
        <w:spacing w:line="540" w:lineRule="exact"/>
        <w:ind w:firstLineChars="250" w:firstLine="790"/>
        <w:rPr>
          <w:rFonts w:ascii="黑体" w:eastAsia="黑体" w:hAnsi="黑体"/>
          <w:szCs w:val="32"/>
        </w:rPr>
      </w:pPr>
      <w:r>
        <w:rPr>
          <w:rFonts w:ascii="黑体" w:eastAsia="黑体" w:hAnsi="黑体" w:hint="eastAsia"/>
          <w:szCs w:val="32"/>
        </w:rPr>
        <w:t>五、主要经验及做法、存在的问题和建议</w:t>
      </w:r>
    </w:p>
    <w:p w:rsidR="00620DB5" w:rsidRDefault="000A7E1B">
      <w:pPr>
        <w:topLinePunct/>
        <w:spacing w:line="540" w:lineRule="exact"/>
        <w:ind w:firstLineChars="250" w:firstLine="790"/>
        <w:rPr>
          <w:rFonts w:ascii="楷体_GB2312" w:eastAsia="楷体_GB2312" w:hAnsi="楷体_GB2312" w:cs="楷体_GB2312"/>
          <w:szCs w:val="32"/>
        </w:rPr>
      </w:pPr>
      <w:r>
        <w:rPr>
          <w:rFonts w:ascii="楷体_GB2312" w:eastAsia="楷体_GB2312" w:hAnsi="楷体_GB2312" w:cs="楷体_GB2312" w:hint="eastAsia"/>
          <w:szCs w:val="32"/>
        </w:rPr>
        <w:lastRenderedPageBreak/>
        <w:t>（一）主要经验及做法。</w:t>
      </w:r>
    </w:p>
    <w:p w:rsidR="00620DB5" w:rsidRDefault="000A7E1B" w:rsidP="000D23AC">
      <w:pPr>
        <w:topLinePunct/>
        <w:spacing w:line="540" w:lineRule="exact"/>
        <w:ind w:firstLineChars="250" w:firstLine="793"/>
        <w:rPr>
          <w:rFonts w:ascii="仿宋_GB2312" w:hAnsi="仿宋_GB2312" w:cs="仿宋_GB2312"/>
          <w:szCs w:val="32"/>
        </w:rPr>
      </w:pPr>
      <w:r>
        <w:rPr>
          <w:rFonts w:ascii="楷体" w:eastAsia="楷体" w:hAnsi="楷体" w:hint="eastAsia"/>
          <w:b/>
          <w:bCs/>
          <w:szCs w:val="32"/>
        </w:rPr>
        <w:t xml:space="preserve"> 一是</w:t>
      </w:r>
      <w:r>
        <w:rPr>
          <w:rFonts w:ascii="仿宋_GB2312" w:hAnsi="仿宋_GB2312" w:cs="仿宋_GB2312" w:hint="eastAsia"/>
          <w:szCs w:val="32"/>
        </w:rPr>
        <w:t>遵守规划，严格落实城区电动汽车充电桩布局和建设规划，与加油站和加气站结合、充电桩与停车场结合。</w:t>
      </w:r>
      <w:r>
        <w:rPr>
          <w:rFonts w:ascii="仿宋_GB2312" w:hAnsi="仿宋_GB2312" w:cs="仿宋_GB2312" w:hint="eastAsia"/>
          <w:b/>
          <w:bCs/>
          <w:szCs w:val="32"/>
        </w:rPr>
        <w:t>二是</w:t>
      </w:r>
      <w:r>
        <w:rPr>
          <w:rFonts w:ascii="仿宋_GB2312" w:hAnsi="仿宋_GB2312" w:cs="仿宋_GB2312" w:hint="eastAsia"/>
          <w:szCs w:val="32"/>
        </w:rPr>
        <w:t>政府主导，计划公私合营。政府主导建设与管理，建设完成后由建设单位考察比较后交由优秀的企业进行管理。</w:t>
      </w:r>
    </w:p>
    <w:p w:rsidR="00620DB5" w:rsidRDefault="000A7E1B">
      <w:pPr>
        <w:numPr>
          <w:ilvl w:val="0"/>
          <w:numId w:val="1"/>
        </w:numPr>
        <w:topLinePunct/>
        <w:spacing w:line="540" w:lineRule="exact"/>
        <w:ind w:firstLineChars="250" w:firstLine="790"/>
        <w:rPr>
          <w:rFonts w:ascii="楷体_GB2312" w:eastAsia="楷体_GB2312" w:hAnsi="楷体_GB2312" w:cs="楷体_GB2312"/>
          <w:szCs w:val="32"/>
        </w:rPr>
      </w:pPr>
      <w:r>
        <w:rPr>
          <w:rFonts w:ascii="楷体_GB2312" w:eastAsia="楷体_GB2312" w:hAnsi="楷体_GB2312" w:cs="楷体_GB2312" w:hint="eastAsia"/>
          <w:szCs w:val="32"/>
        </w:rPr>
        <w:t>存在的问题。</w:t>
      </w:r>
    </w:p>
    <w:p w:rsidR="00620DB5" w:rsidRDefault="000A7E1B" w:rsidP="000D23AC">
      <w:pPr>
        <w:topLinePunct/>
        <w:spacing w:line="540" w:lineRule="exact"/>
        <w:ind w:firstLineChars="300" w:firstLine="951"/>
        <w:rPr>
          <w:rFonts w:ascii="仿宋_GB2312" w:hAnsi="仿宋_GB2312" w:cs="仿宋_GB2312"/>
          <w:szCs w:val="32"/>
        </w:rPr>
      </w:pPr>
      <w:r>
        <w:rPr>
          <w:rFonts w:ascii="仿宋_GB2312" w:hAnsi="仿宋_GB2312" w:cs="仿宋_GB2312" w:hint="eastAsia"/>
          <w:b/>
          <w:bCs/>
          <w:szCs w:val="32"/>
        </w:rPr>
        <w:t>一是</w:t>
      </w:r>
      <w:r>
        <w:rPr>
          <w:rFonts w:ascii="仿宋_GB2312" w:hAnsi="仿宋_GB2312" w:cs="仿宋_GB2312" w:hint="eastAsia"/>
          <w:szCs w:val="32"/>
        </w:rPr>
        <w:t xml:space="preserve">电动汽车应用规模较小，充电站建设成本较大，仅依靠上级补助资金建设，投资回报率低，盈利预期不高； </w:t>
      </w:r>
      <w:r>
        <w:rPr>
          <w:rFonts w:ascii="仿宋_GB2312" w:hAnsi="仿宋_GB2312" w:cs="仿宋_GB2312" w:hint="eastAsia"/>
          <w:b/>
          <w:bCs/>
          <w:szCs w:val="32"/>
        </w:rPr>
        <w:t>二是</w:t>
      </w:r>
      <w:r>
        <w:rPr>
          <w:rFonts w:ascii="仿宋_GB2312" w:hAnsi="仿宋_GB2312" w:cs="仿宋_GB2312" w:hint="eastAsia"/>
          <w:szCs w:val="32"/>
        </w:rPr>
        <w:t>充电桩建设模式尚不明朗。只有找准和创新适合我市的建设运营模式，才能促进可持续发展；</w:t>
      </w:r>
      <w:r>
        <w:rPr>
          <w:rFonts w:ascii="仿宋_GB2312" w:hAnsi="仿宋_GB2312" w:cs="仿宋_GB2312" w:hint="eastAsia"/>
          <w:b/>
          <w:bCs/>
          <w:szCs w:val="32"/>
        </w:rPr>
        <w:t>三是</w:t>
      </w:r>
      <w:r>
        <w:rPr>
          <w:rFonts w:ascii="仿宋_GB2312" w:hAnsi="仿宋_GB2312" w:cs="仿宋_GB2312" w:hint="eastAsia"/>
          <w:szCs w:val="32"/>
        </w:rPr>
        <w:t>充电基础设施的长期用地政策、充电服务费政策有待进一步明确和细化，充电基础设施财税支持政策与电动汽车支持政策不匹配。</w:t>
      </w:r>
    </w:p>
    <w:p w:rsidR="00620DB5" w:rsidRDefault="000A7E1B">
      <w:pPr>
        <w:numPr>
          <w:ilvl w:val="0"/>
          <w:numId w:val="1"/>
        </w:numPr>
        <w:topLinePunct/>
        <w:spacing w:line="540" w:lineRule="exact"/>
        <w:ind w:firstLineChars="250" w:firstLine="790"/>
        <w:rPr>
          <w:rFonts w:ascii="楷体_GB2312" w:eastAsia="楷体_GB2312" w:hAnsi="楷体_GB2312" w:cs="楷体_GB2312"/>
          <w:szCs w:val="32"/>
        </w:rPr>
      </w:pPr>
      <w:r>
        <w:rPr>
          <w:rFonts w:ascii="楷体_GB2312" w:eastAsia="楷体_GB2312" w:hAnsi="楷体_GB2312" w:cs="楷体_GB2312" w:hint="eastAsia"/>
          <w:szCs w:val="32"/>
        </w:rPr>
        <w:t>建议和改进措施。</w:t>
      </w:r>
    </w:p>
    <w:p w:rsidR="00620DB5" w:rsidRDefault="000A7E1B" w:rsidP="000D23AC">
      <w:pPr>
        <w:topLinePunct/>
        <w:spacing w:line="540" w:lineRule="exact"/>
        <w:ind w:firstLineChars="300" w:firstLine="951"/>
        <w:rPr>
          <w:rFonts w:ascii="仿宋_GB2312" w:hAnsi="仿宋_GB2312" w:cs="仿宋_GB2312"/>
          <w:szCs w:val="32"/>
        </w:rPr>
      </w:pPr>
      <w:r>
        <w:rPr>
          <w:rFonts w:ascii="仿宋_GB2312" w:hAnsi="仿宋_GB2312" w:cs="仿宋_GB2312" w:hint="eastAsia"/>
          <w:b/>
          <w:bCs/>
          <w:szCs w:val="32"/>
        </w:rPr>
        <w:t>一是</w:t>
      </w:r>
      <w:r>
        <w:rPr>
          <w:rFonts w:ascii="仿宋_GB2312" w:hAnsi="仿宋_GB2312" w:cs="仿宋_GB2312" w:hint="eastAsia"/>
          <w:bCs/>
          <w:color w:val="000000"/>
          <w:szCs w:val="32"/>
        </w:rPr>
        <w:t>加快场地平整工作和充电桩建设，争取2019年底完成场地平整工作和充电桩建设，同时积极向上级申请补助资金，待资金落实后积极开展项目其他建设内容，争取到2021年全面完成项目建设；</w:t>
      </w:r>
      <w:r>
        <w:rPr>
          <w:rFonts w:ascii="仿宋_GB2312" w:hAnsi="仿宋_GB2312" w:cs="仿宋_GB2312" w:hint="eastAsia"/>
          <w:b/>
          <w:bCs/>
          <w:szCs w:val="32"/>
        </w:rPr>
        <w:t>二是</w:t>
      </w:r>
      <w:r>
        <w:rPr>
          <w:rFonts w:ascii="仿宋_GB2312" w:hAnsi="仿宋_GB2312" w:cs="仿宋_GB2312" w:hint="eastAsia"/>
          <w:szCs w:val="32"/>
        </w:rPr>
        <w:t>请相关部门加大对该项目资金投入；</w:t>
      </w:r>
      <w:r>
        <w:rPr>
          <w:rFonts w:ascii="仿宋_GB2312" w:hAnsi="仿宋_GB2312" w:cs="仿宋_GB2312" w:hint="eastAsia"/>
          <w:b/>
          <w:bCs/>
          <w:szCs w:val="32"/>
        </w:rPr>
        <w:t>三是</w:t>
      </w:r>
      <w:r>
        <w:rPr>
          <w:rFonts w:ascii="仿宋_GB2312" w:hAnsi="仿宋_GB2312" w:cs="仿宋_GB2312" w:hint="eastAsia"/>
          <w:szCs w:val="32"/>
        </w:rPr>
        <w:t>结合实际，积极采用生态、环保、省地、节能、节水的新技术、新设备、新材料，有效解决环卫停车场建设管理存在的问题，实现环卫车辆向功能性、舒适性和生态性转变</w:t>
      </w:r>
      <w:bookmarkStart w:id="0" w:name="_GoBack"/>
      <w:bookmarkEnd w:id="0"/>
      <w:r>
        <w:rPr>
          <w:rFonts w:ascii="仿宋_GB2312" w:hAnsi="仿宋_GB2312" w:cs="仿宋_GB2312" w:hint="eastAsia"/>
          <w:szCs w:val="32"/>
        </w:rPr>
        <w:t>。</w:t>
      </w:r>
    </w:p>
    <w:p w:rsidR="00620DB5" w:rsidRDefault="00620DB5">
      <w:pPr>
        <w:spacing w:line="540" w:lineRule="exact"/>
        <w:rPr>
          <w:rFonts w:eastAsia="黑体"/>
        </w:rPr>
      </w:pPr>
    </w:p>
    <w:p w:rsidR="00620DB5" w:rsidRDefault="00620DB5">
      <w:pPr>
        <w:spacing w:line="540" w:lineRule="exact"/>
        <w:rPr>
          <w:rFonts w:eastAsia="黑体"/>
        </w:rPr>
      </w:pPr>
    </w:p>
    <w:p w:rsidR="00620DB5" w:rsidRDefault="00620DB5">
      <w:pPr>
        <w:spacing w:line="540" w:lineRule="exact"/>
        <w:jc w:val="center"/>
        <w:rPr>
          <w:rFonts w:ascii="方正小标宋简体" w:eastAsia="方正小标宋简体" w:hAnsi="方正小标宋简体" w:cs="方正小标宋简体"/>
        </w:rPr>
      </w:pPr>
    </w:p>
    <w:p w:rsidR="00206A87" w:rsidRDefault="00206A87">
      <w:pPr>
        <w:spacing w:line="540" w:lineRule="exact"/>
        <w:jc w:val="center"/>
        <w:rPr>
          <w:rFonts w:ascii="方正小标宋简体" w:eastAsia="方正小标宋简体" w:hAnsi="方正小标宋简体" w:cs="方正小标宋简体" w:hint="eastAsia"/>
        </w:rPr>
      </w:pPr>
      <w:r>
        <w:rPr>
          <w:rFonts w:ascii="方正小标宋简体" w:eastAsia="方正小标宋简体" w:hAnsi="方正小标宋简体" w:cs="方正小标宋简体" w:hint="eastAsia"/>
        </w:rPr>
        <w:lastRenderedPageBreak/>
        <w:t xml:space="preserve">     </w:t>
      </w:r>
    </w:p>
    <w:p w:rsidR="00206A87" w:rsidRDefault="00206A87">
      <w:pPr>
        <w:spacing w:line="540" w:lineRule="exact"/>
        <w:jc w:val="center"/>
        <w:rPr>
          <w:rFonts w:ascii="方正小标宋简体" w:eastAsia="方正小标宋简体" w:hAnsi="方正小标宋简体" w:cs="方正小标宋简体" w:hint="eastAsia"/>
        </w:rPr>
      </w:pPr>
    </w:p>
    <w:p w:rsidR="00206A87" w:rsidRDefault="00206A87">
      <w:pPr>
        <w:spacing w:line="540" w:lineRule="exact"/>
        <w:jc w:val="center"/>
        <w:rPr>
          <w:rFonts w:ascii="方正小标宋简体" w:eastAsia="方正小标宋简体" w:hAnsi="方正小标宋简体" w:cs="方正小标宋简体" w:hint="eastAsia"/>
        </w:rPr>
      </w:pPr>
    </w:p>
    <w:p w:rsidR="00206A87" w:rsidRDefault="00206A87">
      <w:pPr>
        <w:spacing w:line="540" w:lineRule="exact"/>
        <w:jc w:val="center"/>
        <w:rPr>
          <w:rFonts w:ascii="方正小标宋简体" w:eastAsia="方正小标宋简体" w:hAnsi="方正小标宋简体" w:cs="方正小标宋简体" w:hint="eastAsia"/>
        </w:rPr>
      </w:pPr>
      <w:r>
        <w:rPr>
          <w:rFonts w:ascii="方正小标宋简体" w:eastAsia="方正小标宋简体" w:hAnsi="方正小标宋简体" w:cs="方正小标宋简体" w:hint="eastAsia"/>
        </w:rPr>
        <w:t xml:space="preserve">              </w:t>
      </w:r>
    </w:p>
    <w:p w:rsidR="00620DB5" w:rsidRDefault="00206A87">
      <w:pPr>
        <w:spacing w:line="540" w:lineRule="exact"/>
        <w:jc w:val="center"/>
        <w:rPr>
          <w:rFonts w:ascii="方正小标宋简体" w:eastAsia="方正小标宋简体" w:hAnsi="方正小标宋简体" w:cs="方正小标宋简体" w:hint="eastAsia"/>
        </w:rPr>
      </w:pPr>
      <w:r>
        <w:rPr>
          <w:rFonts w:ascii="方正小标宋简体" w:eastAsia="方正小标宋简体" w:hAnsi="方正小标宋简体" w:cs="方正小标宋简体" w:hint="eastAsia"/>
        </w:rPr>
        <w:t xml:space="preserve">                  嵩明县城市管理局</w:t>
      </w:r>
    </w:p>
    <w:p w:rsidR="00206A87" w:rsidRDefault="00206A87">
      <w:pPr>
        <w:spacing w:line="540" w:lineRule="exact"/>
        <w:jc w:val="center"/>
        <w:rPr>
          <w:rFonts w:ascii="方正小标宋简体" w:eastAsia="方正小标宋简体" w:hAnsi="方正小标宋简体" w:cs="方正小标宋简体"/>
        </w:rPr>
      </w:pPr>
      <w:r>
        <w:rPr>
          <w:rFonts w:ascii="方正小标宋简体" w:eastAsia="方正小标宋简体" w:hAnsi="方正小标宋简体" w:cs="方正小标宋简体" w:hint="eastAsia"/>
        </w:rPr>
        <w:t xml:space="preserve">               </w:t>
      </w:r>
      <w:r>
        <w:rPr>
          <w:rFonts w:ascii="方正小标宋简体" w:eastAsia="方正小标宋简体" w:hAnsi="方正小标宋简体" w:cs="方正小标宋简体"/>
        </w:rPr>
        <w:t>2019-06-14</w:t>
      </w:r>
    </w:p>
    <w:p w:rsidR="00206A87" w:rsidRDefault="00206A87">
      <w:pPr>
        <w:spacing w:line="540" w:lineRule="exact"/>
        <w:jc w:val="center"/>
        <w:rPr>
          <w:rFonts w:ascii="方正小标宋简体" w:eastAsia="方正小标宋简体" w:hAnsi="方正小标宋简体" w:cs="方正小标宋简体" w:hint="eastAsia"/>
        </w:rPr>
      </w:pPr>
    </w:p>
    <w:p w:rsidR="00206A87" w:rsidRDefault="00206A87">
      <w:pPr>
        <w:spacing w:line="540" w:lineRule="exact"/>
        <w:jc w:val="center"/>
        <w:rPr>
          <w:rFonts w:ascii="方正小标宋简体" w:eastAsia="方正小标宋简体" w:hAnsi="方正小标宋简体" w:cs="方正小标宋简体" w:hint="eastAsia"/>
        </w:rPr>
      </w:pPr>
    </w:p>
    <w:p w:rsidR="00206A87" w:rsidRDefault="00206A87">
      <w:pPr>
        <w:spacing w:line="540" w:lineRule="exact"/>
        <w:jc w:val="center"/>
        <w:rPr>
          <w:rFonts w:ascii="方正小标宋简体" w:eastAsia="方正小标宋简体" w:hAnsi="方正小标宋简体" w:cs="方正小标宋简体" w:hint="eastAsia"/>
        </w:rPr>
      </w:pPr>
    </w:p>
    <w:p w:rsidR="00206A87" w:rsidRDefault="00206A87">
      <w:pPr>
        <w:spacing w:line="540" w:lineRule="exact"/>
        <w:jc w:val="center"/>
        <w:rPr>
          <w:rFonts w:ascii="方正小标宋简体" w:eastAsia="方正小标宋简体" w:hAnsi="方正小标宋简体" w:cs="方正小标宋简体" w:hint="eastAsia"/>
        </w:rPr>
      </w:pPr>
    </w:p>
    <w:p w:rsidR="00206A87" w:rsidRDefault="00206A87">
      <w:pPr>
        <w:spacing w:line="540" w:lineRule="exact"/>
        <w:jc w:val="center"/>
        <w:rPr>
          <w:rFonts w:ascii="方正小标宋简体" w:eastAsia="方正小标宋简体" w:hAnsi="方正小标宋简体" w:cs="方正小标宋简体" w:hint="eastAsia"/>
        </w:rPr>
      </w:pPr>
    </w:p>
    <w:p w:rsidR="00206A87" w:rsidRDefault="00206A87">
      <w:pPr>
        <w:spacing w:line="540" w:lineRule="exact"/>
        <w:jc w:val="center"/>
        <w:rPr>
          <w:rFonts w:ascii="方正小标宋简体" w:eastAsia="方正小标宋简体" w:hAnsi="方正小标宋简体" w:cs="方正小标宋简体" w:hint="eastAsia"/>
        </w:rPr>
      </w:pPr>
    </w:p>
    <w:p w:rsidR="00206A87" w:rsidRDefault="00206A87">
      <w:pPr>
        <w:spacing w:line="540" w:lineRule="exact"/>
        <w:jc w:val="center"/>
        <w:rPr>
          <w:rFonts w:ascii="方正小标宋简体" w:eastAsia="方正小标宋简体" w:hAnsi="方正小标宋简体" w:cs="方正小标宋简体" w:hint="eastAsia"/>
        </w:rPr>
      </w:pPr>
    </w:p>
    <w:p w:rsidR="00620DB5" w:rsidRDefault="000A7E1B">
      <w:pPr>
        <w:spacing w:line="540" w:lineRule="exact"/>
        <w:jc w:val="center"/>
        <w:rPr>
          <w:rFonts w:ascii="方正小标宋简体" w:eastAsia="方正小标宋简体" w:hAnsi="方正小标宋简体" w:cs="方正小标宋简体"/>
        </w:rPr>
      </w:pPr>
      <w:r>
        <w:rPr>
          <w:rFonts w:ascii="方正小标宋简体" w:eastAsia="方正小标宋简体" w:hAnsi="方正小标宋简体" w:cs="方正小标宋简体" w:hint="eastAsia"/>
        </w:rPr>
        <w:t>绩效评价报告正文后需附以下佐证材料</w:t>
      </w:r>
    </w:p>
    <w:p w:rsidR="00620DB5" w:rsidRDefault="000A7E1B">
      <w:pPr>
        <w:spacing w:line="540" w:lineRule="exact"/>
        <w:ind w:left="948" w:hangingChars="300" w:hanging="948"/>
        <w:jc w:val="left"/>
        <w:rPr>
          <w:rFonts w:ascii="仿宋_GB2312" w:hAnsi="仿宋"/>
        </w:rPr>
      </w:pPr>
      <w:r>
        <w:rPr>
          <w:rFonts w:ascii="仿宋_GB2312" w:hAnsi="仿宋" w:hint="eastAsia"/>
        </w:rPr>
        <w:t>1.绩效评价指标体系；</w:t>
      </w:r>
    </w:p>
    <w:p w:rsidR="00620DB5" w:rsidRDefault="000A7E1B">
      <w:pPr>
        <w:spacing w:line="540" w:lineRule="exact"/>
        <w:ind w:left="948" w:hangingChars="300" w:hanging="948"/>
        <w:jc w:val="left"/>
        <w:rPr>
          <w:rFonts w:ascii="仿宋_GB2312" w:hAnsi="仿宋"/>
        </w:rPr>
      </w:pPr>
      <w:r>
        <w:rPr>
          <w:rFonts w:ascii="仿宋_GB2312" w:hAnsi="仿宋" w:hint="eastAsia"/>
        </w:rPr>
        <w:t>2.基础数据表（进行成本效益分析需采集的数据）；</w:t>
      </w:r>
    </w:p>
    <w:p w:rsidR="00620DB5" w:rsidRDefault="000A7E1B">
      <w:pPr>
        <w:spacing w:line="540" w:lineRule="exact"/>
        <w:ind w:left="948" w:hangingChars="300" w:hanging="948"/>
        <w:jc w:val="left"/>
        <w:rPr>
          <w:rFonts w:ascii="仿宋_GB2312" w:hAnsi="仿宋"/>
        </w:rPr>
      </w:pPr>
      <w:r>
        <w:rPr>
          <w:rFonts w:ascii="仿宋_GB2312" w:hAnsi="仿宋" w:hint="eastAsia"/>
        </w:rPr>
        <w:t>3.访谈分析报告；</w:t>
      </w:r>
    </w:p>
    <w:p w:rsidR="00620DB5" w:rsidRDefault="000A7E1B">
      <w:pPr>
        <w:spacing w:line="540" w:lineRule="exact"/>
        <w:ind w:left="948" w:hangingChars="300" w:hanging="948"/>
        <w:jc w:val="left"/>
        <w:rPr>
          <w:rFonts w:ascii="仿宋_GB2312" w:hAnsi="仿宋"/>
        </w:rPr>
      </w:pPr>
      <w:r>
        <w:rPr>
          <w:rFonts w:ascii="仿宋_GB2312" w:hAnsi="仿宋" w:hint="eastAsia"/>
        </w:rPr>
        <w:t>4.社会调查问卷分析报告；</w:t>
      </w:r>
    </w:p>
    <w:p w:rsidR="00620DB5" w:rsidRDefault="000A7E1B">
      <w:pPr>
        <w:spacing w:line="540" w:lineRule="exact"/>
        <w:ind w:left="948" w:hangingChars="300" w:hanging="948"/>
        <w:rPr>
          <w:rFonts w:ascii="仿宋_GB2312" w:hAnsi="仿宋"/>
        </w:rPr>
      </w:pPr>
      <w:r>
        <w:rPr>
          <w:rFonts w:ascii="仿宋_GB2312" w:hAnsi="仿宋" w:hint="eastAsia"/>
        </w:rPr>
        <w:t>5.①县政府相关规划、决策、批复；②立项申请、批复文件；</w:t>
      </w:r>
    </w:p>
    <w:p w:rsidR="00620DB5" w:rsidRDefault="000A7E1B">
      <w:pPr>
        <w:spacing w:line="540" w:lineRule="exact"/>
        <w:ind w:leftChars="96" w:left="935" w:hangingChars="200" w:hanging="632"/>
        <w:rPr>
          <w:rFonts w:ascii="仿宋_GB2312" w:hAnsi="仿宋"/>
        </w:rPr>
      </w:pPr>
      <w:r>
        <w:rPr>
          <w:rFonts w:ascii="仿宋_GB2312" w:hAnsi="仿宋" w:hint="eastAsia"/>
        </w:rPr>
        <w:t>③绩效目标申报表。</w:t>
      </w:r>
    </w:p>
    <w:p w:rsidR="00620DB5" w:rsidRDefault="00620DB5">
      <w:pPr>
        <w:spacing w:line="540" w:lineRule="exact"/>
        <w:rPr>
          <w:rFonts w:ascii="仿宋_GB2312" w:hAnsi="仿宋"/>
        </w:rPr>
      </w:pPr>
    </w:p>
    <w:p w:rsidR="00620DB5" w:rsidRDefault="00620DB5">
      <w:pPr>
        <w:spacing w:line="600" w:lineRule="exact"/>
        <w:rPr>
          <w:rFonts w:ascii="仿宋_GB2312"/>
          <w:sz w:val="28"/>
          <w:szCs w:val="28"/>
        </w:rPr>
      </w:pPr>
    </w:p>
    <w:sectPr w:rsidR="00620DB5" w:rsidSect="00620DB5">
      <w:pgSz w:w="11907" w:h="16840"/>
      <w:pgMar w:top="2041" w:right="1531" w:bottom="1871" w:left="1531" w:header="851" w:footer="1304" w:gutter="0"/>
      <w:cols w:space="720"/>
      <w:docGrid w:type="linesAndChars" w:linePitch="587" w:charSpace="-84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4221" w:rsidRDefault="00BF4221" w:rsidP="00620DB5">
      <w:r>
        <w:separator/>
      </w:r>
    </w:p>
  </w:endnote>
  <w:endnote w:type="continuationSeparator" w:id="0">
    <w:p w:rsidR="00BF4221" w:rsidRDefault="00BF4221" w:rsidP="00620DB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方正小标宋简体">
    <w:altName w:val="微软雅黑"/>
    <w:charset w:val="86"/>
    <w:family w:val="auto"/>
    <w:pitch w:val="default"/>
    <w:sig w:usb0="00000000" w:usb1="080E0000" w:usb2="00000000" w:usb3="00000000" w:csb0="00040000" w:csb1="00000000"/>
  </w:font>
  <w:font w:name="方正小标宋_GBK">
    <w:altName w:val="微软雅黑"/>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微软雅黑"/>
    <w:charset w:val="86"/>
    <w:family w:val="modern"/>
    <w:pitch w:val="default"/>
    <w:sig w:usb0="00000000" w:usb1="080E0000" w:usb2="00000000" w:usb3="00000000" w:csb0="00040000"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DB5" w:rsidRDefault="000A7E1B">
    <w:pPr>
      <w:pStyle w:val="a5"/>
      <w:framePr w:wrap="around" w:vAnchor="text" w:hAnchor="margin" w:xAlign="outside" w:y="1"/>
      <w:ind w:left="335"/>
      <w:rPr>
        <w:rStyle w:val="a7"/>
        <w:rFonts w:ascii="宋体" w:eastAsia="宋体" w:hAnsi="宋体"/>
        <w:sz w:val="28"/>
      </w:rPr>
    </w:pPr>
    <w:r>
      <w:rPr>
        <w:rStyle w:val="a7"/>
        <w:rFonts w:ascii="宋体" w:eastAsia="宋体" w:hAnsi="宋体"/>
        <w:sz w:val="28"/>
      </w:rPr>
      <w:t>—</w:t>
    </w:r>
    <w:r w:rsidR="00B16F7E">
      <w:rPr>
        <w:rStyle w:val="a7"/>
        <w:rFonts w:ascii="宋体" w:eastAsia="宋体" w:hAnsi="宋体"/>
        <w:sz w:val="28"/>
      </w:rPr>
      <w:fldChar w:fldCharType="begin"/>
    </w:r>
    <w:r>
      <w:rPr>
        <w:rStyle w:val="a7"/>
        <w:rFonts w:ascii="宋体" w:eastAsia="宋体" w:hAnsi="宋体"/>
        <w:sz w:val="28"/>
      </w:rPr>
      <w:instrText xml:space="preserve">PAGE  </w:instrText>
    </w:r>
    <w:r w:rsidR="00B16F7E">
      <w:rPr>
        <w:rStyle w:val="a7"/>
        <w:rFonts w:ascii="宋体" w:eastAsia="宋体" w:hAnsi="宋体"/>
        <w:sz w:val="28"/>
      </w:rPr>
      <w:fldChar w:fldCharType="separate"/>
    </w:r>
    <w:r w:rsidR="00206A87">
      <w:rPr>
        <w:rStyle w:val="a7"/>
        <w:rFonts w:ascii="宋体" w:eastAsia="宋体" w:hAnsi="宋体"/>
        <w:noProof/>
        <w:sz w:val="28"/>
      </w:rPr>
      <w:t>6</w:t>
    </w:r>
    <w:r w:rsidR="00B16F7E">
      <w:rPr>
        <w:rStyle w:val="a7"/>
        <w:rFonts w:ascii="宋体" w:eastAsia="宋体" w:hAnsi="宋体"/>
        <w:sz w:val="28"/>
      </w:rPr>
      <w:fldChar w:fldCharType="end"/>
    </w:r>
    <w:r>
      <w:rPr>
        <w:rStyle w:val="a7"/>
        <w:rFonts w:ascii="宋体" w:eastAsia="宋体" w:hAnsi="宋体"/>
        <w:sz w:val="28"/>
      </w:rPr>
      <w:t>—</w:t>
    </w:r>
  </w:p>
  <w:p w:rsidR="00620DB5" w:rsidRDefault="00620DB5">
    <w:pPr>
      <w:pStyle w:val="a5"/>
      <w:ind w:left="300" w:right="360" w:firstLine="360"/>
      <w:rPr>
        <w:sz w:val="28"/>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DB5" w:rsidRDefault="000A7E1B">
    <w:pPr>
      <w:pStyle w:val="a5"/>
      <w:framePr w:wrap="around" w:vAnchor="text" w:hAnchor="margin" w:xAlign="outside" w:y="1"/>
      <w:ind w:right="335"/>
      <w:rPr>
        <w:rStyle w:val="a7"/>
        <w:rFonts w:ascii="宋体" w:eastAsia="宋体" w:hAnsi="宋体"/>
        <w:sz w:val="28"/>
      </w:rPr>
    </w:pPr>
    <w:r>
      <w:rPr>
        <w:rStyle w:val="a7"/>
        <w:rFonts w:ascii="宋体" w:eastAsia="宋体" w:hAnsi="宋体"/>
        <w:sz w:val="28"/>
      </w:rPr>
      <w:t>—</w:t>
    </w:r>
    <w:r w:rsidR="00B16F7E">
      <w:rPr>
        <w:rStyle w:val="a7"/>
        <w:rFonts w:ascii="宋体" w:eastAsia="宋体" w:hAnsi="宋体"/>
        <w:sz w:val="28"/>
      </w:rPr>
      <w:fldChar w:fldCharType="begin"/>
    </w:r>
    <w:r>
      <w:rPr>
        <w:rStyle w:val="a7"/>
        <w:rFonts w:ascii="宋体" w:eastAsia="宋体" w:hAnsi="宋体"/>
        <w:sz w:val="28"/>
      </w:rPr>
      <w:instrText xml:space="preserve">PAGE  </w:instrText>
    </w:r>
    <w:r w:rsidR="00B16F7E">
      <w:rPr>
        <w:rStyle w:val="a7"/>
        <w:rFonts w:ascii="宋体" w:eastAsia="宋体" w:hAnsi="宋体"/>
        <w:sz w:val="28"/>
      </w:rPr>
      <w:fldChar w:fldCharType="separate"/>
    </w:r>
    <w:r w:rsidR="00206A87">
      <w:rPr>
        <w:rStyle w:val="a7"/>
        <w:rFonts w:ascii="宋体" w:eastAsia="宋体" w:hAnsi="宋体"/>
        <w:noProof/>
        <w:sz w:val="28"/>
      </w:rPr>
      <w:t>5</w:t>
    </w:r>
    <w:r w:rsidR="00B16F7E">
      <w:rPr>
        <w:rStyle w:val="a7"/>
        <w:rFonts w:ascii="宋体" w:eastAsia="宋体" w:hAnsi="宋体"/>
        <w:sz w:val="28"/>
      </w:rPr>
      <w:fldChar w:fldCharType="end"/>
    </w:r>
    <w:r>
      <w:rPr>
        <w:rStyle w:val="a7"/>
        <w:rFonts w:ascii="宋体" w:eastAsia="宋体" w:hAnsi="宋体"/>
        <w:sz w:val="28"/>
      </w:rPr>
      <w:t>—</w:t>
    </w:r>
  </w:p>
  <w:p w:rsidR="00620DB5" w:rsidRDefault="00620DB5">
    <w:pPr>
      <w:pStyle w:val="a5"/>
      <w:ind w:right="360" w:firstLine="360"/>
      <w:jc w:val="right"/>
      <w:rPr>
        <w:sz w:val="2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4221" w:rsidRDefault="00BF4221" w:rsidP="00620DB5">
      <w:r>
        <w:separator/>
      </w:r>
    </w:p>
  </w:footnote>
  <w:footnote w:type="continuationSeparator" w:id="0">
    <w:p w:rsidR="00BF4221" w:rsidRDefault="00BF4221" w:rsidP="00620DB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CACF84"/>
    <w:multiLevelType w:val="singleLevel"/>
    <w:tmpl w:val="5ACACF84"/>
    <w:lvl w:ilvl="0">
      <w:start w:val="2"/>
      <w:numFmt w:val="chineseCounting"/>
      <w:suff w:val="nothing"/>
      <w:lvlText w:val="（%1）"/>
      <w:lvlJc w:val="left"/>
    </w:lvl>
  </w:abstractNum>
  <w:abstractNum w:abstractNumId="1">
    <w:nsid w:val="5D020202"/>
    <w:multiLevelType w:val="singleLevel"/>
    <w:tmpl w:val="5D020202"/>
    <w:lvl w:ilvl="0">
      <w:start w:val="1"/>
      <w:numFmt w:val="chineseCounting"/>
      <w:suff w:val="nothing"/>
      <w:lvlText w:val="%1、"/>
      <w:lvlJc w:val="left"/>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attachedTemplate r:id="rId1"/>
  <w:doNotTrackMoves/>
  <w:defaultTabStop w:val="425"/>
  <w:evenAndOddHeaders/>
  <w:drawingGridHorizontalSpacing w:val="158"/>
  <w:drawingGridVerticalSpacing w:val="587"/>
  <w:displayHorizontalDrawingGridEvery w:val="2"/>
  <w:characterSpacingControl w:val="compressPunctuation"/>
  <w:noLineBreaksAfter w:lang="zh-CN" w:val="$([{£¥·‘“〈《「『【〔〖〝﹙﹛﹝＄（．［｛￡￥"/>
  <w:noLineBreaksBefore w:lang="zh-CN" w:val="!%),.:;&gt;?]}¢¨°·ˇˉ―‖’”…‰′″›℃∶、。〃〉》」』】〕〗〞︶︺︾﹀﹄﹚﹜﹞！＂％＇），．：；？］｀｜｝～￠"/>
  <w:hdrShapeDefaults>
    <o:shapedefaults v:ext="edit" spidmax="7170"/>
  </w:hdrShapeDefaults>
  <w:footnotePr>
    <w:footnote w:id="-1"/>
    <w:footnote w:id="0"/>
  </w:footnotePr>
  <w:endnotePr>
    <w:endnote w:id="-1"/>
    <w:endnote w:id="0"/>
  </w:endnotePr>
  <w:compat>
    <w:spaceForUL/>
    <w:balanceSingleByteDoubleByteWidth/>
    <w:doNotLeaveBackslashAlone/>
    <w:ulTrailSpace/>
    <w:doNotExpandShiftReturn/>
    <w:useFELayout/>
    <w:underlineTabInNumList/>
  </w:compat>
  <w:rsids>
    <w:rsidRoot w:val="0055335F"/>
    <w:rsid w:val="0001706E"/>
    <w:rsid w:val="00031386"/>
    <w:rsid w:val="00061B34"/>
    <w:rsid w:val="00085C25"/>
    <w:rsid w:val="000A7E1B"/>
    <w:rsid w:val="000C6A55"/>
    <w:rsid w:val="000D0079"/>
    <w:rsid w:val="000D23AC"/>
    <w:rsid w:val="000E57AE"/>
    <w:rsid w:val="000F0DDC"/>
    <w:rsid w:val="000F2D14"/>
    <w:rsid w:val="000F2E4E"/>
    <w:rsid w:val="00112694"/>
    <w:rsid w:val="0013625A"/>
    <w:rsid w:val="00155091"/>
    <w:rsid w:val="00167969"/>
    <w:rsid w:val="00171B5D"/>
    <w:rsid w:val="001776A1"/>
    <w:rsid w:val="00185A5A"/>
    <w:rsid w:val="00197124"/>
    <w:rsid w:val="001B5425"/>
    <w:rsid w:val="001D2295"/>
    <w:rsid w:val="002021EA"/>
    <w:rsid w:val="00206A87"/>
    <w:rsid w:val="002164BD"/>
    <w:rsid w:val="00232238"/>
    <w:rsid w:val="00260330"/>
    <w:rsid w:val="0027333E"/>
    <w:rsid w:val="0028678C"/>
    <w:rsid w:val="00294EE5"/>
    <w:rsid w:val="00301902"/>
    <w:rsid w:val="00304EEE"/>
    <w:rsid w:val="003209BE"/>
    <w:rsid w:val="00320A77"/>
    <w:rsid w:val="00341DDF"/>
    <w:rsid w:val="003721CE"/>
    <w:rsid w:val="00386252"/>
    <w:rsid w:val="0039440A"/>
    <w:rsid w:val="003B609C"/>
    <w:rsid w:val="003B651F"/>
    <w:rsid w:val="003D3F92"/>
    <w:rsid w:val="003F15F1"/>
    <w:rsid w:val="003F7768"/>
    <w:rsid w:val="004222B9"/>
    <w:rsid w:val="00441E1F"/>
    <w:rsid w:val="00443AFE"/>
    <w:rsid w:val="0044547C"/>
    <w:rsid w:val="00463CBD"/>
    <w:rsid w:val="0048484B"/>
    <w:rsid w:val="004B7A2C"/>
    <w:rsid w:val="004E5EBC"/>
    <w:rsid w:val="005456D8"/>
    <w:rsid w:val="00547454"/>
    <w:rsid w:val="00547D91"/>
    <w:rsid w:val="0055335F"/>
    <w:rsid w:val="00587D66"/>
    <w:rsid w:val="00596EAF"/>
    <w:rsid w:val="005B05E9"/>
    <w:rsid w:val="005C1E91"/>
    <w:rsid w:val="005C3612"/>
    <w:rsid w:val="005D1F7C"/>
    <w:rsid w:val="00620DB5"/>
    <w:rsid w:val="00623770"/>
    <w:rsid w:val="00634A37"/>
    <w:rsid w:val="0067583F"/>
    <w:rsid w:val="00684F23"/>
    <w:rsid w:val="00691838"/>
    <w:rsid w:val="006A6EB6"/>
    <w:rsid w:val="006B11BB"/>
    <w:rsid w:val="0070331B"/>
    <w:rsid w:val="007347E8"/>
    <w:rsid w:val="00752484"/>
    <w:rsid w:val="00767A70"/>
    <w:rsid w:val="007740E0"/>
    <w:rsid w:val="007F5BD0"/>
    <w:rsid w:val="0080354F"/>
    <w:rsid w:val="008273F9"/>
    <w:rsid w:val="008452A9"/>
    <w:rsid w:val="0086384F"/>
    <w:rsid w:val="00896C1C"/>
    <w:rsid w:val="008D4DFD"/>
    <w:rsid w:val="008F3154"/>
    <w:rsid w:val="009156B6"/>
    <w:rsid w:val="009511E2"/>
    <w:rsid w:val="00960202"/>
    <w:rsid w:val="00971ACC"/>
    <w:rsid w:val="00984AA9"/>
    <w:rsid w:val="009B1D6B"/>
    <w:rsid w:val="009C2E24"/>
    <w:rsid w:val="009E07A7"/>
    <w:rsid w:val="00A032C7"/>
    <w:rsid w:val="00A449C0"/>
    <w:rsid w:val="00A45A91"/>
    <w:rsid w:val="00AB6099"/>
    <w:rsid w:val="00B1591B"/>
    <w:rsid w:val="00B16F7E"/>
    <w:rsid w:val="00B268F0"/>
    <w:rsid w:val="00B8171D"/>
    <w:rsid w:val="00BA1A64"/>
    <w:rsid w:val="00BC60B5"/>
    <w:rsid w:val="00BC7CC4"/>
    <w:rsid w:val="00BD1B59"/>
    <w:rsid w:val="00BD7DE4"/>
    <w:rsid w:val="00BF4221"/>
    <w:rsid w:val="00BF7471"/>
    <w:rsid w:val="00C126D1"/>
    <w:rsid w:val="00C145B3"/>
    <w:rsid w:val="00C21CDB"/>
    <w:rsid w:val="00C40EC7"/>
    <w:rsid w:val="00C647AA"/>
    <w:rsid w:val="00CD2387"/>
    <w:rsid w:val="00D16944"/>
    <w:rsid w:val="00D20768"/>
    <w:rsid w:val="00D4728C"/>
    <w:rsid w:val="00D60CF2"/>
    <w:rsid w:val="00D77134"/>
    <w:rsid w:val="00D87244"/>
    <w:rsid w:val="00DD46DD"/>
    <w:rsid w:val="00E0768F"/>
    <w:rsid w:val="00E124FB"/>
    <w:rsid w:val="00E219E0"/>
    <w:rsid w:val="00E44E53"/>
    <w:rsid w:val="00E60A47"/>
    <w:rsid w:val="00E6140F"/>
    <w:rsid w:val="00E627D0"/>
    <w:rsid w:val="00E75F2E"/>
    <w:rsid w:val="00EB1222"/>
    <w:rsid w:val="00EB5E95"/>
    <w:rsid w:val="00F40020"/>
    <w:rsid w:val="00F525BE"/>
    <w:rsid w:val="00F613AB"/>
    <w:rsid w:val="00F8179E"/>
    <w:rsid w:val="00FB0339"/>
    <w:rsid w:val="095A5973"/>
    <w:rsid w:val="0C4D7C66"/>
    <w:rsid w:val="0C926004"/>
    <w:rsid w:val="103C3F11"/>
    <w:rsid w:val="15F15154"/>
    <w:rsid w:val="180C5863"/>
    <w:rsid w:val="1E247C72"/>
    <w:rsid w:val="266F0897"/>
    <w:rsid w:val="277E4E6C"/>
    <w:rsid w:val="279B492F"/>
    <w:rsid w:val="40D44852"/>
    <w:rsid w:val="4745353D"/>
    <w:rsid w:val="493058B4"/>
    <w:rsid w:val="4CF372BB"/>
    <w:rsid w:val="4F7370ED"/>
    <w:rsid w:val="54395E49"/>
    <w:rsid w:val="5D0A7D90"/>
    <w:rsid w:val="628E4570"/>
    <w:rsid w:val="65760C77"/>
    <w:rsid w:val="68D00097"/>
    <w:rsid w:val="7F6F112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nhideWhenUsed="0" w:qFormat="1"/>
    <w:lsdException w:name="footer" w:semiHidden="0" w:unhideWhenUsed="0" w:qFormat="1"/>
    <w:lsdException w:name="caption" w:locked="1" w:uiPriority="0" w:qFormat="1"/>
    <w:lsdException w:name="page number" w:semiHidden="0" w:unhideWhenUsed="0" w:qFormat="1"/>
    <w:lsdException w:name="Title" w:locked="1" w:semiHidden="0" w:uiPriority="0" w:unhideWhenUsed="0" w:qFormat="1"/>
    <w:lsdException w:name="Default Paragraph Font" w:semiHidden="0" w:uiPriority="1" w:qFormat="1"/>
    <w:lsdException w:name="Body Text Indent" w:semiHidden="0" w:unhideWhenUsed="0" w:qFormat="1"/>
    <w:lsdException w:name="Subtitle" w:locked="1" w:semiHidden="0" w:uiPriority="0" w:unhideWhenUsed="0" w:qFormat="1"/>
    <w:lsdException w:name="Date" w:semiHidden="0" w:unhideWhenUsed="0" w:qFormat="1"/>
    <w:lsdException w:name="Hyperlink" w:semiHidden="0" w:unhideWhenUsed="0" w:qFormat="1"/>
    <w:lsdException w:name="Strong" w:locked="1" w:semiHidden="0" w:uiPriority="0" w:unhideWhenUsed="0" w:qFormat="1"/>
    <w:lsdException w:name="Emphasis" w:locked="1" w:semiHidden="0" w:uiPriority="0" w:unhideWhenUsed="0" w:qFormat="1"/>
    <w:lsdException w:name="Normal Table"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0DB5"/>
    <w:pPr>
      <w:widowControl w:val="0"/>
      <w:jc w:val="both"/>
    </w:pPr>
    <w:rPr>
      <w:rFonts w:eastAsia="仿宋_GB2312"/>
      <w:kern w:val="2"/>
      <w:sz w:val="32"/>
    </w:rPr>
  </w:style>
  <w:style w:type="paragraph" w:styleId="1">
    <w:name w:val="heading 1"/>
    <w:basedOn w:val="a"/>
    <w:next w:val="a"/>
    <w:link w:val="1Char"/>
    <w:uiPriority w:val="99"/>
    <w:qFormat/>
    <w:locked/>
    <w:rsid w:val="00620DB5"/>
    <w:pPr>
      <w:keepNext/>
      <w:keepLines/>
      <w:spacing w:before="340" w:after="330" w:line="578" w:lineRule="auto"/>
      <w:outlineLvl w:val="0"/>
    </w:pPr>
    <w:rPr>
      <w:rFonts w:ascii="Calibri" w:eastAsia="宋体" w:hAnsi="Calibri" w:cs="Calibri"/>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uiPriority w:val="99"/>
    <w:qFormat/>
    <w:rsid w:val="00620DB5"/>
    <w:pPr>
      <w:ind w:firstLineChars="200" w:firstLine="632"/>
    </w:pPr>
  </w:style>
  <w:style w:type="paragraph" w:styleId="a4">
    <w:name w:val="Date"/>
    <w:basedOn w:val="a"/>
    <w:next w:val="a"/>
    <w:link w:val="Char0"/>
    <w:uiPriority w:val="99"/>
    <w:qFormat/>
    <w:rsid w:val="00620DB5"/>
    <w:pPr>
      <w:ind w:leftChars="2500" w:left="100"/>
    </w:pPr>
  </w:style>
  <w:style w:type="paragraph" w:styleId="a5">
    <w:name w:val="footer"/>
    <w:basedOn w:val="a"/>
    <w:link w:val="Char1"/>
    <w:uiPriority w:val="99"/>
    <w:qFormat/>
    <w:rsid w:val="00620DB5"/>
    <w:pPr>
      <w:tabs>
        <w:tab w:val="center" w:pos="4153"/>
        <w:tab w:val="right" w:pos="8306"/>
      </w:tabs>
      <w:snapToGrid w:val="0"/>
      <w:jc w:val="left"/>
    </w:pPr>
    <w:rPr>
      <w:sz w:val="18"/>
      <w:szCs w:val="18"/>
    </w:rPr>
  </w:style>
  <w:style w:type="paragraph" w:styleId="a6">
    <w:name w:val="header"/>
    <w:basedOn w:val="a"/>
    <w:link w:val="Char2"/>
    <w:uiPriority w:val="99"/>
    <w:qFormat/>
    <w:rsid w:val="00620DB5"/>
    <w:pPr>
      <w:pBdr>
        <w:bottom w:val="single" w:sz="6" w:space="1" w:color="auto"/>
      </w:pBdr>
      <w:tabs>
        <w:tab w:val="center" w:pos="4153"/>
        <w:tab w:val="right" w:pos="8306"/>
      </w:tabs>
      <w:snapToGrid w:val="0"/>
      <w:jc w:val="center"/>
    </w:pPr>
    <w:rPr>
      <w:sz w:val="18"/>
      <w:szCs w:val="18"/>
    </w:rPr>
  </w:style>
  <w:style w:type="character" w:styleId="a7">
    <w:name w:val="page number"/>
    <w:basedOn w:val="a0"/>
    <w:uiPriority w:val="99"/>
    <w:qFormat/>
    <w:rsid w:val="00620DB5"/>
    <w:rPr>
      <w:rFonts w:cs="Times New Roman"/>
    </w:rPr>
  </w:style>
  <w:style w:type="character" w:styleId="a8">
    <w:name w:val="Hyperlink"/>
    <w:basedOn w:val="a0"/>
    <w:uiPriority w:val="99"/>
    <w:qFormat/>
    <w:rsid w:val="00620DB5"/>
    <w:rPr>
      <w:rFonts w:cs="Times New Roman"/>
      <w:color w:val="0000FF"/>
      <w:u w:val="single"/>
    </w:rPr>
  </w:style>
  <w:style w:type="character" w:customStyle="1" w:styleId="Char2">
    <w:name w:val="页眉 Char"/>
    <w:basedOn w:val="a0"/>
    <w:link w:val="a6"/>
    <w:uiPriority w:val="99"/>
    <w:semiHidden/>
    <w:qFormat/>
    <w:rsid w:val="00620DB5"/>
    <w:rPr>
      <w:rFonts w:eastAsia="仿宋_GB2312"/>
      <w:sz w:val="18"/>
      <w:szCs w:val="18"/>
    </w:rPr>
  </w:style>
  <w:style w:type="character" w:customStyle="1" w:styleId="Char1">
    <w:name w:val="页脚 Char"/>
    <w:basedOn w:val="a0"/>
    <w:link w:val="a5"/>
    <w:uiPriority w:val="99"/>
    <w:semiHidden/>
    <w:qFormat/>
    <w:rsid w:val="00620DB5"/>
    <w:rPr>
      <w:rFonts w:eastAsia="仿宋_GB2312"/>
      <w:sz w:val="18"/>
      <w:szCs w:val="18"/>
    </w:rPr>
  </w:style>
  <w:style w:type="character" w:customStyle="1" w:styleId="Char0">
    <w:name w:val="日期 Char"/>
    <w:basedOn w:val="a0"/>
    <w:link w:val="a4"/>
    <w:uiPriority w:val="99"/>
    <w:semiHidden/>
    <w:qFormat/>
    <w:rsid w:val="00620DB5"/>
    <w:rPr>
      <w:rFonts w:eastAsia="仿宋_GB2312"/>
      <w:sz w:val="32"/>
      <w:szCs w:val="20"/>
    </w:rPr>
  </w:style>
  <w:style w:type="character" w:customStyle="1" w:styleId="Char">
    <w:name w:val="正文文本缩进 Char"/>
    <w:basedOn w:val="a0"/>
    <w:link w:val="a3"/>
    <w:uiPriority w:val="99"/>
    <w:semiHidden/>
    <w:qFormat/>
    <w:rsid w:val="00620DB5"/>
    <w:rPr>
      <w:rFonts w:eastAsia="仿宋_GB2312"/>
      <w:sz w:val="32"/>
      <w:szCs w:val="20"/>
    </w:rPr>
  </w:style>
  <w:style w:type="paragraph" w:customStyle="1" w:styleId="CharCharCharCharCharChar">
    <w:name w:val="Char Char Char Char Char Char"/>
    <w:basedOn w:val="a"/>
    <w:uiPriority w:val="99"/>
    <w:qFormat/>
    <w:rsid w:val="00620DB5"/>
    <w:pPr>
      <w:adjustRightInd w:val="0"/>
    </w:pPr>
    <w:rPr>
      <w:rFonts w:ascii="Tahoma" w:eastAsia="宋体" w:hAnsi="Tahoma"/>
      <w:sz w:val="24"/>
    </w:rPr>
  </w:style>
  <w:style w:type="character" w:customStyle="1" w:styleId="1Char">
    <w:name w:val="标题 1 Char"/>
    <w:basedOn w:val="a0"/>
    <w:link w:val="1"/>
    <w:uiPriority w:val="99"/>
    <w:qFormat/>
    <w:rsid w:val="00620DB5"/>
    <w:rPr>
      <w:rFonts w:ascii="Calibri" w:hAnsi="Calibri" w:cs="Calibri"/>
      <w:b/>
      <w:bCs/>
      <w:kern w:val="44"/>
      <w:sz w:val="44"/>
      <w:szCs w:val="4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Application%20Data\Microsoft\Templates\&#19968;&#20010;&#21333;&#20301;&#25991;&#20214;&#65288;201412&#65289;.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一个单位文件（201412）.dot</Template>
  <TotalTime>2</TotalTime>
  <Pages>6</Pages>
  <Words>390</Words>
  <Characters>2228</Characters>
  <Application>Microsoft Office Word</Application>
  <DocSecurity>0</DocSecurity>
  <Lines>18</Lines>
  <Paragraphs>5</Paragraphs>
  <ScaleCrop>false</ScaleCrop>
  <Company>家用电脑</Company>
  <LinksUpToDate>false</LinksUpToDate>
  <CharactersWithSpaces>2613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益财会〔2002〕4号</dc:title>
  <dc:creator>y</dc:creator>
  <cp:lastModifiedBy>Administrator</cp:lastModifiedBy>
  <cp:revision>33</cp:revision>
  <cp:lastPrinted>2019-06-12T00:34:00Z</cp:lastPrinted>
  <dcterms:created xsi:type="dcterms:W3CDTF">2016-02-18T07:51:00Z</dcterms:created>
  <dcterms:modified xsi:type="dcterms:W3CDTF">2019-06-14T00:38:00Z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2052-10.1.0.6930</vt:lpwstr>
  </property>
</Properties>
</file>