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ECA" w:rsidRPr="00CF1C42" w:rsidRDefault="000A06B2" w:rsidP="00CF1C42">
      <w:pPr>
        <w:spacing w:line="600" w:lineRule="exact"/>
        <w:jc w:val="center"/>
        <w:rPr>
          <w:rFonts w:ascii="方正小标宋简体" w:eastAsia="方正小标宋简体" w:hAnsi="方正小标宋简体"/>
          <w:spacing w:val="-2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pacing w:val="-20"/>
        </w:rPr>
        <w:t>嵩明县劳动就业服务局</w:t>
      </w:r>
      <w:r>
        <w:rPr>
          <w:rFonts w:ascii="方正小标宋简体" w:eastAsia="方正小标宋简体" w:hAnsi="方正小标宋简体" w:cs="方正小标宋简体"/>
          <w:spacing w:val="-20"/>
        </w:rPr>
        <w:t>2017</w:t>
      </w:r>
      <w:r>
        <w:rPr>
          <w:rFonts w:ascii="方正小标宋简体" w:eastAsia="方正小标宋简体" w:hAnsi="方正小标宋简体" w:cs="方正小标宋简体" w:hint="eastAsia"/>
          <w:spacing w:val="-20"/>
        </w:rPr>
        <w:t>年度部门整体支出绩效评价报告</w:t>
      </w:r>
    </w:p>
    <w:p w:rsidR="00EB1ECA" w:rsidRDefault="000A06B2">
      <w:pPr>
        <w:topLinePunct/>
        <w:ind w:firstLineChars="250" w:firstLine="790"/>
        <w:rPr>
          <w:rFonts w:ascii="黑体" w:eastAsia="黑体"/>
        </w:rPr>
      </w:pPr>
      <w:r>
        <w:rPr>
          <w:rFonts w:ascii="黑体" w:eastAsia="黑体" w:cs="黑体" w:hint="eastAsia"/>
        </w:rPr>
        <w:t>一、部门概况</w:t>
      </w:r>
    </w:p>
    <w:p w:rsidR="00EB1ECA" w:rsidRDefault="000A06B2">
      <w:pPr>
        <w:topLinePunct/>
        <w:ind w:firstLineChars="250" w:firstLine="790"/>
        <w:rPr>
          <w:rFonts w:ascii="楷体" w:eastAsia="楷体" w:hAnsi="楷体"/>
        </w:rPr>
      </w:pPr>
      <w:r>
        <w:rPr>
          <w:rFonts w:ascii="楷体" w:eastAsia="楷体" w:hAnsi="楷体" w:cs="楷体" w:hint="eastAsia"/>
        </w:rPr>
        <w:t>（一）部门机构设置、编制。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嵩明县劳动就业服务局是嵩明县人力资源和社会保障局下属二级局，属于参公管理事业单位，主要负责县区促进就业、失业保险相关工作。</w:t>
      </w:r>
      <w:r>
        <w:rPr>
          <w:rFonts w:ascii="仿宋_GB2312" w:eastAsia="仿宋_GB2312" w:hAnsi="Tahoma" w:cs="仿宋_GB2312" w:hint="eastAsia"/>
          <w:sz w:val="32"/>
          <w:szCs w:val="32"/>
          <w:shd w:val="clear" w:color="auto" w:fill="FFFFFF"/>
        </w:rPr>
        <w:t>核定机构编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制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11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人，内设三个科室：综合科、失业保险科、促进就业科。截止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2017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年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12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，我局共有在职职工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11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人，满编。</w:t>
      </w:r>
    </w:p>
    <w:p w:rsidR="00EB1ECA" w:rsidRDefault="000A06B2">
      <w:pPr>
        <w:topLinePunct/>
        <w:ind w:firstLineChars="250" w:firstLine="790"/>
        <w:rPr>
          <w:rFonts w:ascii="楷体" w:eastAsia="楷体" w:hAnsi="楷体"/>
        </w:rPr>
      </w:pPr>
      <w:r>
        <w:rPr>
          <w:rFonts w:ascii="楷体" w:eastAsia="楷体" w:hAnsi="楷体" w:cs="楷体" w:hint="eastAsia"/>
        </w:rPr>
        <w:t>（二）部门职能。</w:t>
      </w:r>
    </w:p>
    <w:p w:rsidR="00EB1ECA" w:rsidRDefault="000A06B2">
      <w:pPr>
        <w:spacing w:line="580" w:lineRule="exact"/>
        <w:ind w:firstLineChars="200" w:firstLine="632"/>
      </w:pPr>
      <w:r>
        <w:t>1.</w:t>
      </w:r>
      <w:r>
        <w:rPr>
          <w:rFonts w:cs="仿宋_GB2312" w:hint="eastAsia"/>
        </w:rPr>
        <w:t>贯彻执行国家、省、市劳动就业方针政策和法律法规，编制全县劳动就业发展规划及年度工作计划，组织落实年度就业服务工作目标任务；</w:t>
      </w:r>
    </w:p>
    <w:p w:rsidR="00EB1ECA" w:rsidRDefault="000A06B2">
      <w:pPr>
        <w:spacing w:line="580" w:lineRule="exact"/>
        <w:ind w:firstLineChars="200" w:firstLine="632"/>
      </w:pPr>
      <w:r>
        <w:t>2.</w:t>
      </w:r>
      <w:r>
        <w:rPr>
          <w:rFonts w:cs="仿宋_GB2312" w:hint="eastAsia"/>
        </w:rPr>
        <w:t>按照《</w:t>
      </w:r>
      <w:r>
        <w:rPr>
          <w:rFonts w:cs="仿宋_GB2312" w:hint="eastAsia"/>
        </w:rPr>
        <w:t>中华人民共和国</w:t>
      </w:r>
      <w:r>
        <w:rPr>
          <w:rFonts w:cs="仿宋_GB2312" w:hint="eastAsia"/>
        </w:rPr>
        <w:t>就业促进法》，负责健全完善覆盖城乡的公共就业服务体系，加强城乡劳动就业统筹管理服务，促进城乡劳动者充分就业；</w:t>
      </w:r>
    </w:p>
    <w:p w:rsidR="00EB1ECA" w:rsidRDefault="000A06B2">
      <w:pPr>
        <w:spacing w:line="580" w:lineRule="exact"/>
        <w:ind w:firstLineChars="200" w:firstLine="632"/>
      </w:pPr>
      <w:r>
        <w:t>3.</w:t>
      </w:r>
      <w:r>
        <w:rPr>
          <w:rFonts w:cs="仿宋_GB2312" w:hint="eastAsia"/>
        </w:rPr>
        <w:t>按照国务院《失业保险条例》，负责承办失业保险业务，具体负责失业保险参保登记、缴费核定、待遇审核发放等工作；</w:t>
      </w:r>
    </w:p>
    <w:p w:rsidR="00EB1ECA" w:rsidRDefault="000A06B2">
      <w:pPr>
        <w:spacing w:line="580" w:lineRule="exact"/>
        <w:ind w:firstLineChars="200" w:firstLine="632"/>
      </w:pPr>
      <w:r>
        <w:t>4.</w:t>
      </w:r>
      <w:r>
        <w:rPr>
          <w:rFonts w:cs="仿宋_GB2312" w:hint="eastAsia"/>
        </w:rPr>
        <w:t>贯彻落实积极创业就业政策。具体开展创业担保贷款、贷免扶补等创业扶持工作；实施公益性岗位就业援助工作；落实公益性岗位补贴、社会保险补贴、就业见习补贴、职业培训补贴等就业补助资金审核发放工作；</w:t>
      </w:r>
    </w:p>
    <w:p w:rsidR="00EB1ECA" w:rsidRDefault="000A06B2">
      <w:pPr>
        <w:spacing w:line="580" w:lineRule="exact"/>
        <w:ind w:firstLineChars="200" w:firstLine="632"/>
      </w:pPr>
      <w:r>
        <w:t>5.</w:t>
      </w:r>
      <w:r>
        <w:rPr>
          <w:rFonts w:cs="仿宋_GB2312" w:hint="eastAsia"/>
        </w:rPr>
        <w:t>开展公共就业服务及组织公共就业服务活动。具体开展职</w:t>
      </w:r>
      <w:r>
        <w:rPr>
          <w:rFonts w:cs="仿宋_GB2312" w:hint="eastAsia"/>
        </w:rPr>
        <w:lastRenderedPageBreak/>
        <w:t>业介绍、职业指导、就业创业政</w:t>
      </w:r>
      <w:r>
        <w:rPr>
          <w:rFonts w:cs="仿宋_GB2312" w:hint="eastAsia"/>
        </w:rPr>
        <w:t>策咨询等工作；办理就业录用备案手续；开展《就业创业证》审核发放及就业（创业）失业登记工作；开展失业职工档案托管工作；开展高校毕业生实名登记报到、档案托管及就业见习等高校毕业生就业服务工作；</w:t>
      </w:r>
    </w:p>
    <w:p w:rsidR="00EB1ECA" w:rsidRDefault="000A06B2">
      <w:pPr>
        <w:spacing w:line="580" w:lineRule="exact"/>
        <w:ind w:firstLineChars="200" w:firstLine="632"/>
      </w:pPr>
      <w:r>
        <w:t>6.</w:t>
      </w:r>
      <w:r>
        <w:rPr>
          <w:rFonts w:cs="仿宋_GB2312" w:hint="eastAsia"/>
        </w:rPr>
        <w:t>分析、了解、掌握全县就业失业登记基本状况，维护全县就业形势保持稳定；</w:t>
      </w:r>
    </w:p>
    <w:p w:rsidR="00EB1ECA" w:rsidRDefault="000A06B2">
      <w:pPr>
        <w:spacing w:line="580" w:lineRule="exact"/>
        <w:ind w:firstLineChars="200" w:firstLine="632"/>
      </w:pPr>
      <w:r>
        <w:t>7.</w:t>
      </w:r>
      <w:r>
        <w:rPr>
          <w:rFonts w:cs="仿宋_GB2312" w:hint="eastAsia"/>
        </w:rPr>
        <w:t>指导帮助各镇（街道）、村（社区）基层公共就业服务机构开展工作；</w:t>
      </w:r>
    </w:p>
    <w:p w:rsidR="00EB1ECA" w:rsidRDefault="000A06B2">
      <w:pPr>
        <w:spacing w:line="580" w:lineRule="exact"/>
        <w:ind w:firstLineChars="200" w:firstLine="632"/>
      </w:pPr>
      <w:r>
        <w:t>8.</w:t>
      </w:r>
      <w:r>
        <w:rPr>
          <w:rFonts w:cs="仿宋_GB2312" w:hint="eastAsia"/>
        </w:rPr>
        <w:t>完成上级交办的其它工作任务。</w:t>
      </w:r>
    </w:p>
    <w:p w:rsidR="00EB1ECA" w:rsidRDefault="000A06B2">
      <w:pPr>
        <w:topLinePunct/>
        <w:ind w:firstLineChars="250" w:firstLine="790"/>
        <w:rPr>
          <w:rFonts w:ascii="楷体" w:eastAsia="楷体" w:hAnsi="楷体"/>
        </w:rPr>
      </w:pPr>
      <w:r>
        <w:rPr>
          <w:rFonts w:ascii="楷体" w:eastAsia="楷体" w:hAnsi="楷体" w:cs="楷体" w:hint="eastAsia"/>
        </w:rPr>
        <w:t>（三）部门工作完成情况。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2017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年</w:t>
      </w:r>
      <w:r>
        <w:rPr>
          <w:rFonts w:ascii="仿宋_GB2312" w:eastAsia="仿宋_GB2312" w:hAnsi="Tahoma" w:cs="仿宋_GB2312" w:hint="eastAsia"/>
          <w:sz w:val="32"/>
          <w:szCs w:val="32"/>
          <w:shd w:val="clear" w:color="auto" w:fill="FFFFFF"/>
        </w:rPr>
        <w:t>度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，新增高校毕业生就业见习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81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人，拨付见习补贴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58.39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万元；开发公益性岗位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351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个，拨付公益性岗位补贴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290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.38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万元；兑付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6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户小微企业吸纳高校毕业生就业社会保险补贴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10.95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万元；兑付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118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名灵活就业困难人员社会保险补贴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38.95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万元。实现回嵩实名登记的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743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名高校毕业生初次就业率达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92.4%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以上，困难高校毕业生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100%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实现就业，城镇失业人员再就业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1000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人，就业困难人员就业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980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人，</w:t>
      </w:r>
      <w:r>
        <w:rPr>
          <w:rFonts w:ascii="仿宋_GB2312" w:eastAsia="仿宋_GB2312" w:hAnsi="Tahoma" w:cs="仿宋_GB2312" w:hint="eastAsia"/>
          <w:sz w:val="32"/>
          <w:szCs w:val="32"/>
          <w:shd w:val="clear" w:color="auto" w:fill="FFFFFF"/>
        </w:rPr>
        <w:t>城镇登记失业率控制在</w:t>
      </w:r>
      <w:r>
        <w:rPr>
          <w:rFonts w:ascii="仿宋_GB2312" w:eastAsia="仿宋_GB2312" w:hAnsi="Tahoma" w:cs="仿宋_GB2312"/>
          <w:sz w:val="32"/>
          <w:szCs w:val="32"/>
          <w:shd w:val="clear" w:color="auto" w:fill="FFFFFF"/>
        </w:rPr>
        <w:t>4%</w:t>
      </w:r>
      <w:r>
        <w:rPr>
          <w:rFonts w:ascii="仿宋_GB2312" w:eastAsia="仿宋_GB2312" w:hAnsi="Tahoma" w:cs="仿宋_GB2312" w:hint="eastAsia"/>
          <w:sz w:val="32"/>
          <w:szCs w:val="32"/>
          <w:shd w:val="clear" w:color="auto" w:fill="FFFFFF"/>
        </w:rPr>
        <w:t>以内。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创业担保贷款扶持创业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260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人，发放贷款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2600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万元；贷免扶补扶持创业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110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人，发放贷款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1084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万元；劳动密集型小微企业贷款扶持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户企业创业，发放贷款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800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万元；创业扶持工作的开展直接带动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1100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余人就业。</w:t>
      </w:r>
    </w:p>
    <w:p w:rsidR="00EB1ECA" w:rsidRDefault="000A06B2">
      <w:pPr>
        <w:topLinePunct/>
        <w:ind w:firstLineChars="250" w:firstLine="790"/>
        <w:rPr>
          <w:rFonts w:ascii="楷体" w:eastAsia="楷体" w:hAnsi="楷体"/>
        </w:rPr>
      </w:pPr>
      <w:r>
        <w:rPr>
          <w:rFonts w:ascii="楷体" w:eastAsia="楷体" w:hAnsi="楷体" w:cs="楷体" w:hint="eastAsia"/>
        </w:rPr>
        <w:t>（四）部门管理制度。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lastRenderedPageBreak/>
        <w:t>在县人社局的领导下，就业局根据自身业务需要建立了一系列内部管理制度，包括预算管理制度、固定资产管理制度、政府采购管理制度、日常收支管理制度以及加强内控制度建设提高就业服务质量等内容；根据各科室业务分工，梳理完成各科室业务经办流程并制作了业务流程图。</w:t>
      </w:r>
    </w:p>
    <w:p w:rsidR="00EB1ECA" w:rsidRDefault="000A06B2">
      <w:pPr>
        <w:topLinePunct/>
        <w:ind w:firstLineChars="250" w:firstLine="790"/>
        <w:rPr>
          <w:rFonts w:ascii="楷体" w:eastAsia="楷体" w:hAnsi="楷体"/>
        </w:rPr>
      </w:pPr>
      <w:r>
        <w:rPr>
          <w:rFonts w:ascii="楷体" w:eastAsia="楷体" w:hAnsi="楷体" w:cs="楷体" w:hint="eastAsia"/>
        </w:rPr>
        <w:t>（五）部门资金来源及使用情况。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嵩明县劳动就业服务局属于财政全额供养的参公管理事业单位，部门资金全部来源于财政拨款。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2017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年全年预算收支总额为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7902816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元，包括年初预算资金（工资福利经费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1077619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元，商品和服务经费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48386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元，行政事业单位离退休费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176527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元，住房公积金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107088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元）；以及中途补充就业上级专项资金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6294313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元（其他人力资源经费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24400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元，职业培训补贴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1258000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，就业见习补贴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410000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元，其它就业补助资金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4601913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元，追加人员经费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195438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元，行政事业单位离退休费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3445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元）。全年支出严格按预算数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100%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执行，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2017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年部门决算数与预算数一致。</w:t>
      </w:r>
    </w:p>
    <w:p w:rsidR="00EB1ECA" w:rsidRDefault="000A06B2">
      <w:pPr>
        <w:topLinePunct/>
        <w:ind w:firstLineChars="250" w:firstLine="790"/>
        <w:rPr>
          <w:rFonts w:ascii="楷体" w:eastAsia="楷体" w:hAnsi="楷体"/>
        </w:rPr>
      </w:pPr>
      <w:r>
        <w:rPr>
          <w:rFonts w:ascii="楷体" w:eastAsia="楷体" w:hAnsi="楷体" w:cs="楷体" w:hint="eastAsia"/>
        </w:rPr>
        <w:t>（六）政府采购情况。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2017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年嵩明县劳动就业服务局申请核销固定资产一批，价值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133903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元，已经县财政批复同意。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2017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年申请新购入固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定资产一批，经县政府批准同意采买，价值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49530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元，现固定资产已全部采购到位，资产已全部入帐。</w:t>
      </w:r>
    </w:p>
    <w:p w:rsidR="00EB1ECA" w:rsidRDefault="000A06B2">
      <w:pPr>
        <w:topLinePunct/>
        <w:ind w:firstLineChars="250" w:firstLine="790"/>
        <w:rPr>
          <w:rFonts w:ascii="楷体" w:eastAsia="楷体" w:hAnsi="楷体"/>
        </w:rPr>
      </w:pPr>
      <w:r>
        <w:rPr>
          <w:rFonts w:ascii="楷体" w:eastAsia="楷体" w:hAnsi="楷体" w:cs="楷体" w:hint="eastAsia"/>
        </w:rPr>
        <w:t>（七）固定资产情况。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lastRenderedPageBreak/>
        <w:t>嵩明县劳动就业服务局截止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2017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年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12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月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31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日，本单位实有固定资产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84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件总价值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2013769.99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元，包括：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1.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实有非经营性房屋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处共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1617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平方米，资产总额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1804739.99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元，其中包括坐落于黄龙大街人社局办公区，面积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1592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平方米，价值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1772338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元的办公用房，以及坐落于南岔街老人社局内，面积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25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平米，价值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32101.99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元的职工柴火房；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2.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其他固定资产（办公计算机、打印机、档案柜、桌椅等办公通用设备和家具用具）共计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82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件，价值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209030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元。</w:t>
      </w:r>
    </w:p>
    <w:p w:rsidR="00EB1ECA" w:rsidRDefault="000A06B2">
      <w:pPr>
        <w:topLinePunct/>
        <w:ind w:firstLineChars="250" w:firstLine="790"/>
        <w:rPr>
          <w:rFonts w:ascii="黑体" w:eastAsia="黑体" w:hAnsi="黑体"/>
          <w:color w:val="000000" w:themeColor="text1"/>
        </w:rPr>
      </w:pPr>
      <w:r>
        <w:rPr>
          <w:rFonts w:ascii="黑体" w:eastAsia="黑体" w:hAnsi="黑体" w:cs="黑体" w:hint="eastAsia"/>
          <w:color w:val="000000" w:themeColor="text1"/>
        </w:rPr>
        <w:t>二、绩效目标</w:t>
      </w:r>
    </w:p>
    <w:p w:rsidR="00EB1ECA" w:rsidRDefault="000A06B2">
      <w:pPr>
        <w:topLinePunct/>
        <w:ind w:firstLineChars="250" w:firstLine="790"/>
        <w:rPr>
          <w:rFonts w:ascii="楷体" w:eastAsia="楷体" w:hAnsi="楷体"/>
          <w:color w:val="000000" w:themeColor="text1"/>
        </w:rPr>
      </w:pPr>
      <w:r>
        <w:rPr>
          <w:rFonts w:ascii="楷体" w:eastAsia="楷体" w:hAnsi="楷体" w:cs="楷体" w:hint="eastAsia"/>
          <w:color w:val="000000" w:themeColor="text1"/>
        </w:rPr>
        <w:t>（一）部门总目标</w:t>
      </w:r>
    </w:p>
    <w:p w:rsidR="00EB1ECA" w:rsidRDefault="000A06B2">
      <w:pPr>
        <w:topLinePunct/>
        <w:ind w:firstLineChars="250" w:firstLine="790"/>
        <w:rPr>
          <w:rFonts w:cs="仿宋_GB2312"/>
          <w:color w:val="000000" w:themeColor="text1"/>
        </w:rPr>
      </w:pPr>
      <w:r>
        <w:rPr>
          <w:rFonts w:cs="仿宋_GB2312" w:hint="eastAsia"/>
          <w:color w:val="000000" w:themeColor="text1"/>
        </w:rPr>
        <w:t>紧紧围绕</w:t>
      </w:r>
      <w:r>
        <w:rPr>
          <w:color w:val="000000" w:themeColor="text1"/>
        </w:rPr>
        <w:t>“</w:t>
      </w:r>
      <w:r>
        <w:rPr>
          <w:rFonts w:cs="仿宋_GB2312" w:hint="eastAsia"/>
          <w:color w:val="000000" w:themeColor="text1"/>
        </w:rPr>
        <w:t>劳动者自主择业、市场调节就业、政府促进就业和鼓励创业</w:t>
      </w:r>
      <w:r>
        <w:rPr>
          <w:color w:val="000000" w:themeColor="text1"/>
        </w:rPr>
        <w:t>”</w:t>
      </w:r>
      <w:r>
        <w:rPr>
          <w:rFonts w:cs="仿宋_GB2312" w:hint="eastAsia"/>
          <w:color w:val="000000" w:themeColor="text1"/>
        </w:rPr>
        <w:t>的工作方针，贯彻落实国家、省、市关于做好新形势下就业创业工作的决策部署，以稳定和扩大就业为目标，以落实就业创业政策为主线，以强化就业服务为手段，以帮助困难群体就业为重点，多渠道多层次促进城乡充分就业。</w:t>
      </w:r>
    </w:p>
    <w:p w:rsidR="00EB1ECA" w:rsidRDefault="000A06B2">
      <w:pPr>
        <w:topLinePunct/>
        <w:rPr>
          <w:rFonts w:ascii="楷体" w:eastAsia="楷体" w:hAnsi="楷体"/>
        </w:rPr>
      </w:pPr>
      <w:r>
        <w:rPr>
          <w:rFonts w:cs="仿宋_GB2312" w:hint="eastAsia"/>
          <w:color w:val="000000" w:themeColor="text1"/>
        </w:rPr>
        <w:t xml:space="preserve">     </w:t>
      </w:r>
      <w:r>
        <w:rPr>
          <w:rFonts w:ascii="楷体" w:eastAsia="楷体" w:hAnsi="楷体" w:cs="楷体" w:hint="eastAsia"/>
        </w:rPr>
        <w:t>（二）部门项目具体目标计划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2017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年，市级下达我县就业再就业目标任务如下：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 xml:space="preserve">1. 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就业再就业工作方面：全县提供有效就业岗位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2000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个，城镇新增就业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2000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人，开发公益性岗位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350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个，新增高校毕业生就业见习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80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人，截止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2017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年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12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月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31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日，全年目标任务圆满完成。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lastRenderedPageBreak/>
        <w:t xml:space="preserve">2. 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创业促就业工作方面：创业担保贷款扶持创业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260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人，“贷免扶补”扶持创业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110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人，已完成全年工作目标任务。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 xml:space="preserve">3. 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失业保险工作方面。全县失业保险参保人数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1.7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万人，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100%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完成任务。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（三）整体支出目标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严格按照人员编制、部门具体业务编制预算，并按预算落实全年支出，保证职工各项经费按时发放，就业专项资金落实到位，确保预算支出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百分百执行。</w:t>
      </w:r>
    </w:p>
    <w:p w:rsidR="00EB1ECA" w:rsidRDefault="000A06B2">
      <w:pPr>
        <w:topLinePunct/>
        <w:ind w:firstLineChars="250" w:firstLine="790"/>
        <w:rPr>
          <w:rFonts w:ascii="黑体" w:eastAsia="黑体" w:hAnsi="黑体"/>
        </w:rPr>
      </w:pPr>
      <w:r>
        <w:rPr>
          <w:rFonts w:ascii="黑体" w:eastAsia="黑体" w:hAnsi="黑体" w:cs="黑体" w:hint="eastAsia"/>
        </w:rPr>
        <w:t>三、评价思路和过程</w:t>
      </w:r>
    </w:p>
    <w:p w:rsidR="00EB1ECA" w:rsidRDefault="000A06B2">
      <w:pPr>
        <w:topLinePunct/>
        <w:ind w:firstLineChars="250" w:firstLine="790"/>
        <w:rPr>
          <w:rFonts w:ascii="仿宋_GB2312" w:hAnsi="楷体"/>
        </w:rPr>
      </w:pPr>
      <w:r>
        <w:rPr>
          <w:rFonts w:ascii="楷体" w:eastAsia="楷体" w:hAnsi="楷体" w:cs="楷体" w:hint="eastAsia"/>
        </w:rPr>
        <w:t>（一）评价思路：</w:t>
      </w:r>
      <w:r>
        <w:rPr>
          <w:rFonts w:ascii="仿宋_GB2312" w:hAnsi="楷体" w:cs="仿宋_GB2312" w:hint="eastAsia"/>
        </w:rPr>
        <w:t>确认当年度部门整体支出的绩效目标→梳理部门内容管理制度及存量资源→分析确定当年度部门整体支出的评价重点→构建绩效评价指标体系。</w:t>
      </w:r>
    </w:p>
    <w:p w:rsidR="00EB1ECA" w:rsidRDefault="000A06B2">
      <w:pPr>
        <w:adjustRightInd w:val="0"/>
        <w:ind w:firstLineChars="200" w:firstLine="632"/>
        <w:rPr>
          <w:sz w:val="28"/>
          <w:szCs w:val="28"/>
        </w:rPr>
      </w:pPr>
      <w:r>
        <w:rPr>
          <w:rFonts w:ascii="楷体" w:eastAsia="楷体" w:hAnsi="楷体" w:cs="楷体" w:hint="eastAsia"/>
        </w:rPr>
        <w:t>（二）评价目的：</w:t>
      </w:r>
      <w:r>
        <w:rPr>
          <w:rFonts w:cs="仿宋_GB2312" w:hint="eastAsia"/>
          <w:color w:val="000000"/>
          <w:kern w:val="0"/>
        </w:rPr>
        <w:t>通过收集部门（单位）基本情况、预算制定与明细、部门中长期规划目标及组织架构等信息，分析部门（单位）资源配置的合理性及中长期规划目标完成与履职情况，总结经验做法，找出预算绩效管理中的薄弱环节，提出改进建议，提高财政资金的使用效益。</w:t>
      </w:r>
    </w:p>
    <w:p w:rsidR="00EB1ECA" w:rsidRDefault="000A06B2">
      <w:pPr>
        <w:topLinePunct/>
        <w:ind w:firstLineChars="250" w:firstLine="790"/>
        <w:rPr>
          <w:rFonts w:ascii="楷体" w:eastAsia="楷体" w:hAnsi="楷体"/>
        </w:rPr>
      </w:pPr>
      <w:r>
        <w:rPr>
          <w:rFonts w:ascii="楷体" w:eastAsia="楷体" w:hAnsi="楷体" w:cs="楷体" w:hint="eastAsia"/>
        </w:rPr>
        <w:t>（三）评价依据。</w:t>
      </w:r>
    </w:p>
    <w:p w:rsidR="00EB1ECA" w:rsidRDefault="000A06B2">
      <w:pPr>
        <w:adjustRightInd w:val="0"/>
        <w:ind w:firstLineChars="200" w:firstLine="632"/>
        <w:rPr>
          <w:rFonts w:cs="仿宋_GB2312"/>
          <w:color w:val="000000"/>
          <w:kern w:val="0"/>
        </w:rPr>
      </w:pPr>
      <w:r>
        <w:rPr>
          <w:rFonts w:cs="仿宋_GB2312" w:hint="eastAsia"/>
          <w:color w:val="000000"/>
          <w:kern w:val="0"/>
        </w:rPr>
        <w:t>根据嵩明县财政局《关于</w:t>
      </w:r>
      <w:r>
        <w:rPr>
          <w:rFonts w:cs="仿宋_GB2312" w:hint="eastAsia"/>
          <w:color w:val="000000"/>
          <w:kern w:val="0"/>
        </w:rPr>
        <w:t>2017</w:t>
      </w:r>
      <w:r>
        <w:rPr>
          <w:rFonts w:cs="仿宋_GB2312" w:hint="eastAsia"/>
          <w:color w:val="000000"/>
          <w:kern w:val="0"/>
        </w:rPr>
        <w:t>年开展财政资金支出绩效运行跟踪监控的通知》（嵩财绩</w:t>
      </w:r>
      <w:r>
        <w:rPr>
          <w:rFonts w:cs="仿宋_GB2312" w:hint="eastAsia"/>
          <w:color w:val="000000"/>
          <w:kern w:val="0"/>
        </w:rPr>
        <w:t>[2017]135</w:t>
      </w:r>
      <w:r>
        <w:rPr>
          <w:rFonts w:cs="仿宋_GB2312" w:hint="eastAsia"/>
          <w:color w:val="000000"/>
          <w:kern w:val="0"/>
        </w:rPr>
        <w:t>号）、《关于开展</w:t>
      </w:r>
      <w:r>
        <w:rPr>
          <w:rFonts w:cs="仿宋_GB2312" w:hint="eastAsia"/>
          <w:color w:val="000000"/>
          <w:kern w:val="0"/>
        </w:rPr>
        <w:t>2017</w:t>
      </w:r>
      <w:r>
        <w:rPr>
          <w:rFonts w:cs="仿宋_GB2312" w:hint="eastAsia"/>
          <w:color w:val="000000"/>
          <w:kern w:val="0"/>
        </w:rPr>
        <w:t>年度县级预算支出绩效自评工作的通知》（嵩财绩</w:t>
      </w:r>
      <w:r>
        <w:rPr>
          <w:rFonts w:cs="仿宋_GB2312" w:hint="eastAsia"/>
          <w:color w:val="000000"/>
          <w:kern w:val="0"/>
        </w:rPr>
        <w:t>[2018] 51</w:t>
      </w:r>
      <w:r>
        <w:rPr>
          <w:rFonts w:cs="仿宋_GB2312" w:hint="eastAsia"/>
          <w:color w:val="000000"/>
          <w:kern w:val="0"/>
        </w:rPr>
        <w:t>号）文件的要求，结合县财政</w:t>
      </w:r>
      <w:r>
        <w:rPr>
          <w:rFonts w:cs="仿宋_GB2312" w:hint="eastAsia"/>
          <w:color w:val="000000"/>
          <w:kern w:val="0"/>
        </w:rPr>
        <w:t>2017</w:t>
      </w:r>
      <w:r>
        <w:rPr>
          <w:rFonts w:cs="仿宋_GB2312" w:hint="eastAsia"/>
          <w:color w:val="000000"/>
          <w:kern w:val="0"/>
        </w:rPr>
        <w:t>年项目支出绩效自评共性指标体系</w:t>
      </w:r>
      <w:r>
        <w:rPr>
          <w:rFonts w:cs="仿宋_GB2312" w:hint="eastAsia"/>
          <w:color w:val="000000"/>
          <w:kern w:val="0"/>
        </w:rPr>
        <w:lastRenderedPageBreak/>
        <w:t>及佐证材料，为评价依据，深入开展</w:t>
      </w:r>
      <w:r>
        <w:rPr>
          <w:rFonts w:cs="仿宋_GB2312" w:hint="eastAsia"/>
          <w:color w:val="000000"/>
          <w:kern w:val="0"/>
        </w:rPr>
        <w:t>2017</w:t>
      </w:r>
      <w:r>
        <w:rPr>
          <w:rFonts w:cs="仿宋_GB2312" w:hint="eastAsia"/>
          <w:color w:val="000000"/>
          <w:kern w:val="0"/>
        </w:rPr>
        <w:t>年部门支出绩效自评工作。</w:t>
      </w:r>
    </w:p>
    <w:p w:rsidR="00EB1ECA" w:rsidRDefault="000A06B2">
      <w:pPr>
        <w:adjustRightInd w:val="0"/>
        <w:ind w:firstLineChars="200" w:firstLine="632"/>
        <w:rPr>
          <w:rFonts w:cs="仿宋_GB2312"/>
          <w:color w:val="000000"/>
          <w:kern w:val="0"/>
        </w:rPr>
      </w:pPr>
      <w:r>
        <w:rPr>
          <w:rFonts w:cs="仿宋_GB2312" w:hint="eastAsia"/>
          <w:color w:val="000000"/>
          <w:kern w:val="0"/>
        </w:rPr>
        <w:t>（四）评价对象及评价时段。</w:t>
      </w:r>
    </w:p>
    <w:p w:rsidR="00EB1ECA" w:rsidRDefault="000A06B2">
      <w:pPr>
        <w:adjustRightInd w:val="0"/>
        <w:ind w:firstLineChars="200" w:firstLine="632"/>
        <w:rPr>
          <w:rFonts w:cs="仿宋_GB2312"/>
          <w:color w:val="000000"/>
          <w:kern w:val="0"/>
        </w:rPr>
      </w:pPr>
      <w:r>
        <w:rPr>
          <w:rFonts w:cs="仿宋_GB2312" w:hint="eastAsia"/>
          <w:color w:val="000000"/>
          <w:kern w:val="0"/>
        </w:rPr>
        <w:t>对</w:t>
      </w:r>
      <w:r>
        <w:rPr>
          <w:rFonts w:cs="仿宋_GB2312" w:hint="eastAsia"/>
          <w:color w:val="000000"/>
          <w:kern w:val="0"/>
        </w:rPr>
        <w:t>2017</w:t>
      </w:r>
      <w:r>
        <w:rPr>
          <w:rFonts w:cs="仿宋_GB2312" w:hint="eastAsia"/>
          <w:color w:val="000000"/>
          <w:kern w:val="0"/>
        </w:rPr>
        <w:t>年全年纳入县级部门预算、部门决算管理的全部资金实施绩效自评，在此基础上形成自评报告。</w:t>
      </w:r>
    </w:p>
    <w:p w:rsidR="00EB1ECA" w:rsidRDefault="000A06B2">
      <w:pPr>
        <w:topLinePunct/>
        <w:ind w:firstLineChars="250" w:firstLine="790"/>
        <w:rPr>
          <w:rFonts w:ascii="黑体" w:eastAsia="黑体" w:hAnsi="黑体"/>
        </w:rPr>
      </w:pPr>
      <w:r>
        <w:rPr>
          <w:rFonts w:ascii="黑体" w:eastAsia="黑体" w:hAnsi="黑体" w:cs="黑体" w:hint="eastAsia"/>
        </w:rPr>
        <w:t>四、评价结论和绩效分析</w:t>
      </w:r>
    </w:p>
    <w:p w:rsidR="00EB1ECA" w:rsidRDefault="000A06B2">
      <w:pPr>
        <w:topLinePunct/>
        <w:ind w:firstLineChars="250" w:firstLine="790"/>
        <w:rPr>
          <w:rFonts w:ascii="楷体" w:eastAsia="楷体" w:hAnsi="楷体"/>
        </w:rPr>
      </w:pPr>
      <w:r>
        <w:rPr>
          <w:rFonts w:ascii="楷体" w:eastAsia="楷体" w:hAnsi="楷体" w:cs="楷体" w:hint="eastAsia"/>
        </w:rPr>
        <w:t>（一）评价结论。</w:t>
      </w:r>
    </w:p>
    <w:p w:rsidR="00EB1ECA" w:rsidRDefault="000A06B2">
      <w:pPr>
        <w:topLinePunct/>
        <w:ind w:firstLineChars="250" w:firstLine="790"/>
        <w:rPr>
          <w:rFonts w:ascii="仿宋" w:eastAsia="仿宋" w:hAnsi="仿宋"/>
        </w:rPr>
      </w:pPr>
      <w:r>
        <w:rPr>
          <w:rFonts w:ascii="仿宋" w:eastAsia="仿宋" w:hAnsi="仿宋" w:cs="仿宋"/>
        </w:rPr>
        <w:t>1.</w:t>
      </w:r>
      <w:r>
        <w:rPr>
          <w:rFonts w:ascii="仿宋" w:eastAsia="仿宋" w:hAnsi="仿宋" w:cs="仿宋" w:hint="eastAsia"/>
        </w:rPr>
        <w:t>评价结果。</w:t>
      </w:r>
    </w:p>
    <w:p w:rsidR="00EB1ECA" w:rsidRDefault="000A06B2">
      <w:pPr>
        <w:topLinePunct/>
        <w:ind w:firstLineChars="250" w:firstLine="790"/>
        <w:rPr>
          <w:rFonts w:cs="仿宋_GB2312"/>
          <w:color w:val="000000"/>
          <w:kern w:val="0"/>
        </w:rPr>
      </w:pPr>
      <w:r>
        <w:rPr>
          <w:rFonts w:ascii="仿宋" w:eastAsia="仿宋" w:hAnsi="仿宋" w:cs="仿宋"/>
        </w:rPr>
        <w:t>2</w:t>
      </w:r>
      <w:r>
        <w:rPr>
          <w:rFonts w:cs="仿宋_GB2312" w:hint="eastAsia"/>
          <w:color w:val="000000"/>
          <w:kern w:val="0"/>
        </w:rPr>
        <w:t>017</w:t>
      </w:r>
      <w:r>
        <w:rPr>
          <w:rFonts w:cs="仿宋_GB2312" w:hint="eastAsia"/>
          <w:color w:val="000000"/>
          <w:kern w:val="0"/>
        </w:rPr>
        <w:t>年我局根</w:t>
      </w:r>
      <w:r>
        <w:rPr>
          <w:rFonts w:cs="仿宋_GB2312" w:hint="eastAsia"/>
          <w:color w:val="000000"/>
          <w:kern w:val="0"/>
        </w:rPr>
        <w:t>据年初工作计划和重点性工作，围绕市、县级政府下达的目标任务，按时按质完成了各项工作任务。通过加强预算收支管理，和收支绩效动态评价。通过不断建立、健全绩效管理制度，梳理内部管理流程，部门整体支出管理情况得到提升。根据部门整体支出绩效评价指标体系，本单位</w:t>
      </w:r>
      <w:r>
        <w:rPr>
          <w:rFonts w:cs="仿宋_GB2312" w:hint="eastAsia"/>
          <w:color w:val="000000"/>
          <w:kern w:val="0"/>
        </w:rPr>
        <w:t>2017</w:t>
      </w:r>
      <w:r>
        <w:rPr>
          <w:rFonts w:cs="仿宋_GB2312" w:hint="eastAsia"/>
          <w:color w:val="000000"/>
          <w:kern w:val="0"/>
        </w:rPr>
        <w:t>年度部门整体支出绩效自评为</w:t>
      </w:r>
      <w:r>
        <w:rPr>
          <w:rFonts w:cs="仿宋_GB2312" w:hint="eastAsia"/>
          <w:color w:val="000000"/>
          <w:kern w:val="0"/>
        </w:rPr>
        <w:t>99</w:t>
      </w:r>
      <w:r>
        <w:rPr>
          <w:rFonts w:cs="仿宋_GB2312" w:hint="eastAsia"/>
          <w:color w:val="000000"/>
          <w:kern w:val="0"/>
        </w:rPr>
        <w:t>分</w:t>
      </w:r>
    </w:p>
    <w:p w:rsidR="00EB1ECA" w:rsidRDefault="000A06B2">
      <w:pPr>
        <w:topLinePunct/>
        <w:ind w:firstLineChars="250" w:firstLine="790"/>
        <w:rPr>
          <w:rFonts w:ascii="仿宋_GB2312" w:hAnsi="仿宋"/>
        </w:rPr>
      </w:pPr>
      <w:r>
        <w:rPr>
          <w:rFonts w:ascii="仿宋_GB2312" w:hAnsi="仿宋" w:cs="仿宋_GB2312"/>
        </w:rPr>
        <w:t>2.</w:t>
      </w:r>
      <w:r>
        <w:rPr>
          <w:rFonts w:ascii="仿宋_GB2312" w:hAnsi="仿宋" w:cs="仿宋_GB2312" w:hint="eastAsia"/>
        </w:rPr>
        <w:t>主要绩效。</w:t>
      </w:r>
    </w:p>
    <w:p w:rsidR="00EB1ECA" w:rsidRDefault="000A06B2">
      <w:pPr>
        <w:topLinePunct/>
        <w:ind w:firstLineChars="250" w:firstLine="790"/>
        <w:rPr>
          <w:rFonts w:ascii="仿宋_GB2312" w:hAnsi="仿宋"/>
        </w:rPr>
      </w:pPr>
      <w:r>
        <w:rPr>
          <w:rFonts w:ascii="仿宋_GB2312" w:hAnsi="仿宋" w:cs="仿宋_GB2312" w:hint="eastAsia"/>
        </w:rPr>
        <w:t>（</w:t>
      </w:r>
      <w:r>
        <w:rPr>
          <w:rFonts w:ascii="仿宋_GB2312" w:hAnsi="仿宋" w:cs="仿宋_GB2312"/>
        </w:rPr>
        <w:t>1</w:t>
      </w:r>
      <w:r>
        <w:rPr>
          <w:rFonts w:ascii="仿宋_GB2312" w:hAnsi="仿宋" w:cs="仿宋_GB2312" w:hint="eastAsia"/>
        </w:rPr>
        <w:t>）资源配置合理：全年各项支出预算合理，如实根据基本预算标准及编制人数，编制人员经费和办公经费，全年按时足额发放职工工资福利待遇，按时缴纳各项社会保险，在</w:t>
      </w:r>
      <w:r>
        <w:rPr>
          <w:rFonts w:ascii="仿宋_GB2312" w:cs="仿宋_GB2312" w:hint="eastAsia"/>
        </w:rPr>
        <w:t>本着励行节约、压缩一般性支出的要求之下，合理安排办公资源，办公经费保障充足。</w:t>
      </w:r>
    </w:p>
    <w:p w:rsidR="00EB1ECA" w:rsidRDefault="000A06B2">
      <w:pPr>
        <w:topLinePunct/>
        <w:ind w:firstLineChars="250" w:firstLine="790"/>
        <w:rPr>
          <w:rFonts w:ascii="仿宋_GB2312"/>
        </w:rPr>
      </w:pPr>
      <w:r>
        <w:rPr>
          <w:rFonts w:ascii="仿宋_GB2312" w:hAnsi="仿宋" w:cs="仿宋_GB2312" w:hint="eastAsia"/>
        </w:rPr>
        <w:t>（</w:t>
      </w:r>
      <w:r>
        <w:rPr>
          <w:rFonts w:ascii="仿宋_GB2312" w:hAnsi="仿宋" w:cs="仿宋_GB2312"/>
        </w:rPr>
        <w:t>2</w:t>
      </w:r>
      <w:r>
        <w:rPr>
          <w:rFonts w:ascii="仿宋_GB2312" w:hAnsi="仿宋" w:cs="仿宋_GB2312" w:hint="eastAsia"/>
        </w:rPr>
        <w:t>）预算管理规范，预算执行率高：全年支出总额控制在预算总额以内，部门基本支出本年决算数与预算数比率</w:t>
      </w:r>
      <w:r>
        <w:rPr>
          <w:rFonts w:ascii="仿宋_GB2312" w:hAnsi="仿宋" w:cs="仿宋_GB2312"/>
        </w:rPr>
        <w:t>100%</w:t>
      </w:r>
      <w:r>
        <w:rPr>
          <w:rFonts w:ascii="仿宋_GB2312" w:hAnsi="仿宋" w:cs="仿宋_GB2312" w:hint="eastAsia"/>
        </w:rPr>
        <w:t>；</w:t>
      </w:r>
      <w:r>
        <w:rPr>
          <w:rFonts w:ascii="仿宋_GB2312" w:hAnsi="仿宋" w:cs="仿宋_GB2312" w:hint="eastAsia"/>
        </w:rPr>
        <w:lastRenderedPageBreak/>
        <w:t>无截留或滞留资金情况。</w:t>
      </w:r>
      <w:r>
        <w:rPr>
          <w:rFonts w:ascii="仿宋_GB2312" w:cs="仿宋_GB2312"/>
        </w:rPr>
        <w:t>2017</w:t>
      </w:r>
      <w:r>
        <w:rPr>
          <w:rFonts w:ascii="仿宋_GB2312" w:cs="仿宋_GB2312" w:hint="eastAsia"/>
        </w:rPr>
        <w:t>年“三公”经费支出</w:t>
      </w:r>
      <w:r>
        <w:rPr>
          <w:rFonts w:ascii="仿宋_GB2312" w:cs="仿宋_GB2312"/>
        </w:rPr>
        <w:t>3630</w:t>
      </w:r>
      <w:r>
        <w:rPr>
          <w:rFonts w:ascii="仿宋_GB2312" w:cs="仿宋_GB2312" w:hint="eastAsia"/>
        </w:rPr>
        <w:t>元，上年度“三公”经费支出</w:t>
      </w:r>
      <w:r>
        <w:rPr>
          <w:rFonts w:ascii="仿宋_GB2312" w:cs="仿宋_GB2312"/>
        </w:rPr>
        <w:t>35724</w:t>
      </w:r>
      <w:r>
        <w:rPr>
          <w:rFonts w:ascii="仿宋_GB2312" w:cs="仿宋_GB2312" w:hint="eastAsia"/>
        </w:rPr>
        <w:t>元，“三公”经费控制率</w:t>
      </w:r>
      <w:r>
        <w:rPr>
          <w:rFonts w:ascii="仿宋_GB2312" w:cs="仿宋_GB2312"/>
        </w:rPr>
        <w:t>10.16%</w:t>
      </w:r>
      <w:r>
        <w:rPr>
          <w:rFonts w:ascii="仿宋_GB2312" w:cs="仿宋_GB2312" w:hint="eastAsia"/>
        </w:rPr>
        <w:t>；根据年中预算执行情况，及时按规定进行预算调整</w:t>
      </w:r>
    </w:p>
    <w:p w:rsidR="00EB1ECA" w:rsidRDefault="000A06B2">
      <w:pPr>
        <w:topLinePunct/>
        <w:ind w:firstLineChars="250" w:firstLine="790"/>
        <w:rPr>
          <w:rFonts w:ascii="仿宋_GB2312"/>
        </w:rPr>
      </w:pPr>
      <w:r>
        <w:rPr>
          <w:rFonts w:ascii="仿宋_GB2312" w:cs="仿宋_GB2312" w:hint="eastAsia"/>
        </w:rPr>
        <w:t>（</w:t>
      </w:r>
      <w:r>
        <w:rPr>
          <w:rFonts w:ascii="仿宋_GB2312" w:cs="仿宋_GB2312"/>
        </w:rPr>
        <w:t>3</w:t>
      </w:r>
      <w:r>
        <w:rPr>
          <w:rFonts w:ascii="仿宋_GB2312" w:cs="仿宋_GB2312" w:hint="eastAsia"/>
        </w:rPr>
        <w:t>）财务管理制度健全，财务监控有效，资金使用合理合规：我局严格按照县委、县政府出台的相关管理制度要求，坚持执行财务财经制度，严格执行大局制度的《财务管理规定》、《公务接待管理规定》、《差旅费、会议费、培训费管理规定》，合理合规进行全年部门各项支出。</w:t>
      </w:r>
    </w:p>
    <w:p w:rsidR="00EB1ECA" w:rsidRDefault="000A06B2">
      <w:pPr>
        <w:topLinePunct/>
        <w:ind w:firstLineChars="250" w:firstLine="790"/>
        <w:rPr>
          <w:rFonts w:ascii="仿宋" w:eastAsia="仿宋" w:hAnsi="仿宋"/>
        </w:rPr>
      </w:pPr>
      <w:r>
        <w:rPr>
          <w:rFonts w:ascii="楷体" w:eastAsia="楷体" w:hAnsi="楷体" w:cs="楷体" w:hint="eastAsia"/>
        </w:rPr>
        <w:t>（二）具体绩效分析。</w:t>
      </w:r>
      <w:r>
        <w:rPr>
          <w:rFonts w:ascii="仿宋" w:eastAsia="仿宋" w:hAnsi="仿宋" w:cs="仿宋" w:hint="eastAsia"/>
        </w:rPr>
        <w:t>对照绩效评价指标体系逐项进行分析、评价并打分。（详见附件</w:t>
      </w:r>
      <w:r>
        <w:rPr>
          <w:rFonts w:ascii="仿宋" w:eastAsia="仿宋" w:hAnsi="仿宋" w:cs="仿宋"/>
        </w:rPr>
        <w:t>2</w:t>
      </w:r>
      <w:r>
        <w:rPr>
          <w:rFonts w:ascii="仿宋" w:eastAsia="仿宋" w:hAnsi="仿宋" w:cs="仿宋" w:hint="eastAsia"/>
        </w:rPr>
        <w:t>）</w:t>
      </w:r>
    </w:p>
    <w:p w:rsidR="00EB1ECA" w:rsidRDefault="000A06B2">
      <w:pPr>
        <w:topLinePunct/>
        <w:ind w:firstLineChars="250" w:firstLine="790"/>
        <w:rPr>
          <w:rFonts w:ascii="黑体" w:eastAsia="黑体" w:hAnsi="黑体"/>
        </w:rPr>
      </w:pPr>
      <w:r>
        <w:rPr>
          <w:rFonts w:ascii="黑体" w:eastAsia="黑体" w:hAnsi="黑体" w:cs="黑体" w:hint="eastAsia"/>
        </w:rPr>
        <w:t>五、主要经验做法</w:t>
      </w:r>
    </w:p>
    <w:p w:rsidR="00EB1ECA" w:rsidRDefault="000A06B2">
      <w:pPr>
        <w:topLinePunct/>
        <w:ind w:firstLineChars="250" w:firstLine="790"/>
        <w:rPr>
          <w:rFonts w:ascii="仿宋_GB2312"/>
        </w:rPr>
      </w:pPr>
      <w:r>
        <w:rPr>
          <w:rFonts w:ascii="仿宋_GB2312" w:cs="仿宋_GB2312"/>
        </w:rPr>
        <w:t>1.</w:t>
      </w:r>
      <w:r>
        <w:rPr>
          <w:rFonts w:ascii="仿宋_GB2312" w:cs="仿宋_GB2312" w:hint="eastAsia"/>
        </w:rPr>
        <w:t>高度重视，全局参与：树立全局参与意识，让全局职工共同参与到支出绩效评价中来，在部门整体支出绩效自评指标设置上，充分考虑资金具体使用部门的意见，合理设置部门绩效目</w:t>
      </w:r>
      <w:r>
        <w:rPr>
          <w:rFonts w:ascii="仿宋_GB2312" w:cs="仿宋_GB2312" w:hint="eastAsia"/>
        </w:rPr>
        <w:t>标和部门绩效评价自评指标。</w:t>
      </w:r>
    </w:p>
    <w:p w:rsidR="00EB1ECA" w:rsidRDefault="000A06B2">
      <w:pPr>
        <w:topLinePunct/>
        <w:ind w:firstLineChars="250" w:firstLine="790"/>
        <w:rPr>
          <w:rFonts w:ascii="仿宋_GB2312"/>
        </w:rPr>
      </w:pPr>
      <w:r>
        <w:rPr>
          <w:rFonts w:ascii="仿宋_GB2312" w:cs="仿宋_GB2312"/>
        </w:rPr>
        <w:t>2.</w:t>
      </w:r>
      <w:r>
        <w:rPr>
          <w:rFonts w:ascii="仿宋_GB2312" w:cs="仿宋_GB2312" w:hint="eastAsia"/>
        </w:rPr>
        <w:t>健全制度，完善流程，落实责任：在绩效管理过程中，主动学习、积极交流，不断完善健全制度，规范绩效管理流程，落实责任，确保绩效管理落到实处。</w:t>
      </w:r>
    </w:p>
    <w:p w:rsidR="00EB1ECA" w:rsidRDefault="000A06B2">
      <w:pPr>
        <w:topLinePunct/>
        <w:ind w:firstLineChars="250" w:firstLine="790"/>
        <w:rPr>
          <w:rFonts w:ascii="黑体" w:eastAsia="黑体" w:hAnsi="黑体"/>
        </w:rPr>
      </w:pPr>
      <w:r>
        <w:rPr>
          <w:rFonts w:ascii="黑体" w:eastAsia="黑体" w:hAnsi="黑体" w:cs="黑体" w:hint="eastAsia"/>
        </w:rPr>
        <w:t>六、存在的问题</w:t>
      </w:r>
    </w:p>
    <w:p w:rsidR="00EB1ECA" w:rsidRDefault="000A06B2">
      <w:pPr>
        <w:pStyle w:val="a8"/>
        <w:widowControl/>
        <w:shd w:val="clear" w:color="auto" w:fill="FFFFFF"/>
        <w:spacing w:beforeAutospacing="0" w:afterAutospacing="0" w:line="560" w:lineRule="atLeast"/>
        <w:ind w:firstLine="600"/>
        <w:rPr>
          <w:rFonts w:ascii="仿宋_GB2312" w:eastAsia="仿宋_GB2312" w:hAnsi="Tahoma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部门整体支出绩效评价，有助于了解全年部门资金使用是否达到了预期目标、资金管理是否规范、资金使用是否有效，检验资金支出效率和效果。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2017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年全年嵩明县劳动就业服务局，严格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lastRenderedPageBreak/>
        <w:t>按照预算要求执行全年支出，并及时配合财政部门做好绩效管理，但仍然存在问题，主要包括：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1.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财务人员更换，全年收支情况难有一个全面、动态、及时地跟踪评价；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2.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绩效管理制度尚未健全，绩效评价指标还不够细化量化；</w:t>
      </w:r>
      <w:r>
        <w:rPr>
          <w:rFonts w:ascii="仿宋_GB2312" w:eastAsia="仿宋_GB2312" w:hAnsi="Tahoma" w:cs="仿宋_GB2312"/>
          <w:color w:val="000000"/>
          <w:sz w:val="32"/>
          <w:szCs w:val="32"/>
          <w:shd w:val="clear" w:color="auto" w:fill="FFFFFF"/>
        </w:rPr>
        <w:t>3.</w:t>
      </w:r>
      <w:r>
        <w:rPr>
          <w:rFonts w:ascii="仿宋_GB2312" w:eastAsia="仿宋_GB2312" w:hAnsi="Tahoma" w:cs="仿宋_GB2312" w:hint="eastAsia"/>
          <w:color w:val="000000"/>
          <w:sz w:val="32"/>
          <w:szCs w:val="32"/>
          <w:shd w:val="clear" w:color="auto" w:fill="FFFFFF"/>
        </w:rPr>
        <w:t>由于县级资金缺口较大，我局在全年职业培训补贴兑付工作上，难以及时按照省市级标准拨付职业培训学校培训费及鉴定费用。</w:t>
      </w:r>
    </w:p>
    <w:p w:rsidR="00EB1ECA" w:rsidRDefault="000A06B2">
      <w:pPr>
        <w:topLinePunct/>
        <w:ind w:firstLineChars="250" w:firstLine="790"/>
        <w:rPr>
          <w:rFonts w:ascii="黑体" w:eastAsia="黑体" w:hAnsi="黑体"/>
        </w:rPr>
      </w:pPr>
      <w:r>
        <w:rPr>
          <w:rFonts w:ascii="黑体" w:eastAsia="黑体" w:hAnsi="黑体" w:cs="黑体" w:hint="eastAsia"/>
        </w:rPr>
        <w:t>七、改进措施及建议</w:t>
      </w:r>
    </w:p>
    <w:p w:rsidR="00EB1ECA" w:rsidRDefault="000A06B2">
      <w:pPr>
        <w:ind w:firstLineChars="200" w:firstLine="632"/>
        <w:rPr>
          <w:rFonts w:ascii="仿宋_GB2312" w:hAnsi="Tahoma"/>
          <w:color w:val="000000"/>
          <w:kern w:val="0"/>
          <w:shd w:val="clear" w:color="auto" w:fill="FFFFFF"/>
        </w:rPr>
      </w:pPr>
      <w:r>
        <w:rPr>
          <w:rFonts w:ascii="仿宋_GB2312" w:hAnsi="Tahoma" w:cs="仿宋_GB2312"/>
          <w:color w:val="000000"/>
          <w:kern w:val="0"/>
          <w:shd w:val="clear" w:color="auto" w:fill="FFFFFF"/>
        </w:rPr>
        <w:t>1.</w:t>
      </w:r>
      <w:r>
        <w:rPr>
          <w:rFonts w:ascii="仿宋_GB2312" w:hAnsi="Tahoma" w:cs="仿宋_GB2312" w:hint="eastAsia"/>
          <w:color w:val="000000"/>
          <w:kern w:val="0"/>
          <w:shd w:val="clear" w:color="auto" w:fill="FFFFFF"/>
        </w:rPr>
        <w:t>稳定财务人员，确保全年收支使用情况能够及时、全面、动态地跟踪评价；</w:t>
      </w:r>
      <w:r>
        <w:rPr>
          <w:rFonts w:ascii="仿宋_GB2312" w:hAnsi="Tahoma" w:cs="仿宋_GB2312"/>
          <w:color w:val="000000"/>
          <w:kern w:val="0"/>
          <w:shd w:val="clear" w:color="auto" w:fill="FFFFFF"/>
        </w:rPr>
        <w:t>2.</w:t>
      </w:r>
      <w:r>
        <w:rPr>
          <w:rFonts w:ascii="仿宋_GB2312" w:hAnsi="Tahoma" w:cs="仿宋_GB2312" w:hint="eastAsia"/>
          <w:color w:val="000000"/>
          <w:kern w:val="0"/>
          <w:shd w:val="clear" w:color="auto" w:fill="FFFFFF"/>
        </w:rPr>
        <w:t>加强学习与经验交流，不断完善本单位绩效管理制度，量化和细化评价指标，使评价指标设置更加科学、合理，确保评价结果，特别是自评结果更加公正、准确；</w:t>
      </w:r>
      <w:r>
        <w:rPr>
          <w:rFonts w:ascii="仿宋_GB2312" w:hAnsi="Tahoma" w:cs="仿宋_GB2312"/>
          <w:color w:val="000000"/>
          <w:kern w:val="0"/>
          <w:shd w:val="clear" w:color="auto" w:fill="FFFFFF"/>
        </w:rPr>
        <w:t>3.</w:t>
      </w:r>
      <w:r>
        <w:rPr>
          <w:rFonts w:ascii="仿宋_GB2312" w:hAnsi="Tahoma" w:cs="仿宋_GB2312" w:hint="eastAsia"/>
          <w:color w:val="000000"/>
          <w:kern w:val="0"/>
          <w:shd w:val="clear" w:color="auto" w:fill="FFFFFF"/>
        </w:rPr>
        <w:t>根据县级财政实际情况，调整职业培训补贴拨付办法，在充分考虑各培训学校实际培训成本基础上，制定县级拨付标准</w:t>
      </w:r>
      <w:r>
        <w:rPr>
          <w:rFonts w:ascii="仿宋_GB2312" w:hAnsi="Tahoma" w:cs="仿宋_GB2312" w:hint="eastAsia"/>
          <w:color w:val="000000"/>
          <w:kern w:val="0"/>
          <w:shd w:val="clear" w:color="auto" w:fill="FFFFFF"/>
        </w:rPr>
        <w:t>，通过分批、多次的方式及时拨付职业培训补贴。</w:t>
      </w:r>
      <w:r>
        <w:rPr>
          <w:rFonts w:ascii="仿宋_GB2312" w:hAnsi="Tahoma" w:cs="仿宋_GB2312"/>
          <w:color w:val="000000"/>
          <w:kern w:val="0"/>
          <w:shd w:val="clear" w:color="auto" w:fill="FFFFFF"/>
        </w:rPr>
        <w:t>4.</w:t>
      </w:r>
      <w:r>
        <w:rPr>
          <w:rFonts w:ascii="仿宋_GB2312" w:hAnsi="Tahoma" w:cs="仿宋_GB2312" w:hint="eastAsia"/>
          <w:color w:val="000000"/>
          <w:kern w:val="0"/>
          <w:shd w:val="clear" w:color="auto" w:fill="FFFFFF"/>
        </w:rPr>
        <w:t>绩效目标修正建议：年度中出现的新要求和新工作</w:t>
      </w:r>
      <w:r>
        <w:rPr>
          <w:rFonts w:ascii="仿宋_GB2312" w:hAnsi="Tahoma" w:cs="仿宋_GB2312" w:hint="eastAsia"/>
          <w:color w:val="000000"/>
          <w:kern w:val="0"/>
          <w:shd w:val="clear" w:color="auto" w:fill="FFFFFF"/>
        </w:rPr>
        <w:t>未</w:t>
      </w:r>
      <w:r>
        <w:rPr>
          <w:rFonts w:ascii="仿宋_GB2312" w:hAnsi="Tahoma" w:cs="仿宋_GB2312" w:hint="eastAsia"/>
          <w:color w:val="000000"/>
          <w:kern w:val="0"/>
          <w:shd w:val="clear" w:color="auto" w:fill="FFFFFF"/>
        </w:rPr>
        <w:t>体现在年初预算绩效目标中，建议根据年度工作任务变化改变目标绩效，不断修正绩效的考核内容和要求。</w:t>
      </w:r>
    </w:p>
    <w:p w:rsidR="00EB1ECA" w:rsidRDefault="000A06B2">
      <w:pPr>
        <w:ind w:firstLineChars="200" w:firstLine="632"/>
        <w:rPr>
          <w:rFonts w:ascii="仿宋_GB2312" w:hAnsi="Tahoma" w:cs="仿宋_GB2312"/>
          <w:color w:val="000000"/>
          <w:kern w:val="0"/>
          <w:shd w:val="clear" w:color="auto" w:fill="FFFFFF"/>
        </w:rPr>
      </w:pPr>
      <w:r>
        <w:rPr>
          <w:rFonts w:ascii="仿宋_GB2312" w:hAnsi="Tahoma" w:cs="仿宋_GB2312"/>
          <w:color w:val="000000"/>
          <w:kern w:val="0"/>
          <w:shd w:val="clear" w:color="auto" w:fill="FFFFFF"/>
        </w:rPr>
        <w:t xml:space="preserve">                    </w:t>
      </w:r>
      <w:bookmarkStart w:id="0" w:name="_GoBack"/>
      <w:bookmarkEnd w:id="0"/>
      <w:r>
        <w:rPr>
          <w:rFonts w:ascii="仿宋_GB2312" w:hAnsi="Tahoma" w:cs="仿宋_GB2312"/>
          <w:color w:val="000000"/>
          <w:kern w:val="0"/>
          <w:shd w:val="clear" w:color="auto" w:fill="FFFFFF"/>
        </w:rPr>
        <w:t xml:space="preserve">             </w:t>
      </w:r>
    </w:p>
    <w:p w:rsidR="00EB1ECA" w:rsidRDefault="000A06B2">
      <w:pPr>
        <w:ind w:firstLineChars="200" w:firstLine="632"/>
        <w:rPr>
          <w:rFonts w:ascii="仿宋_GB2312" w:hAnsi="Tahoma"/>
          <w:color w:val="000000"/>
          <w:kern w:val="0"/>
          <w:shd w:val="clear" w:color="auto" w:fill="FFFFFF"/>
        </w:rPr>
      </w:pPr>
      <w:r>
        <w:rPr>
          <w:rFonts w:ascii="仿宋_GB2312" w:hAnsi="Tahoma" w:cs="仿宋_GB2312"/>
          <w:color w:val="000000"/>
          <w:kern w:val="0"/>
          <w:shd w:val="clear" w:color="auto" w:fill="FFFFFF"/>
        </w:rPr>
        <w:t xml:space="preserve">                               </w:t>
      </w:r>
      <w:r>
        <w:rPr>
          <w:rFonts w:ascii="仿宋_GB2312" w:hAnsi="Tahoma" w:cs="仿宋_GB2312" w:hint="eastAsia"/>
          <w:color w:val="000000"/>
          <w:kern w:val="0"/>
          <w:shd w:val="clear" w:color="auto" w:fill="FFFFFF"/>
        </w:rPr>
        <w:t>嵩明县劳动就业服务局</w:t>
      </w:r>
    </w:p>
    <w:p w:rsidR="00EB1ECA" w:rsidRDefault="000A06B2">
      <w:pPr>
        <w:ind w:firstLineChars="200" w:firstLine="632"/>
        <w:rPr>
          <w:rFonts w:ascii="仿宋_GB2312" w:hAnsi="Tahoma"/>
          <w:color w:val="000000"/>
          <w:kern w:val="0"/>
          <w:shd w:val="clear" w:color="auto" w:fill="FFFFFF"/>
        </w:rPr>
      </w:pPr>
      <w:r>
        <w:rPr>
          <w:rFonts w:ascii="仿宋_GB2312" w:hAnsi="Tahoma" w:cs="仿宋_GB2312"/>
          <w:color w:val="000000"/>
          <w:kern w:val="0"/>
          <w:shd w:val="clear" w:color="auto" w:fill="FFFFFF"/>
        </w:rPr>
        <w:t xml:space="preserve">                                 2018</w:t>
      </w:r>
      <w:r>
        <w:rPr>
          <w:rFonts w:ascii="仿宋_GB2312" w:hAnsi="Tahoma" w:cs="仿宋_GB2312" w:hint="eastAsia"/>
          <w:color w:val="000000"/>
          <w:kern w:val="0"/>
          <w:shd w:val="clear" w:color="auto" w:fill="FFFFFF"/>
        </w:rPr>
        <w:t>年</w:t>
      </w:r>
      <w:r>
        <w:rPr>
          <w:rFonts w:ascii="仿宋_GB2312" w:hAnsi="Tahoma" w:cs="仿宋_GB2312"/>
          <w:color w:val="000000"/>
          <w:kern w:val="0"/>
          <w:shd w:val="clear" w:color="auto" w:fill="FFFFFF"/>
        </w:rPr>
        <w:t>4</w:t>
      </w:r>
      <w:r>
        <w:rPr>
          <w:rFonts w:ascii="仿宋_GB2312" w:hAnsi="Tahoma" w:cs="仿宋_GB2312" w:hint="eastAsia"/>
          <w:color w:val="000000"/>
          <w:kern w:val="0"/>
          <w:shd w:val="clear" w:color="auto" w:fill="FFFFFF"/>
        </w:rPr>
        <w:t>月</w:t>
      </w:r>
      <w:r>
        <w:rPr>
          <w:rFonts w:ascii="仿宋_GB2312" w:hAnsi="Tahoma" w:cs="仿宋_GB2312"/>
          <w:color w:val="000000"/>
          <w:kern w:val="0"/>
          <w:shd w:val="clear" w:color="auto" w:fill="FFFFFF"/>
        </w:rPr>
        <w:t>20</w:t>
      </w:r>
      <w:r>
        <w:rPr>
          <w:rFonts w:ascii="仿宋_GB2312" w:hAnsi="Tahoma" w:cs="仿宋_GB2312" w:hint="eastAsia"/>
          <w:color w:val="000000"/>
          <w:kern w:val="0"/>
          <w:shd w:val="clear" w:color="auto" w:fill="FFFFFF"/>
        </w:rPr>
        <w:t>日</w:t>
      </w:r>
    </w:p>
    <w:p w:rsidR="00EB1ECA" w:rsidRDefault="00EB1ECA">
      <w:pPr>
        <w:jc w:val="center"/>
        <w:rPr>
          <w:rFonts w:ascii="方正小标宋_GBK" w:eastAsia="方正小标宋_GBK"/>
        </w:rPr>
      </w:pPr>
    </w:p>
    <w:p w:rsidR="00EB1ECA" w:rsidRDefault="00EB1ECA">
      <w:pPr>
        <w:jc w:val="center"/>
        <w:rPr>
          <w:rFonts w:ascii="方正小标宋_GBK" w:eastAsia="方正小标宋_GBK"/>
        </w:rPr>
      </w:pPr>
    </w:p>
    <w:p w:rsidR="00EB1ECA" w:rsidRDefault="00EB1ECA">
      <w:pPr>
        <w:jc w:val="center"/>
        <w:rPr>
          <w:rFonts w:ascii="方正小标宋_GBK" w:eastAsia="方正小标宋_GBK"/>
        </w:rPr>
      </w:pPr>
    </w:p>
    <w:p w:rsidR="00EB1ECA" w:rsidRDefault="00EB1ECA">
      <w:pPr>
        <w:jc w:val="center"/>
        <w:rPr>
          <w:rFonts w:ascii="方正小标宋_GBK" w:eastAsia="方正小标宋_GBK"/>
        </w:rPr>
      </w:pPr>
    </w:p>
    <w:p w:rsidR="00EB1ECA" w:rsidRDefault="00EB1ECA">
      <w:pPr>
        <w:jc w:val="center"/>
        <w:rPr>
          <w:rFonts w:ascii="方正小标宋_GBK" w:eastAsia="方正小标宋_GBK"/>
        </w:rPr>
      </w:pPr>
    </w:p>
    <w:p w:rsidR="00EB1ECA" w:rsidRDefault="00EB1ECA">
      <w:pPr>
        <w:jc w:val="center"/>
        <w:rPr>
          <w:rFonts w:ascii="方正小标宋_GBK" w:eastAsia="方正小标宋_GBK"/>
        </w:rPr>
      </w:pPr>
    </w:p>
    <w:p w:rsidR="00EB1ECA" w:rsidRDefault="00EB1ECA">
      <w:pPr>
        <w:jc w:val="center"/>
        <w:rPr>
          <w:rFonts w:ascii="方正小标宋_GBK" w:eastAsia="方正小标宋_GBK"/>
        </w:rPr>
      </w:pPr>
    </w:p>
    <w:p w:rsidR="00EB1ECA" w:rsidRDefault="00EB1ECA">
      <w:pPr>
        <w:jc w:val="center"/>
        <w:rPr>
          <w:rFonts w:ascii="方正小标宋_GBK" w:eastAsia="方正小标宋_GBK"/>
        </w:rPr>
      </w:pPr>
    </w:p>
    <w:p w:rsidR="00EB1ECA" w:rsidRDefault="00EB1ECA">
      <w:pPr>
        <w:jc w:val="center"/>
        <w:rPr>
          <w:rFonts w:ascii="方正小标宋_GBK" w:eastAsia="方正小标宋_GBK"/>
        </w:rPr>
      </w:pPr>
    </w:p>
    <w:p w:rsidR="00EB1ECA" w:rsidRDefault="00EB1ECA">
      <w:pPr>
        <w:jc w:val="center"/>
        <w:rPr>
          <w:rFonts w:ascii="方正小标宋_GBK" w:eastAsia="方正小标宋_GBK"/>
        </w:rPr>
      </w:pPr>
    </w:p>
    <w:p w:rsidR="00EB1ECA" w:rsidRDefault="000A06B2">
      <w:pPr>
        <w:jc w:val="center"/>
        <w:rPr>
          <w:rFonts w:ascii="方正小标宋_GBK" w:eastAsia="方正小标宋_GBK"/>
        </w:rPr>
      </w:pPr>
      <w:r>
        <w:rPr>
          <w:rFonts w:ascii="方正小标宋_GBK" w:eastAsia="方正小标宋_GBK" w:cs="方正小标宋_GBK" w:hint="eastAsia"/>
        </w:rPr>
        <w:t>绩效评价报告正文后需附以下佐证材料</w:t>
      </w:r>
    </w:p>
    <w:p w:rsidR="00EB1ECA" w:rsidRDefault="000A06B2">
      <w:pPr>
        <w:ind w:left="948" w:hangingChars="300" w:hanging="948"/>
        <w:jc w:val="left"/>
        <w:rPr>
          <w:rFonts w:ascii="仿宋_GB2312" w:hAnsi="仿宋"/>
        </w:rPr>
      </w:pPr>
      <w:r>
        <w:rPr>
          <w:rFonts w:ascii="仿宋_GB2312" w:hAnsi="仿宋" w:cs="仿宋_GB2312"/>
        </w:rPr>
        <w:t>1.</w:t>
      </w:r>
      <w:r>
        <w:rPr>
          <w:rFonts w:ascii="仿宋_GB2312" w:hAnsi="仿宋" w:cs="仿宋_GB2312" w:hint="eastAsia"/>
        </w:rPr>
        <w:t>成本效益分析报告（选取部分重点专项资金对其使用方向、资金收入和支出结构；项目和资金管理情况；使用效果；变化趋势等进行分析评价，总结经验、分析存在的问题）；</w:t>
      </w:r>
    </w:p>
    <w:p w:rsidR="00EB1ECA" w:rsidRDefault="000A06B2">
      <w:pPr>
        <w:ind w:left="948" w:hangingChars="300" w:hanging="948"/>
        <w:jc w:val="left"/>
        <w:rPr>
          <w:rFonts w:ascii="仿宋_GB2312" w:hAnsi="仿宋"/>
        </w:rPr>
      </w:pPr>
      <w:r>
        <w:rPr>
          <w:rFonts w:ascii="仿宋_GB2312" w:hAnsi="仿宋" w:cs="仿宋_GB2312"/>
        </w:rPr>
        <w:t>2.</w:t>
      </w:r>
      <w:r>
        <w:rPr>
          <w:rFonts w:ascii="仿宋_GB2312" w:hAnsi="仿宋" w:cs="仿宋_GB2312" w:hint="eastAsia"/>
        </w:rPr>
        <w:t>部门职能分解及</w:t>
      </w:r>
      <w:r>
        <w:rPr>
          <w:rFonts w:ascii="仿宋_GB2312" w:hAnsi="仿宋" w:cs="仿宋_GB2312"/>
        </w:rPr>
        <w:t>2017</w:t>
      </w:r>
      <w:r>
        <w:rPr>
          <w:rFonts w:ascii="仿宋_GB2312" w:hAnsi="仿宋" w:cs="仿宋_GB2312" w:hint="eastAsia"/>
        </w:rPr>
        <w:t>年度工作完成情况表；</w:t>
      </w:r>
    </w:p>
    <w:p w:rsidR="00EB1ECA" w:rsidRDefault="000A06B2">
      <w:pPr>
        <w:ind w:left="948" w:hangingChars="300" w:hanging="948"/>
        <w:jc w:val="left"/>
        <w:rPr>
          <w:rFonts w:ascii="仿宋_GB2312" w:hAnsi="仿宋"/>
        </w:rPr>
      </w:pPr>
      <w:r>
        <w:rPr>
          <w:rFonts w:ascii="仿宋_GB2312" w:hAnsi="仿宋" w:cs="仿宋_GB2312"/>
        </w:rPr>
        <w:t>3.</w:t>
      </w:r>
      <w:r>
        <w:rPr>
          <w:rFonts w:ascii="仿宋_GB2312" w:hAnsi="仿宋" w:cs="仿宋_GB2312" w:hint="eastAsia"/>
        </w:rPr>
        <w:t>绩效评价指标体系；</w:t>
      </w:r>
    </w:p>
    <w:p w:rsidR="00EB1ECA" w:rsidRDefault="000A06B2">
      <w:pPr>
        <w:ind w:left="948" w:hangingChars="300" w:hanging="948"/>
        <w:jc w:val="left"/>
        <w:rPr>
          <w:rFonts w:ascii="仿宋_GB2312" w:hAnsi="仿宋"/>
        </w:rPr>
      </w:pPr>
      <w:r>
        <w:rPr>
          <w:rFonts w:ascii="仿宋_GB2312" w:hAnsi="仿宋" w:cs="仿宋_GB2312"/>
        </w:rPr>
        <w:t>4.</w:t>
      </w:r>
      <w:r>
        <w:rPr>
          <w:rFonts w:ascii="仿宋_GB2312" w:hAnsi="仿宋" w:cs="仿宋_GB2312" w:hint="eastAsia"/>
        </w:rPr>
        <w:t>问卷调查报告；</w:t>
      </w:r>
    </w:p>
    <w:p w:rsidR="00EB1ECA" w:rsidRDefault="000A06B2" w:rsidP="00CF1C42">
      <w:pPr>
        <w:ind w:left="1579" w:hangingChars="500" w:hanging="1579"/>
        <w:jc w:val="left"/>
        <w:rPr>
          <w:rFonts w:ascii="仿宋_GB2312" w:hAnsi="仿宋"/>
        </w:rPr>
      </w:pPr>
      <w:r>
        <w:rPr>
          <w:rFonts w:ascii="仿宋_GB2312" w:hAnsi="仿宋" w:cs="仿宋_GB2312"/>
        </w:rPr>
        <w:t>5.</w:t>
      </w:r>
      <w:r>
        <w:rPr>
          <w:rFonts w:ascii="仿宋_GB2312" w:hAnsi="仿宋" w:cs="仿宋_GB2312" w:hint="eastAsia"/>
        </w:rPr>
        <w:t>工作底稿（每一个单项评分需附</w:t>
      </w:r>
      <w:r>
        <w:rPr>
          <w:rFonts w:ascii="仿宋_GB2312" w:hAnsi="仿宋" w:cs="仿宋_GB2312"/>
        </w:rPr>
        <w:t>1</w:t>
      </w:r>
      <w:r>
        <w:rPr>
          <w:rFonts w:ascii="仿宋_GB2312" w:hAnsi="仿宋" w:cs="仿宋_GB2312" w:hint="eastAsia"/>
        </w:rPr>
        <w:t>份工作底稿，工作底稿样式见附件</w:t>
      </w:r>
      <w:r>
        <w:rPr>
          <w:rFonts w:ascii="仿宋_GB2312" w:hAnsi="仿宋" w:cs="仿宋_GB2312"/>
        </w:rPr>
        <w:t>5</w:t>
      </w:r>
      <w:r>
        <w:rPr>
          <w:rFonts w:ascii="仿宋_GB2312" w:hAnsi="仿宋" w:cs="仿宋_GB2312" w:hint="eastAsia"/>
        </w:rPr>
        <w:t>）；</w:t>
      </w:r>
    </w:p>
    <w:p w:rsidR="00EB1ECA" w:rsidRDefault="000A06B2">
      <w:pPr>
        <w:ind w:left="948" w:hangingChars="300" w:hanging="948"/>
        <w:rPr>
          <w:rFonts w:ascii="仿宋_GB2312" w:hAnsi="仿宋"/>
        </w:rPr>
      </w:pPr>
      <w:r>
        <w:rPr>
          <w:rFonts w:ascii="仿宋_GB2312" w:hAnsi="仿宋" w:cs="仿宋_GB2312"/>
        </w:rPr>
        <w:t>6.</w:t>
      </w:r>
      <w:r>
        <w:rPr>
          <w:rFonts w:ascii="仿宋_GB2312" w:hAnsi="仿宋" w:cs="仿宋_GB2312" w:hint="eastAsia"/>
        </w:rPr>
        <w:t>①部门中长期规划目标、②县政府相关规划、</w:t>
      </w:r>
    </w:p>
    <w:p w:rsidR="00EB1ECA" w:rsidRDefault="000A06B2">
      <w:pPr>
        <w:ind w:leftChars="96" w:left="935" w:hangingChars="200" w:hanging="632"/>
        <w:rPr>
          <w:rFonts w:ascii="仿宋_GB2312" w:hAnsi="仿宋"/>
        </w:rPr>
      </w:pPr>
      <w:r>
        <w:rPr>
          <w:rFonts w:ascii="仿宋_GB2312" w:hAnsi="仿宋" w:cs="仿宋_GB2312" w:hint="eastAsia"/>
        </w:rPr>
        <w:t>③部门“三定”方案、④部门职能文件、</w:t>
      </w:r>
    </w:p>
    <w:p w:rsidR="00EB1ECA" w:rsidRDefault="000A06B2">
      <w:pPr>
        <w:ind w:leftChars="96" w:left="935" w:hangingChars="200" w:hanging="632"/>
        <w:rPr>
          <w:rFonts w:ascii="仿宋_GB2312" w:hAnsi="仿宋"/>
        </w:rPr>
      </w:pPr>
      <w:r>
        <w:rPr>
          <w:rFonts w:ascii="仿宋_GB2312" w:hAnsi="仿宋" w:cs="仿宋_GB2312" w:hint="eastAsia"/>
        </w:rPr>
        <w:t>⑤部门</w:t>
      </w:r>
      <w:r>
        <w:rPr>
          <w:rFonts w:ascii="仿宋_GB2312" w:hAnsi="仿宋" w:cs="仿宋_GB2312"/>
        </w:rPr>
        <w:t>2017</w:t>
      </w:r>
      <w:r>
        <w:rPr>
          <w:rFonts w:ascii="仿宋_GB2312" w:hAnsi="仿宋" w:cs="仿宋_GB2312" w:hint="eastAsia"/>
        </w:rPr>
        <w:t>年度工作目标、⑥部门</w:t>
      </w:r>
      <w:r>
        <w:rPr>
          <w:rFonts w:ascii="仿宋_GB2312" w:hAnsi="仿宋" w:cs="仿宋_GB2312"/>
        </w:rPr>
        <w:t>2017</w:t>
      </w:r>
      <w:r>
        <w:rPr>
          <w:rFonts w:ascii="仿宋_GB2312" w:hAnsi="仿宋" w:cs="仿宋_GB2312" w:hint="eastAsia"/>
        </w:rPr>
        <w:t>年度工作计划；</w:t>
      </w:r>
    </w:p>
    <w:p w:rsidR="00EB1ECA" w:rsidRDefault="000A06B2">
      <w:pPr>
        <w:ind w:left="948" w:hangingChars="300" w:hanging="948"/>
        <w:jc w:val="left"/>
        <w:rPr>
          <w:rFonts w:ascii="仿宋_GB2312" w:hAnsi="仿宋"/>
        </w:rPr>
      </w:pPr>
      <w:r>
        <w:rPr>
          <w:rFonts w:ascii="仿宋_GB2312" w:hAnsi="仿宋" w:cs="仿宋_GB2312"/>
        </w:rPr>
        <w:t>7.XXXX</w:t>
      </w:r>
      <w:r>
        <w:rPr>
          <w:rFonts w:ascii="仿宋_GB2312" w:hAnsi="仿宋" w:cs="仿宋_GB2312" w:hint="eastAsia"/>
        </w:rPr>
        <w:t>部门</w:t>
      </w:r>
      <w:r>
        <w:rPr>
          <w:rFonts w:ascii="仿宋_GB2312" w:hAnsi="仿宋" w:cs="仿宋_GB2312"/>
        </w:rPr>
        <w:t>2017</w:t>
      </w:r>
      <w:r>
        <w:rPr>
          <w:rFonts w:ascii="仿宋_GB2312" w:hAnsi="仿宋" w:cs="仿宋_GB2312" w:hint="eastAsia"/>
        </w:rPr>
        <w:t>年项目预算、决算明细表（单</w:t>
      </w:r>
      <w:r>
        <w:rPr>
          <w:rFonts w:ascii="仿宋_GB2312" w:hAnsi="仿宋" w:cs="仿宋_GB2312" w:hint="eastAsia"/>
        </w:rPr>
        <w:t>位：元）。</w:t>
      </w:r>
    </w:p>
    <w:p w:rsidR="00EB1ECA" w:rsidRDefault="000A06B2">
      <w:pPr>
        <w:spacing w:line="600" w:lineRule="exact"/>
        <w:rPr>
          <w:sz w:val="28"/>
          <w:szCs w:val="28"/>
        </w:rPr>
      </w:pPr>
      <w:r>
        <w:rPr>
          <w:rFonts w:eastAsia="黑体"/>
        </w:rPr>
        <w:br w:type="page"/>
      </w:r>
      <w:r>
        <w:rPr>
          <w:rFonts w:ascii="仿宋_GB2312" w:hAnsi="宋体" w:cs="仿宋_GB2312" w:hint="eastAsia"/>
          <w:b/>
          <w:bCs/>
          <w:kern w:val="0"/>
          <w:sz w:val="28"/>
          <w:szCs w:val="28"/>
        </w:rPr>
        <w:lastRenderedPageBreak/>
        <w:t>附件</w:t>
      </w:r>
      <w:r>
        <w:rPr>
          <w:rFonts w:ascii="仿宋_GB2312" w:hAnsi="宋体" w:cs="仿宋_GB2312"/>
          <w:b/>
          <w:bCs/>
          <w:kern w:val="0"/>
          <w:sz w:val="28"/>
          <w:szCs w:val="28"/>
        </w:rPr>
        <w:t>5:</w:t>
      </w:r>
      <w:bookmarkStart w:id="1" w:name="_Toc457922895"/>
      <w:r>
        <w:rPr>
          <w:rFonts w:ascii="仿宋_GB2312" w:hAnsi="宋体" w:cs="仿宋_GB2312" w:hint="eastAsia"/>
          <w:b/>
          <w:bCs/>
          <w:kern w:val="0"/>
          <w:sz w:val="28"/>
          <w:szCs w:val="28"/>
        </w:rPr>
        <w:t>工作底稿</w:t>
      </w:r>
      <w:bookmarkEnd w:id="1"/>
    </w:p>
    <w:tbl>
      <w:tblPr>
        <w:tblW w:w="93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0"/>
        <w:gridCol w:w="7622"/>
      </w:tblGrid>
      <w:tr w:rsidR="00EB1ECA">
        <w:trPr>
          <w:trHeight w:val="680"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1ECA" w:rsidRDefault="00EB1ECA">
            <w:pPr>
              <w:jc w:val="center"/>
              <w:rPr>
                <w:b/>
                <w:bCs/>
              </w:rPr>
            </w:pPr>
          </w:p>
          <w:p w:rsidR="00EB1ECA" w:rsidRDefault="000A0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A11“</w:t>
            </w:r>
            <w:bookmarkStart w:id="2" w:name="OLE_LINK2"/>
            <w:r>
              <w:rPr>
                <w:rFonts w:cs="仿宋_GB2312" w:hint="eastAsia"/>
                <w:b/>
                <w:bCs/>
              </w:rPr>
              <w:t>部门战略规划目标的明确性与合理</w:t>
            </w:r>
            <w:bookmarkEnd w:id="2"/>
            <w:r>
              <w:rPr>
                <w:rFonts w:cs="仿宋_GB2312" w:hint="eastAsia"/>
                <w:b/>
                <w:bCs/>
              </w:rPr>
              <w:t>性</w:t>
            </w:r>
            <w:r>
              <w:rPr>
                <w:b/>
                <w:bCs/>
              </w:rPr>
              <w:t>”</w:t>
            </w:r>
            <w:r>
              <w:rPr>
                <w:rFonts w:cs="仿宋_GB2312" w:hint="eastAsia"/>
                <w:b/>
                <w:bCs/>
              </w:rPr>
              <w:t>评价底稿</w:t>
            </w:r>
          </w:p>
        </w:tc>
      </w:tr>
      <w:tr w:rsidR="00EB1ECA"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1ECA" w:rsidRDefault="00EB1ECA">
            <w:pPr>
              <w:rPr>
                <w:sz w:val="28"/>
                <w:szCs w:val="28"/>
              </w:rPr>
            </w:pPr>
            <w:bookmarkStart w:id="3" w:name="OLE_LINK1" w:colFirst="0" w:colLast="0"/>
          </w:p>
          <w:p w:rsidR="00EB1ECA" w:rsidRDefault="000A06B2">
            <w:pPr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项目名称：嵩明县劳动就业服务局</w:t>
            </w:r>
            <w:r>
              <w:rPr>
                <w:sz w:val="28"/>
                <w:szCs w:val="28"/>
              </w:rPr>
              <w:t>2017</w:t>
            </w:r>
            <w:r>
              <w:rPr>
                <w:rFonts w:cs="仿宋_GB2312" w:hint="eastAsia"/>
                <w:sz w:val="28"/>
                <w:szCs w:val="28"/>
              </w:rPr>
              <w:t>年部门整体支出</w:t>
            </w:r>
          </w:p>
        </w:tc>
      </w:tr>
      <w:tr w:rsidR="00EB1ECA">
        <w:tc>
          <w:tcPr>
            <w:tcW w:w="932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EB1ECA" w:rsidRDefault="000A06B2">
            <w:pPr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评价机构：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cs="仿宋_GB2312" w:hint="eastAsia"/>
                <w:sz w:val="28"/>
                <w:szCs w:val="28"/>
              </w:rPr>
              <w:t>嵩明县劳动就业服务局</w:t>
            </w:r>
          </w:p>
        </w:tc>
      </w:tr>
      <w:bookmarkEnd w:id="3"/>
      <w:tr w:rsidR="00EB1ECA">
        <w:trPr>
          <w:trHeight w:val="1753"/>
        </w:trPr>
        <w:tc>
          <w:tcPr>
            <w:tcW w:w="1700" w:type="dxa"/>
            <w:vAlign w:val="center"/>
          </w:tcPr>
          <w:p w:rsidR="00EB1ECA" w:rsidRDefault="000A06B2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指标解释</w:t>
            </w:r>
          </w:p>
        </w:tc>
        <w:tc>
          <w:tcPr>
            <w:tcW w:w="7622" w:type="dxa"/>
            <w:vAlign w:val="center"/>
          </w:tcPr>
          <w:p w:rsidR="00EB1ECA" w:rsidRDefault="000A06B2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详见附件</w:t>
            </w:r>
            <w:r>
              <w:rPr>
                <w:sz w:val="28"/>
                <w:szCs w:val="28"/>
              </w:rPr>
              <w:t>2</w:t>
            </w:r>
          </w:p>
        </w:tc>
      </w:tr>
      <w:tr w:rsidR="00EB1ECA">
        <w:tc>
          <w:tcPr>
            <w:tcW w:w="1700" w:type="dxa"/>
            <w:vMerge w:val="restart"/>
            <w:vAlign w:val="center"/>
          </w:tcPr>
          <w:p w:rsidR="00EB1ECA" w:rsidRDefault="000A06B2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指标权重</w:t>
            </w:r>
          </w:p>
        </w:tc>
        <w:tc>
          <w:tcPr>
            <w:tcW w:w="7622" w:type="dxa"/>
            <w:vAlign w:val="center"/>
          </w:tcPr>
          <w:p w:rsidR="00EB1ECA" w:rsidRDefault="000A06B2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指标权重：分</w:t>
            </w:r>
          </w:p>
        </w:tc>
      </w:tr>
      <w:tr w:rsidR="00EB1ECA">
        <w:tc>
          <w:tcPr>
            <w:tcW w:w="1700" w:type="dxa"/>
            <w:vMerge/>
            <w:vAlign w:val="center"/>
          </w:tcPr>
          <w:p w:rsidR="00EB1ECA" w:rsidRDefault="00EB1ECA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622" w:type="dxa"/>
            <w:vAlign w:val="center"/>
          </w:tcPr>
          <w:p w:rsidR="00EB1ECA" w:rsidRDefault="000A06B2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指标权重设定的依据、理由：县财政共性指标和部门自身工作职能</w:t>
            </w:r>
          </w:p>
        </w:tc>
      </w:tr>
      <w:tr w:rsidR="00EB1ECA">
        <w:tc>
          <w:tcPr>
            <w:tcW w:w="1700" w:type="dxa"/>
            <w:vMerge w:val="restart"/>
            <w:vAlign w:val="center"/>
          </w:tcPr>
          <w:p w:rsidR="00EB1ECA" w:rsidRDefault="000A06B2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评价标准</w:t>
            </w:r>
          </w:p>
        </w:tc>
        <w:tc>
          <w:tcPr>
            <w:tcW w:w="7622" w:type="dxa"/>
            <w:vAlign w:val="center"/>
          </w:tcPr>
          <w:p w:rsidR="00EB1ECA" w:rsidRDefault="000A06B2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指标标杆值：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B1ECA">
        <w:trPr>
          <w:trHeight w:val="623"/>
        </w:trPr>
        <w:tc>
          <w:tcPr>
            <w:tcW w:w="1700" w:type="dxa"/>
            <w:vMerge/>
            <w:vAlign w:val="center"/>
          </w:tcPr>
          <w:p w:rsidR="00EB1ECA" w:rsidRDefault="00EB1ECA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622" w:type="dxa"/>
            <w:vAlign w:val="center"/>
          </w:tcPr>
          <w:p w:rsidR="00EB1ECA" w:rsidRDefault="000A06B2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指标标杆值依据：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B1ECA">
        <w:tc>
          <w:tcPr>
            <w:tcW w:w="1700" w:type="dxa"/>
            <w:vMerge/>
            <w:vAlign w:val="center"/>
          </w:tcPr>
          <w:p w:rsidR="00EB1ECA" w:rsidRDefault="00EB1ECA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622" w:type="dxa"/>
            <w:vAlign w:val="center"/>
          </w:tcPr>
          <w:p w:rsidR="00EB1ECA" w:rsidRDefault="000A06B2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指标评分细则：</w:t>
            </w:r>
            <w:r>
              <w:rPr>
                <w:sz w:val="28"/>
                <w:szCs w:val="28"/>
              </w:rPr>
              <w:t xml:space="preserve"> </w:t>
            </w:r>
          </w:p>
          <w:p w:rsidR="00EB1ECA" w:rsidRDefault="000A06B2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详见附件</w:t>
            </w:r>
            <w:r>
              <w:rPr>
                <w:sz w:val="28"/>
                <w:szCs w:val="28"/>
              </w:rPr>
              <w:t>2</w:t>
            </w:r>
          </w:p>
          <w:p w:rsidR="00EB1ECA" w:rsidRDefault="00EB1ECA">
            <w:pPr>
              <w:adjustRightInd w:val="0"/>
              <w:snapToGrid w:val="0"/>
              <w:rPr>
                <w:sz w:val="28"/>
                <w:szCs w:val="28"/>
              </w:rPr>
            </w:pPr>
          </w:p>
          <w:p w:rsidR="00EB1ECA" w:rsidRDefault="00EB1ECA">
            <w:pPr>
              <w:adjustRightInd w:val="0"/>
              <w:snapToGrid w:val="0"/>
              <w:rPr>
                <w:sz w:val="28"/>
                <w:szCs w:val="28"/>
              </w:rPr>
            </w:pPr>
          </w:p>
          <w:p w:rsidR="00EB1ECA" w:rsidRDefault="00EB1ECA">
            <w:pPr>
              <w:adjustRightInd w:val="0"/>
              <w:snapToGrid w:val="0"/>
              <w:rPr>
                <w:sz w:val="28"/>
                <w:szCs w:val="28"/>
              </w:rPr>
            </w:pPr>
          </w:p>
        </w:tc>
      </w:tr>
      <w:tr w:rsidR="00EB1ECA">
        <w:tc>
          <w:tcPr>
            <w:tcW w:w="1700" w:type="dxa"/>
            <w:vAlign w:val="center"/>
          </w:tcPr>
          <w:p w:rsidR="00EB1ECA" w:rsidRDefault="000A06B2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数据来源及取数方式</w:t>
            </w:r>
          </w:p>
        </w:tc>
        <w:tc>
          <w:tcPr>
            <w:tcW w:w="7622" w:type="dxa"/>
            <w:vAlign w:val="center"/>
          </w:tcPr>
          <w:p w:rsidR="00EB1ECA" w:rsidRDefault="000A06B2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部门预决算报表数据、问卷调查、部门考核数据</w:t>
            </w:r>
          </w:p>
        </w:tc>
      </w:tr>
      <w:tr w:rsidR="00EB1ECA">
        <w:tc>
          <w:tcPr>
            <w:tcW w:w="1700" w:type="dxa"/>
            <w:vMerge w:val="restart"/>
            <w:vAlign w:val="center"/>
          </w:tcPr>
          <w:p w:rsidR="00EB1ECA" w:rsidRDefault="000A06B2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评价结果</w:t>
            </w:r>
          </w:p>
        </w:tc>
        <w:tc>
          <w:tcPr>
            <w:tcW w:w="7622" w:type="dxa"/>
            <w:vAlign w:val="center"/>
          </w:tcPr>
          <w:p w:rsidR="00EB1ECA" w:rsidRDefault="000A06B2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>
              <w:rPr>
                <w:rFonts w:cs="仿宋_GB2312" w:hint="eastAsia"/>
                <w:sz w:val="28"/>
                <w:szCs w:val="28"/>
              </w:rPr>
              <w:t>部门决策</w:t>
            </w:r>
            <w:r>
              <w:rPr>
                <w:sz w:val="28"/>
                <w:szCs w:val="28"/>
              </w:rPr>
              <w:t xml:space="preserve"> 35</w:t>
            </w:r>
            <w:r>
              <w:rPr>
                <w:rFonts w:cs="仿宋_GB2312" w:hint="eastAsia"/>
                <w:sz w:val="28"/>
                <w:szCs w:val="28"/>
              </w:rPr>
              <w:t>分</w:t>
            </w:r>
          </w:p>
          <w:p w:rsidR="00EB1ECA" w:rsidRDefault="000A06B2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>
              <w:rPr>
                <w:rFonts w:cs="仿宋_GB2312" w:hint="eastAsia"/>
                <w:sz w:val="28"/>
                <w:szCs w:val="28"/>
              </w:rPr>
              <w:t>部门管理</w:t>
            </w:r>
            <w:r>
              <w:rPr>
                <w:sz w:val="28"/>
                <w:szCs w:val="28"/>
              </w:rPr>
              <w:t xml:space="preserve"> 20</w:t>
            </w:r>
            <w:r>
              <w:rPr>
                <w:rFonts w:cs="仿宋_GB2312" w:hint="eastAsia"/>
                <w:sz w:val="28"/>
                <w:szCs w:val="28"/>
              </w:rPr>
              <w:t>分</w:t>
            </w:r>
          </w:p>
          <w:p w:rsidR="00EB1ECA" w:rsidRDefault="000A06B2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r>
              <w:rPr>
                <w:rFonts w:cs="仿宋_GB2312" w:hint="eastAsia"/>
                <w:sz w:val="28"/>
                <w:szCs w:val="28"/>
              </w:rPr>
              <w:t>部门绩效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44</w:t>
            </w:r>
          </w:p>
          <w:p w:rsidR="00EB1ECA" w:rsidRDefault="00EB1ECA">
            <w:pPr>
              <w:adjustRightInd w:val="0"/>
              <w:snapToGrid w:val="0"/>
              <w:rPr>
                <w:sz w:val="28"/>
                <w:szCs w:val="28"/>
              </w:rPr>
            </w:pPr>
          </w:p>
          <w:p w:rsidR="00EB1ECA" w:rsidRDefault="00EB1ECA">
            <w:pPr>
              <w:adjustRightInd w:val="0"/>
              <w:snapToGrid w:val="0"/>
              <w:rPr>
                <w:sz w:val="28"/>
                <w:szCs w:val="28"/>
              </w:rPr>
            </w:pPr>
          </w:p>
          <w:p w:rsidR="00EB1ECA" w:rsidRDefault="00EB1ECA">
            <w:pPr>
              <w:adjustRightInd w:val="0"/>
              <w:snapToGrid w:val="0"/>
              <w:rPr>
                <w:sz w:val="28"/>
                <w:szCs w:val="28"/>
              </w:rPr>
            </w:pPr>
          </w:p>
          <w:p w:rsidR="00EB1ECA" w:rsidRDefault="00EB1ECA">
            <w:pPr>
              <w:adjustRightInd w:val="0"/>
              <w:snapToGrid w:val="0"/>
              <w:rPr>
                <w:sz w:val="28"/>
                <w:szCs w:val="28"/>
              </w:rPr>
            </w:pPr>
          </w:p>
          <w:p w:rsidR="00EB1ECA" w:rsidRDefault="00EB1ECA">
            <w:pPr>
              <w:adjustRightInd w:val="0"/>
              <w:snapToGrid w:val="0"/>
              <w:rPr>
                <w:sz w:val="28"/>
                <w:szCs w:val="28"/>
              </w:rPr>
            </w:pPr>
          </w:p>
          <w:p w:rsidR="00EB1ECA" w:rsidRDefault="00EB1ECA">
            <w:pPr>
              <w:adjustRightInd w:val="0"/>
              <w:snapToGrid w:val="0"/>
              <w:rPr>
                <w:sz w:val="28"/>
                <w:szCs w:val="28"/>
              </w:rPr>
            </w:pPr>
          </w:p>
        </w:tc>
      </w:tr>
      <w:tr w:rsidR="00EB1ECA">
        <w:tc>
          <w:tcPr>
            <w:tcW w:w="1700" w:type="dxa"/>
            <w:vMerge/>
            <w:vAlign w:val="center"/>
          </w:tcPr>
          <w:p w:rsidR="00EB1ECA" w:rsidRDefault="00EB1E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2" w:type="dxa"/>
            <w:vAlign w:val="center"/>
          </w:tcPr>
          <w:p w:rsidR="00EB1ECA" w:rsidRDefault="000A06B2">
            <w:pPr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指标得分：</w:t>
            </w:r>
            <w:r>
              <w:rPr>
                <w:rFonts w:cs="仿宋_GB2312" w:hint="eastAsia"/>
                <w:sz w:val="28"/>
                <w:szCs w:val="28"/>
              </w:rPr>
              <w:t>99</w:t>
            </w:r>
            <w:r>
              <w:rPr>
                <w:rFonts w:cs="仿宋_GB2312" w:hint="eastAsia"/>
                <w:sz w:val="28"/>
                <w:szCs w:val="28"/>
              </w:rPr>
              <w:t>分</w:t>
            </w:r>
          </w:p>
        </w:tc>
      </w:tr>
    </w:tbl>
    <w:p w:rsidR="00EB1ECA" w:rsidRDefault="00EB1ECA">
      <w:pPr>
        <w:spacing w:line="580" w:lineRule="exact"/>
        <w:ind w:left="948" w:hangingChars="300" w:hanging="948"/>
        <w:jc w:val="left"/>
        <w:rPr>
          <w:rFonts w:eastAsia="黑体"/>
        </w:rPr>
      </w:pPr>
    </w:p>
    <w:p w:rsidR="00EB1ECA" w:rsidRDefault="000A06B2">
      <w:pPr>
        <w:spacing w:line="540" w:lineRule="exact"/>
        <w:jc w:val="center"/>
        <w:rPr>
          <w:rFonts w:ascii="方正小标宋简体" w:eastAsia="方正小标宋简体" w:hAnsi="方正小标宋简体"/>
        </w:rPr>
      </w:pPr>
      <w:r>
        <w:rPr>
          <w:rFonts w:ascii="方正小标宋简体" w:eastAsia="方正小标宋简体" w:hAnsi="方正小标宋简体" w:cs="方正小标宋简体" w:hint="eastAsia"/>
        </w:rPr>
        <w:t>绩效评价报告正文后需附以下佐证材料</w:t>
      </w:r>
    </w:p>
    <w:p w:rsidR="00EB1ECA" w:rsidRDefault="000A06B2">
      <w:pPr>
        <w:spacing w:line="540" w:lineRule="exact"/>
        <w:ind w:left="948" w:hangingChars="300" w:hanging="948"/>
        <w:jc w:val="left"/>
        <w:rPr>
          <w:rFonts w:ascii="仿宋_GB2312" w:hAnsi="仿宋"/>
        </w:rPr>
      </w:pPr>
      <w:r>
        <w:rPr>
          <w:rFonts w:ascii="仿宋_GB2312" w:hAnsi="仿宋" w:cs="仿宋_GB2312"/>
        </w:rPr>
        <w:t>1.</w:t>
      </w:r>
      <w:r>
        <w:rPr>
          <w:rFonts w:ascii="仿宋_GB2312" w:hAnsi="仿宋" w:cs="仿宋_GB2312" w:hint="eastAsia"/>
        </w:rPr>
        <w:t>绩效评价指标体系；</w:t>
      </w:r>
    </w:p>
    <w:p w:rsidR="00EB1ECA" w:rsidRDefault="000A06B2">
      <w:pPr>
        <w:spacing w:line="540" w:lineRule="exact"/>
        <w:ind w:left="948" w:hangingChars="300" w:hanging="948"/>
        <w:jc w:val="left"/>
        <w:rPr>
          <w:rFonts w:ascii="仿宋_GB2312" w:hAnsi="仿宋"/>
        </w:rPr>
      </w:pPr>
      <w:r>
        <w:rPr>
          <w:rFonts w:ascii="仿宋_GB2312" w:hAnsi="仿宋" w:cs="仿宋_GB2312"/>
        </w:rPr>
        <w:t>2.</w:t>
      </w:r>
      <w:r>
        <w:rPr>
          <w:rFonts w:ascii="仿宋_GB2312" w:hAnsi="仿宋" w:cs="仿宋_GB2312" w:hint="eastAsia"/>
        </w:rPr>
        <w:t>基础数据表（进行成本效益分析需采集的数据）；</w:t>
      </w:r>
    </w:p>
    <w:p w:rsidR="00EB1ECA" w:rsidRDefault="000A06B2">
      <w:pPr>
        <w:spacing w:line="540" w:lineRule="exact"/>
        <w:ind w:left="948" w:hangingChars="300" w:hanging="948"/>
        <w:jc w:val="left"/>
        <w:rPr>
          <w:rFonts w:ascii="仿宋_GB2312" w:hAnsi="仿宋"/>
        </w:rPr>
      </w:pPr>
      <w:r>
        <w:rPr>
          <w:rFonts w:ascii="仿宋_GB2312" w:hAnsi="仿宋" w:cs="仿宋_GB2312"/>
        </w:rPr>
        <w:t>3.</w:t>
      </w:r>
      <w:r>
        <w:rPr>
          <w:rFonts w:ascii="仿宋_GB2312" w:hAnsi="仿宋" w:cs="仿宋_GB2312" w:hint="eastAsia"/>
        </w:rPr>
        <w:t>访谈分析报告；</w:t>
      </w:r>
    </w:p>
    <w:p w:rsidR="00EB1ECA" w:rsidRDefault="000A06B2">
      <w:pPr>
        <w:spacing w:line="540" w:lineRule="exact"/>
        <w:ind w:left="948" w:hangingChars="300" w:hanging="948"/>
        <w:jc w:val="left"/>
        <w:rPr>
          <w:rFonts w:ascii="仿宋_GB2312" w:hAnsi="仿宋"/>
        </w:rPr>
      </w:pPr>
      <w:r>
        <w:rPr>
          <w:rFonts w:ascii="仿宋_GB2312" w:hAnsi="仿宋" w:cs="仿宋_GB2312"/>
        </w:rPr>
        <w:t>4.</w:t>
      </w:r>
      <w:r>
        <w:rPr>
          <w:rFonts w:ascii="仿宋_GB2312" w:hAnsi="仿宋" w:cs="仿宋_GB2312" w:hint="eastAsia"/>
        </w:rPr>
        <w:t>社会调查问卷分析报告；</w:t>
      </w:r>
    </w:p>
    <w:p w:rsidR="00EB1ECA" w:rsidRDefault="000A06B2">
      <w:pPr>
        <w:spacing w:line="540" w:lineRule="exact"/>
        <w:ind w:left="948" w:hangingChars="300" w:hanging="948"/>
        <w:rPr>
          <w:rFonts w:ascii="仿宋_GB2312" w:hAnsi="仿宋"/>
        </w:rPr>
      </w:pPr>
      <w:r>
        <w:rPr>
          <w:rFonts w:ascii="仿宋_GB2312" w:hAnsi="仿宋" w:cs="仿宋_GB2312"/>
        </w:rPr>
        <w:t>5.</w:t>
      </w:r>
      <w:r>
        <w:rPr>
          <w:rFonts w:ascii="仿宋_GB2312" w:hAnsi="仿宋" w:cs="仿宋_GB2312" w:hint="eastAsia"/>
        </w:rPr>
        <w:t>①县政府相关规划、决策、批复；②立项申请、批复文件；</w:t>
      </w:r>
    </w:p>
    <w:p w:rsidR="00EB1ECA" w:rsidRDefault="000A06B2">
      <w:pPr>
        <w:spacing w:line="540" w:lineRule="exact"/>
        <w:ind w:leftChars="96" w:left="935" w:hangingChars="200" w:hanging="632"/>
        <w:rPr>
          <w:rFonts w:ascii="仿宋_GB2312" w:hAnsi="仿宋"/>
        </w:rPr>
      </w:pPr>
      <w:r>
        <w:rPr>
          <w:rFonts w:ascii="仿宋_GB2312" w:hAnsi="仿宋" w:cs="仿宋_GB2312" w:hint="eastAsia"/>
        </w:rPr>
        <w:t>③绩效目标申报表。</w:t>
      </w:r>
    </w:p>
    <w:p w:rsidR="00EB1ECA" w:rsidRDefault="00EB1ECA">
      <w:pPr>
        <w:spacing w:line="540" w:lineRule="exact"/>
        <w:rPr>
          <w:rFonts w:ascii="仿宋_GB2312" w:hAnsi="仿宋"/>
        </w:rPr>
      </w:pPr>
    </w:p>
    <w:p w:rsidR="00EB1ECA" w:rsidRDefault="000A06B2">
      <w:pPr>
        <w:spacing w:line="540" w:lineRule="exact"/>
        <w:ind w:left="948" w:hangingChars="300" w:hanging="948"/>
        <w:rPr>
          <w:rFonts w:ascii="黑体" w:eastAsia="黑体" w:hAnsi="黑体"/>
        </w:rPr>
      </w:pPr>
      <w:r>
        <w:rPr>
          <w:rFonts w:ascii="黑体" w:eastAsia="黑体" w:hAnsi="黑体" w:cs="黑体" w:hint="eastAsia"/>
        </w:rPr>
        <w:t>附件</w:t>
      </w:r>
      <w:r>
        <w:rPr>
          <w:rFonts w:ascii="黑体" w:eastAsia="黑体" w:hAnsi="黑体" w:cs="黑体"/>
        </w:rPr>
        <w:t>7</w:t>
      </w:r>
      <w:r>
        <w:rPr>
          <w:rFonts w:ascii="黑体" w:eastAsia="黑体" w:hAnsi="黑体" w:cs="黑体" w:hint="eastAsia"/>
        </w:rPr>
        <w:t>：</w:t>
      </w:r>
    </w:p>
    <w:p w:rsidR="00EB1ECA" w:rsidRDefault="000A06B2">
      <w:pPr>
        <w:spacing w:line="540" w:lineRule="exact"/>
        <w:ind w:left="948" w:hangingChars="300" w:hanging="948"/>
        <w:jc w:val="center"/>
        <w:rPr>
          <w:rFonts w:ascii="方正小标宋简体" w:eastAsia="方正小标宋简体" w:hAnsi="方正小标宋简体"/>
        </w:rPr>
      </w:pPr>
      <w:r>
        <w:rPr>
          <w:rFonts w:ascii="方正小标宋简体" w:eastAsia="方正小标宋简体" w:hAnsi="方正小标宋简体" w:cs="方正小标宋简体" w:hint="eastAsia"/>
        </w:rPr>
        <w:t>绩效评价归口科室初审意见书</w:t>
      </w:r>
    </w:p>
    <w:p w:rsidR="00EB1ECA" w:rsidRDefault="000A06B2" w:rsidP="00CF1C42">
      <w:pPr>
        <w:spacing w:line="540" w:lineRule="exact"/>
        <w:ind w:leftChars="296" w:left="935" w:firstLineChars="700" w:firstLine="2211"/>
        <w:jc w:val="left"/>
        <w:rPr>
          <w:rFonts w:ascii="方正小标宋简体" w:eastAsia="方正小标宋简体" w:hAnsi="方正小标宋简体"/>
        </w:rPr>
      </w:pPr>
      <w:r>
        <w:rPr>
          <w:rFonts w:ascii="方正小标宋简体" w:eastAsia="方正小标宋简体" w:hAnsi="方正小标宋简体" w:cs="方正小标宋简体" w:hint="eastAsia"/>
        </w:rPr>
        <w:t>（参考格式）</w:t>
      </w:r>
    </w:p>
    <w:p w:rsidR="00EB1ECA" w:rsidRDefault="00EB1ECA">
      <w:pPr>
        <w:spacing w:line="540" w:lineRule="exact"/>
        <w:jc w:val="left"/>
        <w:rPr>
          <w:rFonts w:ascii="仿宋_GB2312"/>
        </w:rPr>
      </w:pPr>
    </w:p>
    <w:tbl>
      <w:tblPr>
        <w:tblW w:w="900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81"/>
        <w:gridCol w:w="6322"/>
      </w:tblGrid>
      <w:tr w:rsidR="00EB1ECA">
        <w:trPr>
          <w:trHeight w:val="567"/>
        </w:trPr>
        <w:tc>
          <w:tcPr>
            <w:tcW w:w="2681" w:type="dxa"/>
            <w:vAlign w:val="center"/>
          </w:tcPr>
          <w:p w:rsidR="00EB1ECA" w:rsidRDefault="000A06B2">
            <w:pPr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预算部门</w:t>
            </w:r>
          </w:p>
        </w:tc>
        <w:tc>
          <w:tcPr>
            <w:tcW w:w="6322" w:type="dxa"/>
          </w:tcPr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</w:tc>
      </w:tr>
      <w:tr w:rsidR="00EB1ECA">
        <w:trPr>
          <w:trHeight w:val="567"/>
        </w:trPr>
        <w:tc>
          <w:tcPr>
            <w:tcW w:w="2681" w:type="dxa"/>
            <w:vAlign w:val="center"/>
          </w:tcPr>
          <w:p w:rsidR="00EB1ECA" w:rsidRDefault="000A06B2">
            <w:pPr>
              <w:ind w:leftChars="100" w:left="316"/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绩效评价类型</w:t>
            </w:r>
          </w:p>
        </w:tc>
        <w:tc>
          <w:tcPr>
            <w:tcW w:w="6322" w:type="dxa"/>
          </w:tcPr>
          <w:p w:rsidR="00EB1ECA" w:rsidRDefault="000A06B2">
            <w:pPr>
              <w:ind w:firstLineChars="100" w:firstLine="276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□部门整体支出</w:t>
            </w:r>
            <w:r>
              <w:rPr>
                <w:sz w:val="28"/>
                <w:szCs w:val="28"/>
              </w:rPr>
              <w:t xml:space="preserve">           </w:t>
            </w:r>
            <w:r>
              <w:rPr>
                <w:rFonts w:cs="仿宋_GB2312" w:hint="eastAsia"/>
                <w:sz w:val="28"/>
                <w:szCs w:val="28"/>
              </w:rPr>
              <w:t>□项目支出</w:t>
            </w:r>
          </w:p>
        </w:tc>
      </w:tr>
      <w:tr w:rsidR="00EB1ECA">
        <w:trPr>
          <w:trHeight w:val="567"/>
        </w:trPr>
        <w:tc>
          <w:tcPr>
            <w:tcW w:w="2681" w:type="dxa"/>
            <w:vAlign w:val="center"/>
          </w:tcPr>
          <w:p w:rsidR="00EB1ECA" w:rsidRDefault="000A06B2">
            <w:pPr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项目名称</w:t>
            </w:r>
          </w:p>
        </w:tc>
        <w:tc>
          <w:tcPr>
            <w:tcW w:w="6322" w:type="dxa"/>
          </w:tcPr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</w:tc>
      </w:tr>
      <w:tr w:rsidR="00EB1ECA">
        <w:trPr>
          <w:trHeight w:val="567"/>
        </w:trPr>
        <w:tc>
          <w:tcPr>
            <w:tcW w:w="2681" w:type="dxa"/>
            <w:vAlign w:val="center"/>
          </w:tcPr>
          <w:p w:rsidR="00EB1ECA" w:rsidRDefault="000A06B2">
            <w:pPr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评价金额</w:t>
            </w:r>
          </w:p>
        </w:tc>
        <w:tc>
          <w:tcPr>
            <w:tcW w:w="6322" w:type="dxa"/>
          </w:tcPr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</w:tc>
      </w:tr>
      <w:tr w:rsidR="00EB1ECA">
        <w:trPr>
          <w:trHeight w:val="567"/>
        </w:trPr>
        <w:tc>
          <w:tcPr>
            <w:tcW w:w="2681" w:type="dxa"/>
            <w:vAlign w:val="center"/>
          </w:tcPr>
          <w:p w:rsidR="00EB1ECA" w:rsidRDefault="000A06B2">
            <w:pPr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绩效评价初审等级</w:t>
            </w:r>
          </w:p>
        </w:tc>
        <w:tc>
          <w:tcPr>
            <w:tcW w:w="6322" w:type="dxa"/>
          </w:tcPr>
          <w:p w:rsidR="00EB1ECA" w:rsidRDefault="000A06B2">
            <w:pPr>
              <w:ind w:firstLine="560"/>
              <w:rPr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□优□良□中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□差</w:t>
            </w:r>
          </w:p>
        </w:tc>
      </w:tr>
      <w:tr w:rsidR="00EB1ECA">
        <w:trPr>
          <w:trHeight w:val="7021"/>
        </w:trPr>
        <w:tc>
          <w:tcPr>
            <w:tcW w:w="2681" w:type="dxa"/>
            <w:vAlign w:val="center"/>
          </w:tcPr>
          <w:p w:rsidR="00EB1ECA" w:rsidRDefault="000A06B2">
            <w:pPr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lastRenderedPageBreak/>
              <w:t>归口科室初审意见</w:t>
            </w:r>
          </w:p>
        </w:tc>
        <w:tc>
          <w:tcPr>
            <w:tcW w:w="6322" w:type="dxa"/>
          </w:tcPr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0A06B2">
            <w:pPr>
              <w:ind w:firstLine="560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初审科室</w:t>
            </w:r>
            <w:r>
              <w:rPr>
                <w:sz w:val="28"/>
                <w:szCs w:val="28"/>
              </w:rPr>
              <w:t xml:space="preserve">:             </w:t>
            </w:r>
            <w:r>
              <w:rPr>
                <w:rFonts w:cs="仿宋_GB2312" w:hint="eastAsia"/>
                <w:sz w:val="28"/>
                <w:szCs w:val="28"/>
              </w:rPr>
              <w:t>初审人</w:t>
            </w:r>
            <w:r>
              <w:rPr>
                <w:sz w:val="28"/>
                <w:szCs w:val="28"/>
              </w:rPr>
              <w:t>:</w:t>
            </w: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0A06B2">
            <w:pPr>
              <w:ind w:firstLine="560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初审时间</w:t>
            </w:r>
            <w:r>
              <w:rPr>
                <w:sz w:val="28"/>
                <w:szCs w:val="28"/>
              </w:rPr>
              <w:t>:</w:t>
            </w:r>
          </w:p>
        </w:tc>
      </w:tr>
    </w:tbl>
    <w:p w:rsidR="00EB1ECA" w:rsidRDefault="00EB1ECA">
      <w:pPr>
        <w:spacing w:line="540" w:lineRule="exact"/>
        <w:jc w:val="left"/>
        <w:rPr>
          <w:rFonts w:ascii="仿宋_GB2312"/>
        </w:rPr>
      </w:pPr>
    </w:p>
    <w:p w:rsidR="00EB1ECA" w:rsidRDefault="00EB1ECA">
      <w:pPr>
        <w:spacing w:line="540" w:lineRule="exact"/>
        <w:ind w:left="948" w:hangingChars="300" w:hanging="948"/>
        <w:jc w:val="left"/>
        <w:rPr>
          <w:rFonts w:ascii="黑体" w:eastAsia="黑体"/>
        </w:rPr>
      </w:pPr>
    </w:p>
    <w:p w:rsidR="00EB1ECA" w:rsidRDefault="00EB1ECA">
      <w:pPr>
        <w:spacing w:line="540" w:lineRule="exact"/>
        <w:ind w:left="948" w:hangingChars="300" w:hanging="948"/>
        <w:jc w:val="left"/>
        <w:rPr>
          <w:rFonts w:ascii="黑体" w:eastAsia="黑体"/>
        </w:rPr>
      </w:pPr>
    </w:p>
    <w:p w:rsidR="00EB1ECA" w:rsidRDefault="00EB1ECA">
      <w:pPr>
        <w:spacing w:line="540" w:lineRule="exact"/>
        <w:ind w:left="948" w:hangingChars="300" w:hanging="948"/>
        <w:jc w:val="left"/>
        <w:rPr>
          <w:rFonts w:ascii="黑体" w:eastAsia="黑体"/>
        </w:rPr>
      </w:pPr>
    </w:p>
    <w:p w:rsidR="00EB1ECA" w:rsidRDefault="00EB1ECA">
      <w:pPr>
        <w:spacing w:line="540" w:lineRule="exact"/>
        <w:ind w:left="948" w:hangingChars="300" w:hanging="948"/>
        <w:jc w:val="left"/>
        <w:rPr>
          <w:rFonts w:ascii="黑体" w:eastAsia="黑体"/>
        </w:rPr>
      </w:pPr>
    </w:p>
    <w:p w:rsidR="00EB1ECA" w:rsidRDefault="00EB1ECA">
      <w:pPr>
        <w:spacing w:line="540" w:lineRule="exact"/>
        <w:ind w:left="948" w:hangingChars="300" w:hanging="948"/>
        <w:jc w:val="left"/>
        <w:rPr>
          <w:rFonts w:ascii="黑体" w:eastAsia="黑体"/>
        </w:rPr>
      </w:pPr>
    </w:p>
    <w:p w:rsidR="00EB1ECA" w:rsidRDefault="00EB1ECA">
      <w:pPr>
        <w:spacing w:line="540" w:lineRule="exact"/>
        <w:ind w:left="948" w:hangingChars="300" w:hanging="948"/>
        <w:jc w:val="left"/>
        <w:rPr>
          <w:rFonts w:ascii="黑体" w:eastAsia="黑体"/>
        </w:rPr>
      </w:pPr>
    </w:p>
    <w:p w:rsidR="00EB1ECA" w:rsidRDefault="00EB1ECA">
      <w:pPr>
        <w:spacing w:line="540" w:lineRule="exact"/>
        <w:ind w:left="948" w:hangingChars="300" w:hanging="948"/>
        <w:jc w:val="left"/>
        <w:rPr>
          <w:rFonts w:ascii="黑体" w:eastAsia="黑体"/>
        </w:rPr>
      </w:pPr>
    </w:p>
    <w:p w:rsidR="00EB1ECA" w:rsidRDefault="00EB1ECA">
      <w:pPr>
        <w:spacing w:line="540" w:lineRule="exact"/>
        <w:ind w:left="948" w:hangingChars="300" w:hanging="948"/>
        <w:jc w:val="left"/>
        <w:rPr>
          <w:rFonts w:ascii="黑体" w:eastAsia="黑体"/>
        </w:rPr>
      </w:pPr>
    </w:p>
    <w:p w:rsidR="00EB1ECA" w:rsidRDefault="00EB1ECA">
      <w:pPr>
        <w:spacing w:line="540" w:lineRule="exact"/>
        <w:ind w:left="948" w:hangingChars="300" w:hanging="948"/>
        <w:jc w:val="left"/>
        <w:rPr>
          <w:rFonts w:ascii="黑体" w:eastAsia="黑体"/>
        </w:rPr>
      </w:pPr>
    </w:p>
    <w:p w:rsidR="00EB1ECA" w:rsidRDefault="000A06B2">
      <w:pPr>
        <w:spacing w:line="540" w:lineRule="exact"/>
        <w:ind w:left="948" w:hangingChars="300" w:hanging="948"/>
        <w:jc w:val="left"/>
        <w:rPr>
          <w:rFonts w:ascii="方正小标宋简体" w:eastAsia="方正小标宋简体" w:hAnsi="方正小标宋简体"/>
        </w:rPr>
      </w:pPr>
      <w:r>
        <w:rPr>
          <w:rFonts w:ascii="黑体" w:eastAsia="黑体" w:cs="黑体" w:hint="eastAsia"/>
        </w:rPr>
        <w:lastRenderedPageBreak/>
        <w:t>附件</w:t>
      </w:r>
      <w:r>
        <w:rPr>
          <w:rFonts w:ascii="黑体" w:eastAsia="黑体" w:cs="黑体"/>
        </w:rPr>
        <w:t>8:</w:t>
      </w:r>
    </w:p>
    <w:p w:rsidR="00EB1ECA" w:rsidRDefault="000A06B2">
      <w:pPr>
        <w:spacing w:line="560" w:lineRule="exact"/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绩效评价结果反馈意见函</w:t>
      </w:r>
    </w:p>
    <w:p w:rsidR="00EB1ECA" w:rsidRDefault="000A06B2">
      <w:pPr>
        <w:spacing w:line="560" w:lineRule="exact"/>
        <w:jc w:val="center"/>
        <w:rPr>
          <w:rFonts w:ascii="方正小标宋简体" w:eastAsia="方正小标宋简体" w:hAnsi="方正小标宋简体"/>
        </w:rPr>
      </w:pPr>
      <w:r>
        <w:rPr>
          <w:rFonts w:ascii="方正小标宋简体" w:eastAsia="方正小标宋简体" w:hAnsi="方正小标宋简体" w:cs="方正小标宋简体" w:hint="eastAsia"/>
        </w:rPr>
        <w:t>（参考格式）</w:t>
      </w:r>
    </w:p>
    <w:p w:rsidR="00EB1ECA" w:rsidRDefault="000A06B2">
      <w:pPr>
        <w:spacing w:line="600" w:lineRule="exact"/>
      </w:pPr>
      <w:r>
        <w:rPr>
          <w:rFonts w:cs="仿宋_GB2312" w:hint="eastAsia"/>
        </w:rPr>
        <w:t>：</w:t>
      </w:r>
    </w:p>
    <w:p w:rsidR="00EB1ECA" w:rsidRDefault="000A06B2" w:rsidP="00CF1C42">
      <w:pPr>
        <w:spacing w:afterLines="100" w:line="600" w:lineRule="exact"/>
        <w:ind w:firstLineChars="200" w:firstLine="632"/>
      </w:pPr>
      <w:r>
        <w:rPr>
          <w:rFonts w:cs="仿宋_GB2312" w:hint="eastAsia"/>
        </w:rPr>
        <w:t>按照相关规定和绩效评价要求，根据贵单位</w:t>
      </w:r>
      <w:r>
        <w:rPr>
          <w:rFonts w:cs="仿宋_GB2312" w:hint="eastAsia"/>
          <w:u w:val="single"/>
        </w:rPr>
        <w:t>×××</w:t>
      </w:r>
      <w:r>
        <w:rPr>
          <w:rFonts w:cs="仿宋_GB2312" w:hint="eastAsia"/>
        </w:rPr>
        <w:t>项目的绩效自评报告和绩效评价工作组的现场评价情况，形成绩效评价报告。现将《×××项目绩效评价报告》反馈贵单位，请于年月日前提出书面意见或说明，逾期未回复，视为无异议。</w:t>
      </w:r>
    </w:p>
    <w:tbl>
      <w:tblPr>
        <w:tblW w:w="9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3"/>
      </w:tblGrid>
      <w:tr w:rsidR="00EB1ECA">
        <w:trPr>
          <w:trHeight w:val="541"/>
          <w:jc w:val="center"/>
        </w:trPr>
        <w:tc>
          <w:tcPr>
            <w:tcW w:w="9003" w:type="dxa"/>
            <w:vAlign w:val="center"/>
          </w:tcPr>
          <w:p w:rsidR="00EB1ECA" w:rsidRDefault="000A06B2"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 w:cs="黑体" w:hint="eastAsia"/>
                <w:sz w:val="28"/>
                <w:szCs w:val="28"/>
              </w:rPr>
              <w:t>项目单位意见</w:t>
            </w:r>
          </w:p>
        </w:tc>
      </w:tr>
      <w:tr w:rsidR="00EB1ECA">
        <w:trPr>
          <w:jc w:val="center"/>
        </w:trPr>
        <w:tc>
          <w:tcPr>
            <w:tcW w:w="9003" w:type="dxa"/>
          </w:tcPr>
          <w:p w:rsidR="00EB1ECA" w:rsidRDefault="000A06B2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对报告中</w:t>
            </w:r>
            <w:r>
              <w:rPr>
                <w:sz w:val="28"/>
                <w:szCs w:val="28"/>
              </w:rPr>
              <w:t>“</w:t>
            </w:r>
            <w:r>
              <w:rPr>
                <w:rFonts w:cs="仿宋_GB2312" w:hint="eastAsia"/>
                <w:sz w:val="28"/>
                <w:szCs w:val="28"/>
              </w:rPr>
              <w:t>评价结论</w:t>
            </w:r>
            <w:r>
              <w:rPr>
                <w:sz w:val="28"/>
                <w:szCs w:val="28"/>
              </w:rPr>
              <w:t>”</w:t>
            </w:r>
            <w:r>
              <w:rPr>
                <w:rFonts w:cs="仿宋_GB2312" w:hint="eastAsia"/>
                <w:sz w:val="28"/>
                <w:szCs w:val="28"/>
              </w:rPr>
              <w:t>的意见</w:t>
            </w: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0A06B2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对报告中</w:t>
            </w:r>
            <w:r>
              <w:rPr>
                <w:sz w:val="28"/>
                <w:szCs w:val="28"/>
              </w:rPr>
              <w:t>“</w:t>
            </w:r>
            <w:r>
              <w:rPr>
                <w:rFonts w:cs="仿宋_GB2312" w:hint="eastAsia"/>
                <w:sz w:val="28"/>
                <w:szCs w:val="28"/>
              </w:rPr>
              <w:t>建议</w:t>
            </w:r>
            <w:r>
              <w:rPr>
                <w:sz w:val="28"/>
                <w:szCs w:val="28"/>
              </w:rPr>
              <w:t>”</w:t>
            </w:r>
            <w:r>
              <w:rPr>
                <w:rFonts w:cs="仿宋_GB2312" w:hint="eastAsia"/>
                <w:sz w:val="28"/>
                <w:szCs w:val="28"/>
              </w:rPr>
              <w:t>的意见</w:t>
            </w: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0A06B2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其它意见或建议</w:t>
            </w:r>
          </w:p>
          <w:p w:rsidR="00EB1ECA" w:rsidRDefault="00EB1ECA">
            <w:pPr>
              <w:ind w:firstLine="560"/>
              <w:rPr>
                <w:rFonts w:eastAsia="楷体_GB2312"/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0A06B2">
            <w:pPr>
              <w:wordWrap w:val="0"/>
              <w:ind w:right="1134" w:firstLine="560"/>
              <w:jc w:val="right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单位（盖章）</w:t>
            </w:r>
          </w:p>
          <w:p w:rsidR="00EB1ECA" w:rsidRDefault="00EB1ECA">
            <w:pPr>
              <w:ind w:right="1000" w:firstLine="560"/>
              <w:jc w:val="right"/>
              <w:rPr>
                <w:sz w:val="28"/>
                <w:szCs w:val="28"/>
              </w:rPr>
            </w:pPr>
          </w:p>
          <w:p w:rsidR="00EB1ECA" w:rsidRDefault="000A06B2" w:rsidP="00CF1C42">
            <w:pPr>
              <w:wordWrap w:val="0"/>
              <w:ind w:right="600" w:firstLineChars="2150" w:firstLine="5932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年月日</w:t>
            </w:r>
          </w:p>
        </w:tc>
      </w:tr>
    </w:tbl>
    <w:p w:rsidR="00EB1ECA" w:rsidRDefault="00EB1ECA">
      <w:pPr>
        <w:rPr>
          <w:rFonts w:ascii="黑体" w:eastAsia="黑体"/>
        </w:rPr>
      </w:pPr>
    </w:p>
    <w:p w:rsidR="00EB1ECA" w:rsidRDefault="000A06B2">
      <w:pPr>
        <w:rPr>
          <w:rFonts w:ascii="黑体" w:eastAsia="黑体"/>
        </w:rPr>
      </w:pPr>
      <w:r>
        <w:rPr>
          <w:rFonts w:ascii="黑体" w:eastAsia="黑体" w:cs="黑体" w:hint="eastAsia"/>
        </w:rPr>
        <w:t>附件</w:t>
      </w:r>
      <w:r>
        <w:rPr>
          <w:rFonts w:ascii="黑体" w:eastAsia="黑体" w:cs="黑体"/>
        </w:rPr>
        <w:t>9</w:t>
      </w:r>
      <w:r>
        <w:rPr>
          <w:rFonts w:ascii="黑体" w:eastAsia="黑体" w:cs="黑体" w:hint="eastAsia"/>
        </w:rPr>
        <w:t>：</w:t>
      </w:r>
    </w:p>
    <w:p w:rsidR="00EB1ECA" w:rsidRDefault="000A06B2">
      <w:pPr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绩效评价结果整改报告书</w:t>
      </w:r>
    </w:p>
    <w:p w:rsidR="00EB1ECA" w:rsidRDefault="000A06B2" w:rsidP="00CF1C42">
      <w:pPr>
        <w:spacing w:afterLines="50"/>
        <w:jc w:val="center"/>
        <w:rPr>
          <w:rFonts w:ascii="方正小标宋简体" w:eastAsia="方正小标宋简体" w:hAnsi="方正小标宋简体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</w:rPr>
        <w:t>（参考格式）</w:t>
      </w:r>
    </w:p>
    <w:p w:rsidR="00EB1ECA" w:rsidRDefault="000A06B2">
      <w:pPr>
        <w:rPr>
          <w:sz w:val="28"/>
          <w:szCs w:val="28"/>
        </w:rPr>
      </w:pPr>
      <w:r>
        <w:rPr>
          <w:rFonts w:cs="仿宋_GB2312" w:hint="eastAsia"/>
          <w:sz w:val="28"/>
          <w:szCs w:val="28"/>
        </w:rPr>
        <w:t>预算部门（盖章）：</w:t>
      </w:r>
    </w:p>
    <w:tbl>
      <w:tblPr>
        <w:tblW w:w="900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08"/>
        <w:gridCol w:w="7095"/>
      </w:tblGrid>
      <w:tr w:rsidR="00EB1ECA">
        <w:trPr>
          <w:trHeight w:val="567"/>
        </w:trPr>
        <w:tc>
          <w:tcPr>
            <w:tcW w:w="1908" w:type="dxa"/>
            <w:vAlign w:val="center"/>
          </w:tcPr>
          <w:p w:rsidR="00EB1ECA" w:rsidRDefault="000A06B2">
            <w:pPr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项目名称</w:t>
            </w:r>
          </w:p>
        </w:tc>
        <w:tc>
          <w:tcPr>
            <w:tcW w:w="7095" w:type="dxa"/>
          </w:tcPr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</w:tc>
      </w:tr>
      <w:tr w:rsidR="00EB1ECA">
        <w:trPr>
          <w:trHeight w:val="567"/>
        </w:trPr>
        <w:tc>
          <w:tcPr>
            <w:tcW w:w="1908" w:type="dxa"/>
            <w:vAlign w:val="center"/>
          </w:tcPr>
          <w:p w:rsidR="00EB1ECA" w:rsidRDefault="000A06B2">
            <w:pPr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评价内容</w:t>
            </w:r>
          </w:p>
        </w:tc>
        <w:tc>
          <w:tcPr>
            <w:tcW w:w="7095" w:type="dxa"/>
          </w:tcPr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</w:tc>
      </w:tr>
      <w:tr w:rsidR="00EB1ECA">
        <w:trPr>
          <w:trHeight w:val="567"/>
        </w:trPr>
        <w:tc>
          <w:tcPr>
            <w:tcW w:w="1908" w:type="dxa"/>
            <w:vAlign w:val="center"/>
          </w:tcPr>
          <w:p w:rsidR="00EB1ECA" w:rsidRDefault="000A06B2">
            <w:pPr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联系人及电话</w:t>
            </w:r>
          </w:p>
        </w:tc>
        <w:tc>
          <w:tcPr>
            <w:tcW w:w="7095" w:type="dxa"/>
          </w:tcPr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</w:tc>
      </w:tr>
      <w:tr w:rsidR="00EB1ECA">
        <w:trPr>
          <w:trHeight w:val="6421"/>
        </w:trPr>
        <w:tc>
          <w:tcPr>
            <w:tcW w:w="1908" w:type="dxa"/>
            <w:vAlign w:val="center"/>
          </w:tcPr>
          <w:p w:rsidR="00EB1ECA" w:rsidRDefault="000A06B2">
            <w:pPr>
              <w:ind w:rightChars="-13" w:right="-41"/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整</w:t>
            </w:r>
          </w:p>
          <w:p w:rsidR="00EB1ECA" w:rsidRDefault="00EB1ECA">
            <w:pPr>
              <w:ind w:firstLine="560"/>
              <w:jc w:val="center"/>
              <w:rPr>
                <w:sz w:val="28"/>
                <w:szCs w:val="28"/>
              </w:rPr>
            </w:pPr>
          </w:p>
          <w:p w:rsidR="00EB1ECA" w:rsidRDefault="000A06B2">
            <w:pPr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改</w:t>
            </w:r>
          </w:p>
          <w:p w:rsidR="00EB1ECA" w:rsidRDefault="00EB1ECA">
            <w:pPr>
              <w:ind w:firstLine="560"/>
              <w:jc w:val="center"/>
              <w:rPr>
                <w:sz w:val="28"/>
                <w:szCs w:val="28"/>
              </w:rPr>
            </w:pPr>
          </w:p>
          <w:p w:rsidR="00EB1ECA" w:rsidRDefault="000A06B2">
            <w:pPr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情</w:t>
            </w:r>
          </w:p>
          <w:p w:rsidR="00EB1ECA" w:rsidRDefault="00EB1ECA">
            <w:pPr>
              <w:ind w:firstLine="560"/>
              <w:jc w:val="center"/>
              <w:rPr>
                <w:sz w:val="28"/>
                <w:szCs w:val="28"/>
              </w:rPr>
            </w:pPr>
          </w:p>
          <w:p w:rsidR="00EB1ECA" w:rsidRDefault="000A06B2">
            <w:pPr>
              <w:jc w:val="center"/>
              <w:rPr>
                <w:sz w:val="28"/>
                <w:szCs w:val="28"/>
              </w:rPr>
            </w:pPr>
            <w:r>
              <w:rPr>
                <w:rFonts w:cs="仿宋_GB2312" w:hint="eastAsia"/>
                <w:sz w:val="28"/>
                <w:szCs w:val="28"/>
              </w:rPr>
              <w:t>况</w:t>
            </w:r>
          </w:p>
        </w:tc>
        <w:tc>
          <w:tcPr>
            <w:tcW w:w="7095" w:type="dxa"/>
          </w:tcPr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ind w:firstLine="560"/>
              <w:rPr>
                <w:sz w:val="28"/>
                <w:szCs w:val="28"/>
              </w:rPr>
            </w:pPr>
          </w:p>
          <w:p w:rsidR="00EB1ECA" w:rsidRDefault="00EB1ECA">
            <w:pPr>
              <w:rPr>
                <w:sz w:val="28"/>
                <w:szCs w:val="28"/>
              </w:rPr>
            </w:pPr>
          </w:p>
        </w:tc>
      </w:tr>
    </w:tbl>
    <w:p w:rsidR="00EB1ECA" w:rsidRDefault="00EB1ECA">
      <w:pPr>
        <w:spacing w:line="600" w:lineRule="exact"/>
        <w:rPr>
          <w:rFonts w:ascii="仿宋_GB2312"/>
          <w:sz w:val="28"/>
          <w:szCs w:val="28"/>
        </w:rPr>
      </w:pPr>
    </w:p>
    <w:sectPr w:rsidR="00EB1ECA" w:rsidSect="00EB1ECA">
      <w:footerReference w:type="even" r:id="rId8"/>
      <w:footerReference w:type="default" r:id="rId9"/>
      <w:pgSz w:w="11907" w:h="16840"/>
      <w:pgMar w:top="2041" w:right="1531" w:bottom="1871" w:left="1531" w:header="851" w:footer="1304" w:gutter="0"/>
      <w:cols w:space="720"/>
      <w:docGrid w:type="linesAndChars" w:linePitch="587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6B2" w:rsidRDefault="000A06B2" w:rsidP="00EB1ECA">
      <w:r>
        <w:separator/>
      </w:r>
    </w:p>
  </w:endnote>
  <w:endnote w:type="continuationSeparator" w:id="0">
    <w:p w:rsidR="000A06B2" w:rsidRDefault="000A06B2" w:rsidP="00EB1E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楷体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CA" w:rsidRDefault="000A06B2">
    <w:pPr>
      <w:pStyle w:val="a6"/>
      <w:framePr w:wrap="around" w:vAnchor="text" w:hAnchor="margin" w:xAlign="outside" w:y="1"/>
      <w:ind w:left="335"/>
      <w:rPr>
        <w:rStyle w:val="a9"/>
        <w:rFonts w:ascii="宋体" w:eastAsia="宋体" w:hAnsi="宋体" w:cs="宋体"/>
        <w:sz w:val="28"/>
        <w:szCs w:val="28"/>
      </w:rPr>
    </w:pPr>
    <w:r>
      <w:rPr>
        <w:rStyle w:val="a9"/>
        <w:rFonts w:ascii="宋体" w:eastAsia="宋体" w:hAnsi="宋体" w:cs="宋体"/>
        <w:sz w:val="28"/>
        <w:szCs w:val="28"/>
      </w:rPr>
      <w:t>—</w:t>
    </w:r>
    <w:r w:rsidR="00EB1ECA">
      <w:rPr>
        <w:rStyle w:val="a9"/>
        <w:rFonts w:ascii="宋体" w:eastAsia="宋体" w:hAnsi="宋体" w:cs="宋体"/>
        <w:sz w:val="28"/>
        <w:szCs w:val="28"/>
      </w:rPr>
      <w:fldChar w:fldCharType="begin"/>
    </w:r>
    <w:r>
      <w:rPr>
        <w:rStyle w:val="a9"/>
        <w:rFonts w:ascii="宋体" w:eastAsia="宋体" w:hAnsi="宋体" w:cs="宋体"/>
        <w:sz w:val="28"/>
        <w:szCs w:val="28"/>
      </w:rPr>
      <w:instrText xml:space="preserve">PAGE  </w:instrText>
    </w:r>
    <w:r w:rsidR="00EB1ECA">
      <w:rPr>
        <w:rStyle w:val="a9"/>
        <w:rFonts w:ascii="宋体" w:eastAsia="宋体" w:hAnsi="宋体" w:cs="宋体"/>
        <w:sz w:val="28"/>
        <w:szCs w:val="28"/>
      </w:rPr>
      <w:fldChar w:fldCharType="separate"/>
    </w:r>
    <w:r w:rsidR="00CF1C42">
      <w:rPr>
        <w:rStyle w:val="a9"/>
        <w:rFonts w:ascii="宋体" w:eastAsia="宋体" w:hAnsi="宋体" w:cs="宋体"/>
        <w:noProof/>
        <w:sz w:val="28"/>
        <w:szCs w:val="28"/>
      </w:rPr>
      <w:t>4</w:t>
    </w:r>
    <w:r w:rsidR="00EB1ECA">
      <w:rPr>
        <w:rStyle w:val="a9"/>
        <w:rFonts w:ascii="宋体" w:eastAsia="宋体" w:hAnsi="宋体" w:cs="宋体"/>
        <w:sz w:val="28"/>
        <w:szCs w:val="28"/>
      </w:rPr>
      <w:fldChar w:fldCharType="end"/>
    </w:r>
    <w:r>
      <w:rPr>
        <w:rStyle w:val="a9"/>
        <w:rFonts w:ascii="宋体" w:eastAsia="宋体" w:hAnsi="宋体" w:cs="宋体"/>
        <w:sz w:val="28"/>
        <w:szCs w:val="28"/>
      </w:rPr>
      <w:t>—</w:t>
    </w:r>
  </w:p>
  <w:p w:rsidR="00EB1ECA" w:rsidRDefault="00EB1ECA">
    <w:pPr>
      <w:pStyle w:val="a6"/>
      <w:ind w:left="300" w:right="360" w:firstLine="360"/>
      <w:rPr>
        <w:sz w:val="28"/>
        <w:szCs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CA" w:rsidRDefault="000A06B2">
    <w:pPr>
      <w:pStyle w:val="a6"/>
      <w:framePr w:wrap="around" w:vAnchor="text" w:hAnchor="margin" w:xAlign="outside" w:y="1"/>
      <w:ind w:right="335"/>
      <w:rPr>
        <w:rStyle w:val="a9"/>
        <w:rFonts w:ascii="宋体" w:eastAsia="宋体" w:hAnsi="宋体" w:cs="宋体"/>
        <w:sz w:val="28"/>
        <w:szCs w:val="28"/>
      </w:rPr>
    </w:pPr>
    <w:r>
      <w:rPr>
        <w:rStyle w:val="a9"/>
        <w:rFonts w:ascii="宋体" w:eastAsia="宋体" w:hAnsi="宋体" w:cs="宋体"/>
        <w:sz w:val="28"/>
        <w:szCs w:val="28"/>
      </w:rPr>
      <w:t>—</w:t>
    </w:r>
    <w:r w:rsidR="00EB1ECA">
      <w:rPr>
        <w:rStyle w:val="a9"/>
        <w:rFonts w:ascii="宋体" w:eastAsia="宋体" w:hAnsi="宋体" w:cs="宋体"/>
        <w:sz w:val="28"/>
        <w:szCs w:val="28"/>
      </w:rPr>
      <w:fldChar w:fldCharType="begin"/>
    </w:r>
    <w:r>
      <w:rPr>
        <w:rStyle w:val="a9"/>
        <w:rFonts w:ascii="宋体" w:eastAsia="宋体" w:hAnsi="宋体" w:cs="宋体"/>
        <w:sz w:val="28"/>
        <w:szCs w:val="28"/>
      </w:rPr>
      <w:instrText xml:space="preserve">PAGE  </w:instrText>
    </w:r>
    <w:r w:rsidR="00EB1ECA">
      <w:rPr>
        <w:rStyle w:val="a9"/>
        <w:rFonts w:ascii="宋体" w:eastAsia="宋体" w:hAnsi="宋体" w:cs="宋体"/>
        <w:sz w:val="28"/>
        <w:szCs w:val="28"/>
      </w:rPr>
      <w:fldChar w:fldCharType="separate"/>
    </w:r>
    <w:r w:rsidR="00CF1C42">
      <w:rPr>
        <w:rStyle w:val="a9"/>
        <w:rFonts w:ascii="宋体" w:eastAsia="宋体" w:hAnsi="宋体" w:cs="宋体"/>
        <w:noProof/>
        <w:sz w:val="28"/>
        <w:szCs w:val="28"/>
      </w:rPr>
      <w:t>1</w:t>
    </w:r>
    <w:r w:rsidR="00EB1ECA">
      <w:rPr>
        <w:rStyle w:val="a9"/>
        <w:rFonts w:ascii="宋体" w:eastAsia="宋体" w:hAnsi="宋体" w:cs="宋体"/>
        <w:sz w:val="28"/>
        <w:szCs w:val="28"/>
      </w:rPr>
      <w:fldChar w:fldCharType="end"/>
    </w:r>
    <w:r>
      <w:rPr>
        <w:rStyle w:val="a9"/>
        <w:rFonts w:ascii="宋体" w:eastAsia="宋体" w:hAnsi="宋体" w:cs="宋体"/>
        <w:sz w:val="28"/>
        <w:szCs w:val="28"/>
      </w:rPr>
      <w:t>—</w:t>
    </w:r>
  </w:p>
  <w:p w:rsidR="00EB1ECA" w:rsidRDefault="00EB1ECA">
    <w:pPr>
      <w:pStyle w:val="a6"/>
      <w:ind w:right="360" w:firstLine="360"/>
      <w:jc w:val="right"/>
      <w:rPr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6B2" w:rsidRDefault="000A06B2" w:rsidP="00EB1ECA">
      <w:r>
        <w:separator/>
      </w:r>
    </w:p>
  </w:footnote>
  <w:footnote w:type="continuationSeparator" w:id="0">
    <w:p w:rsidR="000A06B2" w:rsidRDefault="000A06B2" w:rsidP="00EB1E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F56F41"/>
    <w:multiLevelType w:val="multilevel"/>
    <w:tmpl w:val="7DF56F4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oNotTrackMoves/>
  <w:defaultTabStop w:val="425"/>
  <w:doNotHyphenateCaps/>
  <w:evenAndOddHeaders/>
  <w:drawingGridHorizontalSpacing w:val="158"/>
  <w:drawingGridVerticalSpacing w:val="587"/>
  <w:displayHorizont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335F"/>
    <w:rsid w:val="00014370"/>
    <w:rsid w:val="0001706E"/>
    <w:rsid w:val="00031386"/>
    <w:rsid w:val="00032A15"/>
    <w:rsid w:val="0004161A"/>
    <w:rsid w:val="000573B9"/>
    <w:rsid w:val="00057B9F"/>
    <w:rsid w:val="00060548"/>
    <w:rsid w:val="00061B34"/>
    <w:rsid w:val="0007286A"/>
    <w:rsid w:val="00076FA7"/>
    <w:rsid w:val="00085C25"/>
    <w:rsid w:val="00085D02"/>
    <w:rsid w:val="000A06B2"/>
    <w:rsid w:val="000A0C7D"/>
    <w:rsid w:val="000C6A55"/>
    <w:rsid w:val="000D0079"/>
    <w:rsid w:val="000E57AE"/>
    <w:rsid w:val="000F0DDC"/>
    <w:rsid w:val="000F2D14"/>
    <w:rsid w:val="000F2E4E"/>
    <w:rsid w:val="00112694"/>
    <w:rsid w:val="0013625A"/>
    <w:rsid w:val="00155091"/>
    <w:rsid w:val="001561E0"/>
    <w:rsid w:val="0016765D"/>
    <w:rsid w:val="00167969"/>
    <w:rsid w:val="00171B5D"/>
    <w:rsid w:val="001776A1"/>
    <w:rsid w:val="00185A5A"/>
    <w:rsid w:val="0019108E"/>
    <w:rsid w:val="00196FFC"/>
    <w:rsid w:val="00197124"/>
    <w:rsid w:val="001B5425"/>
    <w:rsid w:val="001D2295"/>
    <w:rsid w:val="001D74C9"/>
    <w:rsid w:val="001F50DE"/>
    <w:rsid w:val="002021EA"/>
    <w:rsid w:val="0021066B"/>
    <w:rsid w:val="002164BD"/>
    <w:rsid w:val="00232238"/>
    <w:rsid w:val="00260330"/>
    <w:rsid w:val="00265015"/>
    <w:rsid w:val="0027333E"/>
    <w:rsid w:val="00284426"/>
    <w:rsid w:val="0028678C"/>
    <w:rsid w:val="00294EE5"/>
    <w:rsid w:val="002A377A"/>
    <w:rsid w:val="00301902"/>
    <w:rsid w:val="00304EEE"/>
    <w:rsid w:val="00306DC2"/>
    <w:rsid w:val="00317033"/>
    <w:rsid w:val="003209BE"/>
    <w:rsid w:val="00320A77"/>
    <w:rsid w:val="00354234"/>
    <w:rsid w:val="00370AB0"/>
    <w:rsid w:val="003721CE"/>
    <w:rsid w:val="00372495"/>
    <w:rsid w:val="00373D8F"/>
    <w:rsid w:val="00386252"/>
    <w:rsid w:val="00386F4A"/>
    <w:rsid w:val="0039440A"/>
    <w:rsid w:val="003B609C"/>
    <w:rsid w:val="003B651F"/>
    <w:rsid w:val="003D3F92"/>
    <w:rsid w:val="003F09C2"/>
    <w:rsid w:val="003F15F1"/>
    <w:rsid w:val="003F7768"/>
    <w:rsid w:val="0042622A"/>
    <w:rsid w:val="00441E1F"/>
    <w:rsid w:val="00443AFE"/>
    <w:rsid w:val="0044547C"/>
    <w:rsid w:val="00450CCE"/>
    <w:rsid w:val="00463CBD"/>
    <w:rsid w:val="00477E76"/>
    <w:rsid w:val="00481949"/>
    <w:rsid w:val="0048484B"/>
    <w:rsid w:val="004B2BB2"/>
    <w:rsid w:val="004B67DF"/>
    <w:rsid w:val="004B7A2C"/>
    <w:rsid w:val="004D4471"/>
    <w:rsid w:val="004E5EBC"/>
    <w:rsid w:val="005031D8"/>
    <w:rsid w:val="00527170"/>
    <w:rsid w:val="005456D8"/>
    <w:rsid w:val="00547454"/>
    <w:rsid w:val="00547D91"/>
    <w:rsid w:val="0055335F"/>
    <w:rsid w:val="00587D66"/>
    <w:rsid w:val="005947E9"/>
    <w:rsid w:val="00596EAF"/>
    <w:rsid w:val="005A06EE"/>
    <w:rsid w:val="005B05E9"/>
    <w:rsid w:val="005C1E91"/>
    <w:rsid w:val="005C3612"/>
    <w:rsid w:val="005D1F7C"/>
    <w:rsid w:val="005D56E4"/>
    <w:rsid w:val="0060234F"/>
    <w:rsid w:val="00622C40"/>
    <w:rsid w:val="00623770"/>
    <w:rsid w:val="00634A37"/>
    <w:rsid w:val="00656053"/>
    <w:rsid w:val="0067583F"/>
    <w:rsid w:val="00684F23"/>
    <w:rsid w:val="00685833"/>
    <w:rsid w:val="00691838"/>
    <w:rsid w:val="006A6EB6"/>
    <w:rsid w:val="006B11BB"/>
    <w:rsid w:val="006D6C80"/>
    <w:rsid w:val="0070331B"/>
    <w:rsid w:val="00723D81"/>
    <w:rsid w:val="0073230F"/>
    <w:rsid w:val="007347E8"/>
    <w:rsid w:val="00740D07"/>
    <w:rsid w:val="007466B4"/>
    <w:rsid w:val="00752484"/>
    <w:rsid w:val="00767A70"/>
    <w:rsid w:val="00770ABD"/>
    <w:rsid w:val="007740E0"/>
    <w:rsid w:val="007948BE"/>
    <w:rsid w:val="00795DF1"/>
    <w:rsid w:val="007C0F37"/>
    <w:rsid w:val="007D2C28"/>
    <w:rsid w:val="007D53B6"/>
    <w:rsid w:val="007F5BD0"/>
    <w:rsid w:val="00802E30"/>
    <w:rsid w:val="0080354F"/>
    <w:rsid w:val="00805CFC"/>
    <w:rsid w:val="008273F9"/>
    <w:rsid w:val="008452A9"/>
    <w:rsid w:val="008471F3"/>
    <w:rsid w:val="0086384F"/>
    <w:rsid w:val="008776C2"/>
    <w:rsid w:val="008854BE"/>
    <w:rsid w:val="00891E76"/>
    <w:rsid w:val="00892ED8"/>
    <w:rsid w:val="00896C1C"/>
    <w:rsid w:val="008D4DFD"/>
    <w:rsid w:val="008D64CC"/>
    <w:rsid w:val="008E4896"/>
    <w:rsid w:val="008F3154"/>
    <w:rsid w:val="008F75D2"/>
    <w:rsid w:val="009156B6"/>
    <w:rsid w:val="009511E2"/>
    <w:rsid w:val="00960202"/>
    <w:rsid w:val="009642C1"/>
    <w:rsid w:val="00966051"/>
    <w:rsid w:val="00971ACC"/>
    <w:rsid w:val="00976A97"/>
    <w:rsid w:val="00984AA9"/>
    <w:rsid w:val="00994F11"/>
    <w:rsid w:val="009B1D6B"/>
    <w:rsid w:val="009C2E24"/>
    <w:rsid w:val="009E07A7"/>
    <w:rsid w:val="009F4239"/>
    <w:rsid w:val="00A032C7"/>
    <w:rsid w:val="00A449C0"/>
    <w:rsid w:val="00A45A91"/>
    <w:rsid w:val="00AA02A0"/>
    <w:rsid w:val="00AA2694"/>
    <w:rsid w:val="00AA35D8"/>
    <w:rsid w:val="00AA7814"/>
    <w:rsid w:val="00AB6099"/>
    <w:rsid w:val="00AE1EA9"/>
    <w:rsid w:val="00AE4920"/>
    <w:rsid w:val="00AF552C"/>
    <w:rsid w:val="00B1591B"/>
    <w:rsid w:val="00B23428"/>
    <w:rsid w:val="00B268F0"/>
    <w:rsid w:val="00B3462D"/>
    <w:rsid w:val="00B42168"/>
    <w:rsid w:val="00B42988"/>
    <w:rsid w:val="00B548E8"/>
    <w:rsid w:val="00B574F5"/>
    <w:rsid w:val="00B8171D"/>
    <w:rsid w:val="00B913CA"/>
    <w:rsid w:val="00BA1A64"/>
    <w:rsid w:val="00BB7584"/>
    <w:rsid w:val="00BC60B5"/>
    <w:rsid w:val="00BC7CC4"/>
    <w:rsid w:val="00BD1B59"/>
    <w:rsid w:val="00BD78BC"/>
    <w:rsid w:val="00BD7DE4"/>
    <w:rsid w:val="00BF4085"/>
    <w:rsid w:val="00BF7471"/>
    <w:rsid w:val="00C126D1"/>
    <w:rsid w:val="00C145B3"/>
    <w:rsid w:val="00C21CDB"/>
    <w:rsid w:val="00C22AD8"/>
    <w:rsid w:val="00C34D96"/>
    <w:rsid w:val="00C40EC7"/>
    <w:rsid w:val="00C4628E"/>
    <w:rsid w:val="00C61794"/>
    <w:rsid w:val="00C647AA"/>
    <w:rsid w:val="00C94FBB"/>
    <w:rsid w:val="00C956DB"/>
    <w:rsid w:val="00CA63FB"/>
    <w:rsid w:val="00CB0143"/>
    <w:rsid w:val="00CB7771"/>
    <w:rsid w:val="00CD2387"/>
    <w:rsid w:val="00CF1C42"/>
    <w:rsid w:val="00D13CAA"/>
    <w:rsid w:val="00D16944"/>
    <w:rsid w:val="00D20768"/>
    <w:rsid w:val="00D4728C"/>
    <w:rsid w:val="00D60CF2"/>
    <w:rsid w:val="00D77134"/>
    <w:rsid w:val="00D87244"/>
    <w:rsid w:val="00DB4F8F"/>
    <w:rsid w:val="00DC0A80"/>
    <w:rsid w:val="00DC3390"/>
    <w:rsid w:val="00DD46DD"/>
    <w:rsid w:val="00DD4761"/>
    <w:rsid w:val="00DD643E"/>
    <w:rsid w:val="00DD67A3"/>
    <w:rsid w:val="00E01243"/>
    <w:rsid w:val="00E0768F"/>
    <w:rsid w:val="00E124FB"/>
    <w:rsid w:val="00E12ECC"/>
    <w:rsid w:val="00E219E0"/>
    <w:rsid w:val="00E23142"/>
    <w:rsid w:val="00E44E53"/>
    <w:rsid w:val="00E4646E"/>
    <w:rsid w:val="00E60A47"/>
    <w:rsid w:val="00E627D0"/>
    <w:rsid w:val="00E64B59"/>
    <w:rsid w:val="00E75F2E"/>
    <w:rsid w:val="00E76F80"/>
    <w:rsid w:val="00E80C8B"/>
    <w:rsid w:val="00E81CAA"/>
    <w:rsid w:val="00E867C4"/>
    <w:rsid w:val="00E86BB2"/>
    <w:rsid w:val="00EA5BDA"/>
    <w:rsid w:val="00EB064C"/>
    <w:rsid w:val="00EB1222"/>
    <w:rsid w:val="00EB1ECA"/>
    <w:rsid w:val="00EB5E95"/>
    <w:rsid w:val="00F046C2"/>
    <w:rsid w:val="00F10C2A"/>
    <w:rsid w:val="00F13A4E"/>
    <w:rsid w:val="00F40020"/>
    <w:rsid w:val="00F525BE"/>
    <w:rsid w:val="00F613AB"/>
    <w:rsid w:val="00F620FE"/>
    <w:rsid w:val="00F8179E"/>
    <w:rsid w:val="00FB0339"/>
    <w:rsid w:val="00FF7D72"/>
    <w:rsid w:val="0C926004"/>
    <w:rsid w:val="103C3F11"/>
    <w:rsid w:val="15F15154"/>
    <w:rsid w:val="266F0897"/>
    <w:rsid w:val="277E4E6C"/>
    <w:rsid w:val="279B492F"/>
    <w:rsid w:val="2A103D2F"/>
    <w:rsid w:val="319320FE"/>
    <w:rsid w:val="3AC3252A"/>
    <w:rsid w:val="4745353D"/>
    <w:rsid w:val="493058B4"/>
    <w:rsid w:val="4F7370ED"/>
    <w:rsid w:val="57CC6679"/>
    <w:rsid w:val="628E4570"/>
    <w:rsid w:val="6576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page number" w:semiHidden="0" w:unhideWhenUsed="0"/>
    <w:lsdException w:name="Title" w:locked="1" w:semiHidden="0" w:uiPriority="0" w:unhideWhenUsed="0" w:qFormat="1"/>
    <w:lsdException w:name="Default Paragraph Font" w:uiPriority="1"/>
    <w:lsdException w:name="Body Text Indent" w:semiHidden="0" w:unhideWhenUsed="0"/>
    <w:lsdException w:name="Subtitle" w:locked="1" w:semiHidden="0" w:uiPriority="0" w:unhideWhenUsed="0" w:qFormat="1"/>
    <w:lsdException w:name="Date" w:semiHidden="0" w:unhideWhenUsed="0" w:qFormat="1"/>
    <w:lsdException w:name="Hyperlink" w:semiHidden="0" w:unhideWhenUsed="0"/>
    <w:lsdException w:name="Strong" w:locked="1" w:semiHidden="0" w:uiPriority="0" w:unhideWhenUsed="0" w:qFormat="1"/>
    <w:lsdException w:name="Emphasis" w:locked="1" w:semiHidden="0" w:unhideWhenUsed="0" w:qFormat="1"/>
    <w:lsdException w:name="Normal (Web)" w:semiHidden="0" w:unhideWhenUsed="0"/>
    <w:lsdException w:name="Normal Table" w:qFormat="1"/>
    <w:lsdException w:name="Balloon Text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ECA"/>
    <w:pPr>
      <w:widowControl w:val="0"/>
      <w:jc w:val="both"/>
    </w:pPr>
    <w:rPr>
      <w:rFonts w:eastAsia="仿宋_GB2312"/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9"/>
    <w:qFormat/>
    <w:locked/>
    <w:rsid w:val="00EB1ECA"/>
    <w:pPr>
      <w:keepNext/>
      <w:keepLines/>
      <w:spacing w:before="340" w:after="330" w:line="578" w:lineRule="auto"/>
      <w:outlineLvl w:val="0"/>
    </w:pPr>
    <w:rPr>
      <w:rFonts w:ascii="Calibri" w:eastAsia="宋体" w:hAnsi="Calibri" w:cs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rsid w:val="00EB1ECA"/>
    <w:pPr>
      <w:ind w:firstLineChars="200" w:firstLine="632"/>
    </w:pPr>
  </w:style>
  <w:style w:type="paragraph" w:styleId="a4">
    <w:name w:val="Date"/>
    <w:basedOn w:val="a"/>
    <w:next w:val="a"/>
    <w:link w:val="Char0"/>
    <w:uiPriority w:val="99"/>
    <w:qFormat/>
    <w:rsid w:val="00EB1ECA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rsid w:val="00EB1ECA"/>
    <w:rPr>
      <w:sz w:val="18"/>
      <w:szCs w:val="18"/>
    </w:rPr>
  </w:style>
  <w:style w:type="paragraph" w:styleId="a6">
    <w:name w:val="footer"/>
    <w:basedOn w:val="a"/>
    <w:link w:val="Char2"/>
    <w:uiPriority w:val="99"/>
    <w:qFormat/>
    <w:rsid w:val="00EB1E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qFormat/>
    <w:rsid w:val="00EB1E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rsid w:val="00EB1ECA"/>
    <w:pPr>
      <w:spacing w:beforeAutospacing="1" w:afterAutospacing="1"/>
      <w:jc w:val="left"/>
    </w:pPr>
    <w:rPr>
      <w:rFonts w:ascii="Calibri" w:eastAsia="宋体" w:hAnsi="Calibri" w:cs="Calibri"/>
      <w:kern w:val="0"/>
      <w:sz w:val="24"/>
      <w:szCs w:val="24"/>
    </w:rPr>
  </w:style>
  <w:style w:type="character" w:styleId="a9">
    <w:name w:val="page number"/>
    <w:basedOn w:val="a0"/>
    <w:uiPriority w:val="99"/>
    <w:rsid w:val="00EB1ECA"/>
  </w:style>
  <w:style w:type="character" w:styleId="aa">
    <w:name w:val="Emphasis"/>
    <w:basedOn w:val="a0"/>
    <w:uiPriority w:val="99"/>
    <w:qFormat/>
    <w:locked/>
    <w:rsid w:val="00EB1ECA"/>
    <w:rPr>
      <w:i/>
      <w:iCs/>
    </w:rPr>
  </w:style>
  <w:style w:type="character" w:styleId="ab">
    <w:name w:val="Hyperlink"/>
    <w:basedOn w:val="a0"/>
    <w:uiPriority w:val="99"/>
    <w:rsid w:val="00EB1ECA"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locked/>
    <w:rsid w:val="00EB1ECA"/>
    <w:rPr>
      <w:rFonts w:ascii="Calibri" w:hAnsi="Calibri" w:cs="Calibri"/>
      <w:b/>
      <w:bCs/>
      <w:kern w:val="44"/>
      <w:sz w:val="44"/>
      <w:szCs w:val="44"/>
    </w:rPr>
  </w:style>
  <w:style w:type="character" w:customStyle="1" w:styleId="Char">
    <w:name w:val="正文文本缩进 Char"/>
    <w:basedOn w:val="a0"/>
    <w:link w:val="a3"/>
    <w:uiPriority w:val="99"/>
    <w:semiHidden/>
    <w:locked/>
    <w:rsid w:val="00EB1ECA"/>
    <w:rPr>
      <w:rFonts w:eastAsia="仿宋_GB2312"/>
      <w:sz w:val="20"/>
      <w:szCs w:val="20"/>
    </w:rPr>
  </w:style>
  <w:style w:type="character" w:customStyle="1" w:styleId="Char0">
    <w:name w:val="日期 Char"/>
    <w:basedOn w:val="a0"/>
    <w:link w:val="a4"/>
    <w:uiPriority w:val="99"/>
    <w:semiHidden/>
    <w:qFormat/>
    <w:locked/>
    <w:rsid w:val="00EB1ECA"/>
    <w:rPr>
      <w:rFonts w:eastAsia="仿宋_GB2312"/>
      <w:sz w:val="20"/>
      <w:szCs w:val="20"/>
    </w:rPr>
  </w:style>
  <w:style w:type="character" w:customStyle="1" w:styleId="Char2">
    <w:name w:val="页脚 Char"/>
    <w:basedOn w:val="a0"/>
    <w:link w:val="a6"/>
    <w:uiPriority w:val="99"/>
    <w:semiHidden/>
    <w:qFormat/>
    <w:locked/>
    <w:rsid w:val="00EB1ECA"/>
    <w:rPr>
      <w:rFonts w:eastAsia="仿宋_GB2312"/>
      <w:sz w:val="18"/>
      <w:szCs w:val="18"/>
    </w:rPr>
  </w:style>
  <w:style w:type="character" w:customStyle="1" w:styleId="Char3">
    <w:name w:val="页眉 Char"/>
    <w:basedOn w:val="a0"/>
    <w:link w:val="a7"/>
    <w:uiPriority w:val="99"/>
    <w:semiHidden/>
    <w:locked/>
    <w:rsid w:val="00EB1ECA"/>
    <w:rPr>
      <w:rFonts w:eastAsia="仿宋_GB2312"/>
      <w:sz w:val="18"/>
      <w:szCs w:val="18"/>
    </w:rPr>
  </w:style>
  <w:style w:type="paragraph" w:customStyle="1" w:styleId="CharCharCharCharCharChar">
    <w:name w:val="Char Char Char Char Char Char"/>
    <w:basedOn w:val="a"/>
    <w:uiPriority w:val="99"/>
    <w:rsid w:val="00EB1ECA"/>
    <w:pPr>
      <w:adjustRightInd w:val="0"/>
    </w:pPr>
    <w:rPr>
      <w:rFonts w:ascii="Tahoma" w:eastAsia="宋体" w:hAnsi="Tahoma" w:cs="Tahoma"/>
      <w:sz w:val="24"/>
      <w:szCs w:val="24"/>
    </w:rPr>
  </w:style>
  <w:style w:type="paragraph" w:customStyle="1" w:styleId="10">
    <w:name w:val="修订1"/>
    <w:hidden/>
    <w:uiPriority w:val="99"/>
    <w:rsid w:val="00EB1ECA"/>
    <w:rPr>
      <w:rFonts w:eastAsia="仿宋_GB2312"/>
      <w:kern w:val="2"/>
      <w:sz w:val="32"/>
      <w:szCs w:val="32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EB1ECA"/>
    <w:rPr>
      <w:rFonts w:eastAsia="仿宋_GB2312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789</Words>
  <Characters>4498</Characters>
  <Application>Microsoft Office Word</Application>
  <DocSecurity>0</DocSecurity>
  <Lines>37</Lines>
  <Paragraphs>10</Paragraphs>
  <ScaleCrop>false</ScaleCrop>
  <Company>家用电脑</Company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益财会〔2002〕4号</dc:title>
  <dc:creator>y</dc:creator>
  <cp:lastModifiedBy>Administrator</cp:lastModifiedBy>
  <cp:revision>127</cp:revision>
  <cp:lastPrinted>2018-03-22T07:54:00Z</cp:lastPrinted>
  <dcterms:created xsi:type="dcterms:W3CDTF">2016-02-18T07:51:00Z</dcterms:created>
  <dcterms:modified xsi:type="dcterms:W3CDTF">2019-01-31T02:35:00Z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